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59"/>
        <w:spacing w:after="0"/>
        <w:rPr>
          <w:sz w:val="20"/>
          <w:szCs w:val="20"/>
          <w:color w:val="auto"/>
        </w:rPr>
      </w:pPr>
      <w:r>
        <w:rPr>
          <w:rFonts w:ascii="Courier New" w:cs="Courier New" w:eastAsia="Courier New" w:hAnsi="Courier New"/>
          <w:sz w:val="12"/>
          <w:szCs w:val="12"/>
          <w:color w:val="auto"/>
        </w:rPr>
        <w:t>FORM 6-K</w:t>
      </w:r>
    </w:p>
    <w:p>
      <w:pPr>
        <w:spacing w:after="0" w:line="147" w:lineRule="exact"/>
        <w:rPr>
          <w:sz w:val="24"/>
          <w:szCs w:val="24"/>
          <w:color w:val="auto"/>
        </w:rPr>
      </w:pPr>
    </w:p>
    <w:p>
      <w:pPr>
        <w:jc w:val="center"/>
        <w:ind w:right="4359"/>
        <w:spacing w:after="0"/>
        <w:rPr>
          <w:sz w:val="20"/>
          <w:szCs w:val="20"/>
          <w:color w:val="auto"/>
        </w:rPr>
      </w:pPr>
      <w:r>
        <w:rPr>
          <w:rFonts w:ascii="Courier New" w:cs="Courier New" w:eastAsia="Courier New" w:hAnsi="Courier New"/>
          <w:sz w:val="12"/>
          <w:szCs w:val="12"/>
          <w:color w:val="auto"/>
        </w:rPr>
        <w:t>SECURITIES AND EXCHANGE COMMISSION</w:t>
      </w:r>
    </w:p>
    <w:p>
      <w:pPr>
        <w:spacing w:after="0" w:line="147" w:lineRule="exact"/>
        <w:rPr>
          <w:sz w:val="24"/>
          <w:szCs w:val="24"/>
          <w:color w:val="auto"/>
        </w:rPr>
      </w:pPr>
    </w:p>
    <w:p>
      <w:pPr>
        <w:jc w:val="center"/>
        <w:ind w:right="4359"/>
        <w:spacing w:after="0"/>
        <w:rPr>
          <w:sz w:val="20"/>
          <w:szCs w:val="20"/>
          <w:color w:val="auto"/>
        </w:rPr>
      </w:pPr>
      <w:r>
        <w:rPr>
          <w:rFonts w:ascii="Courier New" w:cs="Courier New" w:eastAsia="Courier New" w:hAnsi="Courier New"/>
          <w:sz w:val="12"/>
          <w:szCs w:val="12"/>
          <w:color w:val="auto"/>
        </w:rPr>
        <w:t>Washington, D.C. 20549</w:t>
      </w:r>
    </w:p>
    <w:p>
      <w:pPr>
        <w:spacing w:after="0" w:line="147" w:lineRule="exact"/>
        <w:rPr>
          <w:sz w:val="24"/>
          <w:szCs w:val="24"/>
          <w:color w:val="auto"/>
        </w:rPr>
      </w:pPr>
    </w:p>
    <w:p>
      <w:pPr>
        <w:jc w:val="center"/>
        <w:ind w:right="4359"/>
        <w:spacing w:after="0"/>
        <w:rPr>
          <w:sz w:val="20"/>
          <w:szCs w:val="20"/>
          <w:color w:val="auto"/>
        </w:rPr>
      </w:pPr>
      <w:r>
        <w:rPr>
          <w:rFonts w:ascii="Courier New" w:cs="Courier New" w:eastAsia="Courier New" w:hAnsi="Courier New"/>
          <w:sz w:val="12"/>
          <w:szCs w:val="12"/>
          <w:color w:val="auto"/>
        </w:rPr>
        <w:t>For the month of November 2006 No. 6</w:t>
      </w:r>
    </w:p>
    <w:p>
      <w:pPr>
        <w:spacing w:after="0" w:line="147" w:lineRule="exact"/>
        <w:rPr>
          <w:sz w:val="24"/>
          <w:szCs w:val="24"/>
          <w:color w:val="auto"/>
        </w:rPr>
      </w:pPr>
    </w:p>
    <w:p>
      <w:pPr>
        <w:jc w:val="center"/>
        <w:ind w:right="4359"/>
        <w:spacing w:after="0"/>
        <w:rPr>
          <w:sz w:val="20"/>
          <w:szCs w:val="20"/>
          <w:color w:val="auto"/>
        </w:rPr>
      </w:pPr>
      <w:r>
        <w:rPr>
          <w:rFonts w:ascii="Courier New" w:cs="Courier New" w:eastAsia="Courier New" w:hAnsi="Courier New"/>
          <w:sz w:val="12"/>
          <w:szCs w:val="12"/>
          <w:color w:val="auto"/>
        </w:rPr>
        <w:t>TOWER SEMICONDUCTOR LTD.</w:t>
      </w:r>
    </w:p>
    <w:p>
      <w:pPr>
        <w:spacing w:after="0" w:line="6" w:lineRule="exact"/>
        <w:rPr>
          <w:sz w:val="24"/>
          <w:szCs w:val="24"/>
          <w:color w:val="auto"/>
        </w:rPr>
      </w:pPr>
    </w:p>
    <w:p>
      <w:pPr>
        <w:jc w:val="center"/>
        <w:ind w:right="4299"/>
        <w:spacing w:after="0"/>
        <w:rPr>
          <w:sz w:val="20"/>
          <w:szCs w:val="20"/>
          <w:color w:val="auto"/>
        </w:rPr>
      </w:pPr>
      <w:r>
        <w:rPr>
          <w:rFonts w:ascii="Courier New" w:cs="Courier New" w:eastAsia="Courier New" w:hAnsi="Courier New"/>
          <w:sz w:val="12"/>
          <w:szCs w:val="12"/>
          <w:color w:val="auto"/>
        </w:rPr>
        <w:t>(Translation of registrant's name into English)</w:t>
      </w:r>
    </w:p>
    <w:p>
      <w:pPr>
        <w:spacing w:after="0" w:line="147" w:lineRule="exact"/>
        <w:rPr>
          <w:sz w:val="24"/>
          <w:szCs w:val="24"/>
          <w:color w:val="auto"/>
        </w:rPr>
      </w:pPr>
    </w:p>
    <w:p>
      <w:pPr>
        <w:jc w:val="center"/>
        <w:ind w:right="4299"/>
        <w:spacing w:after="0"/>
        <w:rPr>
          <w:sz w:val="20"/>
          <w:szCs w:val="20"/>
          <w:color w:val="auto"/>
        </w:rPr>
      </w:pPr>
      <w:r>
        <w:rPr>
          <w:rFonts w:ascii="Courier New" w:cs="Courier New" w:eastAsia="Courier New" w:hAnsi="Courier New"/>
          <w:sz w:val="12"/>
          <w:szCs w:val="12"/>
          <w:color w:val="auto"/>
        </w:rPr>
        <w:t>RAMAT GAVRIEL INDUSTRIAL PARK</w:t>
      </w:r>
    </w:p>
    <w:p>
      <w:pPr>
        <w:spacing w:after="0" w:line="6" w:lineRule="exact"/>
        <w:rPr>
          <w:sz w:val="24"/>
          <w:szCs w:val="24"/>
          <w:color w:val="auto"/>
        </w:rPr>
      </w:pPr>
    </w:p>
    <w:p>
      <w:pPr>
        <w:ind w:left="1460"/>
        <w:spacing w:after="0"/>
        <w:rPr>
          <w:sz w:val="20"/>
          <w:szCs w:val="20"/>
          <w:color w:val="auto"/>
        </w:rPr>
      </w:pPr>
      <w:r>
        <w:rPr>
          <w:rFonts w:ascii="Courier New" w:cs="Courier New" w:eastAsia="Courier New" w:hAnsi="Courier New"/>
          <w:sz w:val="12"/>
          <w:szCs w:val="12"/>
          <w:color w:val="auto"/>
        </w:rPr>
        <w:t>P.O. BOX 619, MIGDAL HAEMEK, ISRAEL 23105</w:t>
      </w:r>
    </w:p>
    <w:p>
      <w:pPr>
        <w:spacing w:after="0" w:line="6" w:lineRule="exact"/>
        <w:rPr>
          <w:sz w:val="24"/>
          <w:szCs w:val="24"/>
          <w:color w:val="auto"/>
        </w:rPr>
      </w:pPr>
    </w:p>
    <w:p>
      <w:pPr>
        <w:ind w:left="1460"/>
        <w:spacing w:after="0"/>
        <w:rPr>
          <w:sz w:val="20"/>
          <w:szCs w:val="20"/>
          <w:color w:val="auto"/>
        </w:rPr>
      </w:pPr>
      <w:r>
        <w:rPr>
          <w:rFonts w:ascii="Courier New" w:cs="Courier New" w:eastAsia="Courier New" w:hAnsi="Courier New"/>
          <w:sz w:val="12"/>
          <w:szCs w:val="12"/>
          <w:color w:val="auto"/>
        </w:rPr>
        <w:t>(Address of principal executive offices)</w:t>
      </w:r>
    </w:p>
    <w:p>
      <w:pPr>
        <w:spacing w:after="0" w:line="147" w:lineRule="exact"/>
        <w:rPr>
          <w:sz w:val="24"/>
          <w:szCs w:val="24"/>
          <w:color w:val="auto"/>
        </w:rPr>
      </w:pPr>
    </w:p>
    <w:p>
      <w:pPr>
        <w:ind w:right="4639" w:firstLine="368"/>
        <w:spacing w:after="0" w:line="253" w:lineRule="auto"/>
        <w:rPr>
          <w:sz w:val="20"/>
          <w:szCs w:val="20"/>
          <w:color w:val="auto"/>
        </w:rPr>
      </w:pPr>
      <w:r>
        <w:rPr>
          <w:rFonts w:ascii="Courier New" w:cs="Courier New" w:eastAsia="Courier New" w:hAnsi="Courier New"/>
          <w:sz w:val="12"/>
          <w:szCs w:val="12"/>
          <w:color w:val="auto"/>
        </w:rPr>
        <w:t>Indicate by check mark whether the registrant files or will file annual reports under cover Form 20-F or Form 40-F.</w:t>
      </w:r>
    </w:p>
    <w:p>
      <w:pPr>
        <w:spacing w:after="0" w:line="138" w:lineRule="exact"/>
        <w:rPr>
          <w:sz w:val="24"/>
          <w:szCs w:val="24"/>
          <w:color w:val="auto"/>
        </w:rPr>
      </w:pPr>
    </w:p>
    <w:p>
      <w:pPr>
        <w:ind w:left="1840"/>
        <w:spacing w:after="0"/>
        <w:tabs>
          <w:tab w:leader="none" w:pos="3140" w:val="left"/>
        </w:tabs>
        <w:rPr>
          <w:sz w:val="20"/>
          <w:szCs w:val="20"/>
          <w:color w:val="auto"/>
        </w:rPr>
      </w:pPr>
      <w:r>
        <w:rPr>
          <w:rFonts w:ascii="Courier New" w:cs="Courier New" w:eastAsia="Courier New" w:hAnsi="Courier New"/>
          <w:sz w:val="12"/>
          <w:szCs w:val="12"/>
          <w:color w:val="auto"/>
        </w:rPr>
        <w:t>Form 20-F [X]</w:t>
      </w:r>
      <w:r>
        <w:rPr>
          <w:sz w:val="20"/>
          <w:szCs w:val="20"/>
          <w:color w:val="auto"/>
        </w:rPr>
        <w:tab/>
      </w:r>
      <w:r>
        <w:rPr>
          <w:rFonts w:ascii="Courier New" w:cs="Courier New" w:eastAsia="Courier New" w:hAnsi="Courier New"/>
          <w:sz w:val="12"/>
          <w:szCs w:val="12"/>
          <w:color w:val="auto"/>
        </w:rPr>
        <w:t>Form 40-F [_]</w:t>
      </w:r>
    </w:p>
    <w:p>
      <w:pPr>
        <w:spacing w:after="0" w:line="147" w:lineRule="exact"/>
        <w:rPr>
          <w:sz w:val="24"/>
          <w:szCs w:val="24"/>
          <w:color w:val="auto"/>
        </w:rPr>
      </w:pPr>
    </w:p>
    <w:p>
      <w:pPr>
        <w:ind w:right="4359" w:firstLine="368"/>
        <w:spacing w:after="0" w:line="251" w:lineRule="auto"/>
        <w:rPr>
          <w:sz w:val="20"/>
          <w:szCs w:val="20"/>
          <w:color w:val="auto"/>
        </w:rPr>
      </w:pPr>
      <w:r>
        <w:rPr>
          <w:rFonts w:ascii="Courier New" w:cs="Courier New" w:eastAsia="Courier New" w:hAnsi="Courier New"/>
          <w:sz w:val="12"/>
          <w:szCs w:val="1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0" w:lineRule="exact"/>
        <w:rPr>
          <w:sz w:val="24"/>
          <w:szCs w:val="24"/>
          <w:color w:val="auto"/>
        </w:rPr>
      </w:pPr>
    </w:p>
    <w:p>
      <w:pPr>
        <w:ind w:left="2280"/>
        <w:spacing w:after="0"/>
        <w:tabs>
          <w:tab w:leader="none" w:pos="3140" w:val="left"/>
        </w:tabs>
        <w:rPr>
          <w:sz w:val="20"/>
          <w:szCs w:val="20"/>
          <w:color w:val="auto"/>
        </w:rPr>
      </w:pPr>
      <w:r>
        <w:rPr>
          <w:rFonts w:ascii="Courier New" w:cs="Courier New" w:eastAsia="Courier New" w:hAnsi="Courier New"/>
          <w:sz w:val="12"/>
          <w:szCs w:val="12"/>
          <w:color w:val="auto"/>
        </w:rPr>
        <w:t>Yes [_]</w:t>
      </w:r>
      <w:r>
        <w:rPr>
          <w:sz w:val="20"/>
          <w:szCs w:val="20"/>
          <w:color w:val="auto"/>
        </w:rPr>
        <w:tab/>
      </w:r>
      <w:r>
        <w:rPr>
          <w:rFonts w:ascii="Courier New" w:cs="Courier New" w:eastAsia="Courier New" w:hAnsi="Courier New"/>
          <w:sz w:val="12"/>
          <w:szCs w:val="12"/>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right="4359" w:firstLine="368"/>
        <w:spacing w:after="0" w:line="251" w:lineRule="auto"/>
        <w:rPr>
          <w:sz w:val="20"/>
          <w:szCs w:val="20"/>
          <w:color w:val="auto"/>
        </w:rPr>
      </w:pPr>
      <w:r>
        <w:rPr>
          <w:rFonts w:ascii="Courier New" w:cs="Courier New" w:eastAsia="Courier New" w:hAnsi="Courier New"/>
          <w:sz w:val="12"/>
          <w:szCs w:val="12"/>
          <w:color w:val="auto"/>
        </w:rPr>
        <w:t>On November 7, 2006, the Registrant announced its financial results for the three and nine month periods ended September 30, 2006. Attached hereto are the following exhibits:</w:t>
      </w:r>
    </w:p>
    <w:p>
      <w:pPr>
        <w:spacing w:after="0" w:line="140" w:lineRule="exact"/>
        <w:rPr>
          <w:sz w:val="24"/>
          <w:szCs w:val="24"/>
          <w:color w:val="auto"/>
        </w:rPr>
      </w:pPr>
    </w:p>
    <w:p>
      <w:pPr>
        <w:ind w:left="1460" w:right="4579" w:hanging="1103"/>
        <w:spacing w:after="0" w:line="251" w:lineRule="auto"/>
        <w:tabs>
          <w:tab w:leader="none" w:pos="1440" w:val="left"/>
        </w:tabs>
        <w:rPr>
          <w:sz w:val="20"/>
          <w:szCs w:val="20"/>
          <w:color w:val="auto"/>
        </w:rPr>
      </w:pPr>
      <w:r>
        <w:rPr>
          <w:rFonts w:ascii="Courier New" w:cs="Courier New" w:eastAsia="Courier New" w:hAnsi="Courier New"/>
          <w:sz w:val="12"/>
          <w:szCs w:val="12"/>
          <w:color w:val="auto"/>
        </w:rPr>
        <w:t>Exhibit 99.1</w:t>
        <w:tab/>
        <w:t>Registrant's unaudited condensed interim consolidated financial statements as of September 30, 2006 and for the three month period then ended.</w:t>
      </w:r>
    </w:p>
    <w:p>
      <w:pPr>
        <w:spacing w:after="0" w:line="140" w:lineRule="exact"/>
        <w:rPr>
          <w:sz w:val="24"/>
          <w:szCs w:val="24"/>
          <w:color w:val="auto"/>
        </w:rPr>
      </w:pPr>
    </w:p>
    <w:p>
      <w:pPr>
        <w:ind w:left="1460" w:right="4419" w:hanging="1103"/>
        <w:spacing w:after="0" w:line="253" w:lineRule="auto"/>
        <w:tabs>
          <w:tab w:leader="none" w:pos="1440" w:val="left"/>
        </w:tabs>
        <w:rPr>
          <w:sz w:val="20"/>
          <w:szCs w:val="20"/>
          <w:color w:val="auto"/>
        </w:rPr>
      </w:pPr>
      <w:r>
        <w:rPr>
          <w:rFonts w:ascii="Courier New" w:cs="Courier New" w:eastAsia="Courier New" w:hAnsi="Courier New"/>
          <w:sz w:val="12"/>
          <w:szCs w:val="12"/>
          <w:color w:val="auto"/>
        </w:rPr>
        <w:t>Exhibit 99.2</w:t>
        <w:tab/>
        <w:t>Management's Discussion and Analysis of Financial Condition and Results of Operations.</w:t>
      </w:r>
    </w:p>
    <w:p>
      <w:pPr>
        <w:spacing w:after="0" w:line="138" w:lineRule="exact"/>
        <w:rPr>
          <w:sz w:val="24"/>
          <w:szCs w:val="24"/>
          <w:color w:val="auto"/>
        </w:rPr>
      </w:pPr>
    </w:p>
    <w:p>
      <w:pPr>
        <w:ind w:right="4419"/>
        <w:spacing w:after="0" w:line="253" w:lineRule="auto"/>
        <w:rPr>
          <w:sz w:val="20"/>
          <w:szCs w:val="20"/>
          <w:color w:val="auto"/>
        </w:rPr>
      </w:pPr>
      <w:r>
        <w:rPr>
          <w:rFonts w:ascii="Courier New" w:cs="Courier New" w:eastAsia="Courier New" w:hAnsi="Courier New"/>
          <w:sz w:val="12"/>
          <w:szCs w:val="12"/>
          <w:color w:val="auto"/>
        </w:rPr>
        <w:t>Also certain agreements entered into by the Company during the third quarter of 2006 are attached hereto as the following exhibits:</w:t>
      </w:r>
    </w:p>
    <w:p>
      <w:pPr>
        <w:spacing w:after="0" w:line="138" w:lineRule="exact"/>
        <w:rPr>
          <w:sz w:val="24"/>
          <w:szCs w:val="24"/>
          <w:color w:val="auto"/>
        </w:rPr>
      </w:pPr>
    </w:p>
    <w:p>
      <w:pPr>
        <w:ind w:left="1460" w:right="4499" w:hanging="1103"/>
        <w:spacing w:after="0" w:line="253" w:lineRule="auto"/>
        <w:tabs>
          <w:tab w:leader="none" w:pos="1440" w:val="left"/>
        </w:tabs>
        <w:rPr>
          <w:sz w:val="20"/>
          <w:szCs w:val="20"/>
          <w:color w:val="auto"/>
        </w:rPr>
      </w:pPr>
      <w:r>
        <w:rPr>
          <w:rFonts w:ascii="Courier New" w:cs="Courier New" w:eastAsia="Courier New" w:hAnsi="Courier New"/>
          <w:sz w:val="12"/>
          <w:szCs w:val="12"/>
          <w:color w:val="auto"/>
        </w:rPr>
        <w:t>Exhibit 99.3</w:t>
        <w:tab/>
        <w:t>Securities Purchase Agreement, dated August 24, 2006, with Israel Corporation Ltd.</w:t>
      </w:r>
    </w:p>
    <w:p>
      <w:pPr>
        <w:spacing w:after="0" w:line="138" w:lineRule="exact"/>
        <w:rPr>
          <w:sz w:val="24"/>
          <w:szCs w:val="24"/>
          <w:color w:val="auto"/>
        </w:rPr>
      </w:pPr>
    </w:p>
    <w:p>
      <w:pPr>
        <w:ind w:left="1460" w:right="4499" w:hanging="1103"/>
        <w:spacing w:after="0" w:line="253" w:lineRule="auto"/>
        <w:tabs>
          <w:tab w:leader="none" w:pos="1440" w:val="left"/>
        </w:tabs>
        <w:rPr>
          <w:sz w:val="20"/>
          <w:szCs w:val="20"/>
          <w:color w:val="auto"/>
        </w:rPr>
      </w:pPr>
      <w:r>
        <w:rPr>
          <w:rFonts w:ascii="Courier New" w:cs="Courier New" w:eastAsia="Courier New" w:hAnsi="Courier New"/>
          <w:sz w:val="12"/>
          <w:szCs w:val="12"/>
          <w:color w:val="auto"/>
        </w:rPr>
        <w:t>Exhibit 99.4</w:t>
        <w:tab/>
        <w:t>Equity Convertible Capital Note, dated September 28, 2006, issued to Israel Corporation Ltd.</w:t>
      </w:r>
    </w:p>
    <w:p>
      <w:pPr>
        <w:spacing w:after="0" w:line="138" w:lineRule="exact"/>
        <w:rPr>
          <w:sz w:val="24"/>
          <w:szCs w:val="24"/>
          <w:color w:val="auto"/>
        </w:rPr>
      </w:pPr>
    </w:p>
    <w:p>
      <w:pPr>
        <w:ind w:left="1460" w:right="4639" w:hanging="1103"/>
        <w:spacing w:after="0" w:line="253" w:lineRule="auto"/>
        <w:tabs>
          <w:tab w:leader="none" w:pos="1440" w:val="left"/>
        </w:tabs>
        <w:rPr>
          <w:sz w:val="20"/>
          <w:szCs w:val="20"/>
          <w:color w:val="auto"/>
        </w:rPr>
      </w:pPr>
      <w:r>
        <w:rPr>
          <w:rFonts w:ascii="Courier New" w:cs="Courier New" w:eastAsia="Courier New" w:hAnsi="Courier New"/>
          <w:sz w:val="12"/>
          <w:szCs w:val="12"/>
          <w:color w:val="auto"/>
        </w:rPr>
        <w:t>Exhibit 99.5</w:t>
        <w:tab/>
        <w:t>Registration Rights Agreement, dated September 28, 2006, with Israel Corporation Ltd.</w:t>
      </w:r>
    </w:p>
    <w:p>
      <w:pPr>
        <w:spacing w:after="0" w:line="138" w:lineRule="exact"/>
        <w:rPr>
          <w:sz w:val="24"/>
          <w:szCs w:val="24"/>
          <w:color w:val="auto"/>
        </w:rPr>
      </w:pPr>
    </w:p>
    <w:p>
      <w:pPr>
        <w:ind w:left="1460" w:right="4359" w:hanging="1103"/>
        <w:spacing w:after="0" w:line="251" w:lineRule="auto"/>
        <w:tabs>
          <w:tab w:leader="none" w:pos="1440" w:val="left"/>
        </w:tabs>
        <w:rPr>
          <w:sz w:val="20"/>
          <w:szCs w:val="20"/>
          <w:color w:val="auto"/>
        </w:rPr>
      </w:pPr>
      <w:r>
        <w:rPr>
          <w:rFonts w:ascii="Courier New" w:cs="Courier New" w:eastAsia="Courier New" w:hAnsi="Courier New"/>
          <w:sz w:val="12"/>
          <w:szCs w:val="12"/>
          <w:color w:val="auto"/>
        </w:rPr>
        <w:t>Exhibit 99.6</w:t>
        <w:tab/>
        <w:t>Amending Agreement, dated August 24, 2006, with Bank Hapoalim B.M. and Bank Leumi Le-Israel B.M., to the Facility Agreement.</w:t>
      </w:r>
    </w:p>
    <w:p>
      <w:pPr>
        <w:spacing w:after="0" w:line="140" w:lineRule="exact"/>
        <w:rPr>
          <w:sz w:val="24"/>
          <w:szCs w:val="24"/>
          <w:color w:val="auto"/>
        </w:rPr>
      </w:pPr>
    </w:p>
    <w:p>
      <w:pPr>
        <w:ind w:left="1460" w:right="4499" w:hanging="1103"/>
        <w:spacing w:after="0" w:line="253" w:lineRule="auto"/>
        <w:tabs>
          <w:tab w:leader="none" w:pos="1440" w:val="left"/>
        </w:tabs>
        <w:rPr>
          <w:sz w:val="20"/>
          <w:szCs w:val="20"/>
          <w:color w:val="auto"/>
        </w:rPr>
      </w:pPr>
      <w:r>
        <w:rPr>
          <w:rFonts w:ascii="Courier New" w:cs="Courier New" w:eastAsia="Courier New" w:hAnsi="Courier New"/>
          <w:sz w:val="12"/>
          <w:szCs w:val="12"/>
          <w:color w:val="auto"/>
        </w:rPr>
        <w:t>Exhibit 99.7</w:t>
        <w:tab/>
        <w:t>Facility Agreement, as amended and restated by the parties through August 24, 2006.</w:t>
      </w:r>
    </w:p>
    <w:p>
      <w:pPr>
        <w:spacing w:after="0" w:line="138" w:lineRule="exact"/>
        <w:rPr>
          <w:sz w:val="24"/>
          <w:szCs w:val="24"/>
          <w:color w:val="auto"/>
        </w:rPr>
      </w:pPr>
    </w:p>
    <w:p>
      <w:pPr>
        <w:ind w:left="1460" w:right="4579" w:hanging="1103"/>
        <w:spacing w:after="0" w:line="253" w:lineRule="auto"/>
        <w:tabs>
          <w:tab w:leader="none" w:pos="1440" w:val="left"/>
        </w:tabs>
        <w:rPr>
          <w:sz w:val="20"/>
          <w:szCs w:val="20"/>
          <w:color w:val="auto"/>
        </w:rPr>
      </w:pPr>
      <w:r>
        <w:rPr>
          <w:rFonts w:ascii="Courier New" w:cs="Courier New" w:eastAsia="Courier New" w:hAnsi="Courier New"/>
          <w:sz w:val="12"/>
          <w:szCs w:val="12"/>
          <w:color w:val="auto"/>
        </w:rPr>
        <w:t>Exhibit 99.8</w:t>
        <w:tab/>
        <w:t>Conversion Agreement, dated September 28, 2006, with Bank Hapoalim B.M.</w:t>
      </w:r>
    </w:p>
    <w:p>
      <w:pPr>
        <w:spacing w:after="0" w:line="138" w:lineRule="exact"/>
        <w:rPr>
          <w:sz w:val="24"/>
          <w:szCs w:val="24"/>
          <w:color w:val="auto"/>
        </w:rPr>
      </w:pPr>
    </w:p>
    <w:p>
      <w:pPr>
        <w:ind w:left="1460" w:right="4579" w:hanging="1103"/>
        <w:spacing w:after="0" w:line="253" w:lineRule="auto"/>
        <w:tabs>
          <w:tab w:leader="none" w:pos="1440" w:val="left"/>
        </w:tabs>
        <w:rPr>
          <w:sz w:val="20"/>
          <w:szCs w:val="20"/>
          <w:color w:val="auto"/>
        </w:rPr>
      </w:pPr>
      <w:r>
        <w:rPr>
          <w:rFonts w:ascii="Courier New" w:cs="Courier New" w:eastAsia="Courier New" w:hAnsi="Courier New"/>
          <w:sz w:val="12"/>
          <w:szCs w:val="12"/>
          <w:color w:val="auto"/>
        </w:rPr>
        <w:t>Exhibit 99.9</w:t>
        <w:tab/>
        <w:t>Conversion Agreement, dated September 28, 2006, with Bank Leumi Le-Israel B.M.</w:t>
      </w:r>
    </w:p>
    <w:p>
      <w:pPr>
        <w:spacing w:after="0" w:line="138" w:lineRule="exact"/>
        <w:rPr>
          <w:sz w:val="24"/>
          <w:szCs w:val="24"/>
          <w:color w:val="auto"/>
        </w:rPr>
      </w:pPr>
    </w:p>
    <w:p>
      <w:pPr>
        <w:ind w:left="1460" w:right="4639" w:hanging="1103"/>
        <w:spacing w:after="0" w:line="253" w:lineRule="auto"/>
        <w:tabs>
          <w:tab w:leader="none" w:pos="1440" w:val="left"/>
        </w:tabs>
        <w:rPr>
          <w:sz w:val="20"/>
          <w:szCs w:val="20"/>
          <w:color w:val="auto"/>
        </w:rPr>
      </w:pPr>
      <w:r>
        <w:rPr>
          <w:rFonts w:ascii="Courier New" w:cs="Courier New" w:eastAsia="Courier New" w:hAnsi="Courier New"/>
          <w:sz w:val="12"/>
          <w:szCs w:val="12"/>
          <w:color w:val="auto"/>
        </w:rPr>
        <w:t>Exhibit 99.10</w:t>
        <w:tab/>
        <w:t>Registration Rights Agreement, dated September 28, 2006, with Bank Hapoalim B.M.</w:t>
      </w:r>
    </w:p>
    <w:p>
      <w:pPr>
        <w:spacing w:after="0" w:line="138" w:lineRule="exact"/>
        <w:rPr>
          <w:sz w:val="24"/>
          <w:szCs w:val="24"/>
          <w:color w:val="auto"/>
        </w:rPr>
      </w:pPr>
    </w:p>
    <w:p>
      <w:pPr>
        <w:ind w:left="1460" w:right="4639" w:hanging="1103"/>
        <w:spacing w:after="0" w:line="253" w:lineRule="auto"/>
        <w:tabs>
          <w:tab w:leader="none" w:pos="1440" w:val="left"/>
        </w:tabs>
        <w:rPr>
          <w:sz w:val="20"/>
          <w:szCs w:val="20"/>
          <w:color w:val="auto"/>
        </w:rPr>
      </w:pPr>
      <w:r>
        <w:rPr>
          <w:rFonts w:ascii="Courier New" w:cs="Courier New" w:eastAsia="Courier New" w:hAnsi="Courier New"/>
          <w:sz w:val="12"/>
          <w:szCs w:val="12"/>
          <w:color w:val="auto"/>
        </w:rPr>
        <w:t>Exhibit 99.11</w:t>
        <w:tab/>
        <w:t>Registration Rights Agreement, dated September 28, 2006, with Bank Leumi Le-Israel B.M.</w:t>
      </w:r>
    </w:p>
    <w:p>
      <w:pPr>
        <w:spacing w:after="0" w:line="138" w:lineRule="exact"/>
        <w:rPr>
          <w:sz w:val="24"/>
          <w:szCs w:val="24"/>
          <w:color w:val="auto"/>
        </w:rPr>
      </w:pPr>
    </w:p>
    <w:p>
      <w:pPr>
        <w:ind w:left="1460" w:right="4499" w:hanging="1103"/>
        <w:spacing w:after="0" w:line="253" w:lineRule="auto"/>
        <w:tabs>
          <w:tab w:leader="none" w:pos="1440" w:val="left"/>
        </w:tabs>
        <w:rPr>
          <w:sz w:val="20"/>
          <w:szCs w:val="20"/>
          <w:color w:val="auto"/>
        </w:rPr>
      </w:pPr>
      <w:r>
        <w:rPr>
          <w:rFonts w:ascii="Courier New" w:cs="Courier New" w:eastAsia="Courier New" w:hAnsi="Courier New"/>
          <w:sz w:val="12"/>
          <w:szCs w:val="12"/>
          <w:color w:val="auto"/>
        </w:rPr>
        <w:t>Exhibit 99.12</w:t>
        <w:tab/>
        <w:t>Equity Convertible Capital Note, dated September 28, 2006, issued to Bank Hapoalim B.M.</w:t>
      </w:r>
    </w:p>
    <w:p>
      <w:pPr>
        <w:spacing w:after="0" w:line="138" w:lineRule="exact"/>
        <w:rPr>
          <w:sz w:val="24"/>
          <w:szCs w:val="24"/>
          <w:color w:val="auto"/>
        </w:rPr>
      </w:pPr>
    </w:p>
    <w:p>
      <w:pPr>
        <w:ind w:left="1460" w:right="4499" w:hanging="1103"/>
        <w:spacing w:after="0" w:line="253" w:lineRule="auto"/>
        <w:tabs>
          <w:tab w:leader="none" w:pos="1440" w:val="left"/>
        </w:tabs>
        <w:rPr>
          <w:sz w:val="20"/>
          <w:szCs w:val="20"/>
          <w:color w:val="auto"/>
        </w:rPr>
      </w:pPr>
      <w:r>
        <w:rPr>
          <w:rFonts w:ascii="Courier New" w:cs="Courier New" w:eastAsia="Courier New" w:hAnsi="Courier New"/>
          <w:sz w:val="12"/>
          <w:szCs w:val="12"/>
          <w:color w:val="auto"/>
        </w:rPr>
        <w:t>Exhibit 99.13</w:t>
        <w:tab/>
        <w:t>Equity Convertible Capital Note, dated September 28, 2006, issued to Bank Leumi Le-Israel B.M.</w:t>
      </w:r>
    </w:p>
    <w:p>
      <w:pPr>
        <w:spacing w:after="0" w:line="138" w:lineRule="exact"/>
        <w:rPr>
          <w:sz w:val="24"/>
          <w:szCs w:val="24"/>
          <w:color w:val="auto"/>
        </w:rPr>
      </w:pPr>
    </w:p>
    <w:p>
      <w:pPr>
        <w:jc w:val="both"/>
        <w:ind w:left="1460" w:right="4419" w:hanging="1103"/>
        <w:spacing w:after="0" w:line="251" w:lineRule="auto"/>
        <w:tabs>
          <w:tab w:leader="none" w:pos="1440" w:val="left"/>
        </w:tabs>
        <w:rPr>
          <w:sz w:val="20"/>
          <w:szCs w:val="20"/>
          <w:color w:val="auto"/>
        </w:rPr>
      </w:pPr>
      <w:r>
        <w:rPr>
          <w:rFonts w:ascii="Courier New" w:cs="Courier New" w:eastAsia="Courier New" w:hAnsi="Courier New"/>
          <w:sz w:val="12"/>
          <w:szCs w:val="12"/>
          <w:color w:val="auto"/>
        </w:rPr>
        <w:t>Exhibit 99.14</w:t>
        <w:tab/>
        <w:t>First Amendment to a Warrant Issued on December 11, 2003 to Tarshish Hahzakot Vehashkaot Hapoalim Ltd., dated September 28, 2006.</w:t>
      </w:r>
    </w:p>
    <w:p>
      <w:pPr>
        <w:spacing w:after="0" w:line="140" w:lineRule="exact"/>
        <w:rPr>
          <w:sz w:val="24"/>
          <w:szCs w:val="24"/>
          <w:color w:val="auto"/>
        </w:rPr>
      </w:pPr>
    </w:p>
    <w:p>
      <w:pPr>
        <w:jc w:val="both"/>
        <w:ind w:left="1460" w:right="4419" w:hanging="1103"/>
        <w:spacing w:after="0" w:line="253" w:lineRule="auto"/>
        <w:tabs>
          <w:tab w:leader="none" w:pos="1440" w:val="left"/>
        </w:tabs>
        <w:rPr>
          <w:sz w:val="20"/>
          <w:szCs w:val="20"/>
          <w:color w:val="auto"/>
        </w:rPr>
      </w:pPr>
      <w:r>
        <w:rPr>
          <w:rFonts w:ascii="Courier New" w:cs="Courier New" w:eastAsia="Courier New" w:hAnsi="Courier New"/>
          <w:sz w:val="12"/>
          <w:szCs w:val="12"/>
          <w:color w:val="auto"/>
        </w:rPr>
        <w:t>Exhibit 99.15</w:t>
        <w:tab/>
        <w:t>First Amendment to a Warrant Issued on December 11, 2003 to Bank Leumi Le-Israel, dated September 28, 2006.</w:t>
      </w:r>
    </w:p>
    <w:p>
      <w:pPr>
        <w:spacing w:after="0" w:line="138" w:lineRule="exact"/>
        <w:rPr>
          <w:sz w:val="24"/>
          <w:szCs w:val="24"/>
          <w:color w:val="auto"/>
        </w:rPr>
      </w:pPr>
    </w:p>
    <w:p>
      <w:pPr>
        <w:ind w:left="1460" w:right="4639" w:hanging="1103"/>
        <w:spacing w:after="0" w:line="253" w:lineRule="auto"/>
        <w:tabs>
          <w:tab w:leader="none" w:pos="1440" w:val="left"/>
        </w:tabs>
        <w:rPr>
          <w:sz w:val="20"/>
          <w:szCs w:val="20"/>
          <w:color w:val="auto"/>
        </w:rPr>
      </w:pPr>
      <w:r>
        <w:rPr>
          <w:rFonts w:ascii="Courier New" w:cs="Courier New" w:eastAsia="Courier New" w:hAnsi="Courier New"/>
          <w:sz w:val="12"/>
          <w:szCs w:val="12"/>
          <w:color w:val="auto"/>
        </w:rPr>
        <w:t>Exhibit 99.16</w:t>
        <w:tab/>
        <w:t>First Amendment to a Warrant Issued on August 4, 2005 to Bank Hapoalim B.M., dated September 28, 2006.</w:t>
      </w:r>
    </w:p>
    <w:p>
      <w:pPr>
        <w:sectPr>
          <w:pgSz w:w="11900" w:h="16838" w:orient="portrait"/>
          <w:cols w:equalWidth="0" w:num="1">
            <w:col w:w="10239"/>
          </w:cols>
          <w:pgMar w:left="220" w:top="358" w:right="1440" w:bottom="1440" w:gutter="0" w:footer="0" w:header="0"/>
        </w:sectPr>
      </w:pPr>
    </w:p>
    <w:bookmarkStart w:id="1" w:name="page2"/>
    <w:bookmarkEnd w:id="1"/>
    <w:p>
      <w:pPr>
        <w:ind w:left="1460" w:right="4639" w:hanging="1103"/>
        <w:spacing w:after="0" w:line="253" w:lineRule="auto"/>
        <w:tabs>
          <w:tab w:leader="none" w:pos="1440" w:val="left"/>
        </w:tabs>
        <w:rPr>
          <w:sz w:val="20"/>
          <w:szCs w:val="20"/>
          <w:color w:val="auto"/>
        </w:rPr>
      </w:pPr>
      <w:r>
        <w:rPr>
          <w:rFonts w:ascii="Courier New" w:cs="Courier New" w:eastAsia="Courier New" w:hAnsi="Courier New"/>
          <w:sz w:val="12"/>
          <w:szCs w:val="12"/>
          <w:color w:val="auto"/>
        </w:rPr>
        <w:t>Exhibit 99.17</w:t>
        <w:tab/>
        <w:t>First Amendment to a Warrant Issued on August 4, 2005 to Bank Leumi Le- Israel B.M., dated September 28, 2006.</w:t>
      </w:r>
    </w:p>
    <w:p>
      <w:pPr>
        <w:spacing w:after="0" w:line="138" w:lineRule="exact"/>
        <w:rPr>
          <w:sz w:val="20"/>
          <w:szCs w:val="20"/>
          <w:color w:val="auto"/>
        </w:rPr>
      </w:pPr>
    </w:p>
    <w:p>
      <w:pPr>
        <w:ind w:right="4579" w:firstLine="368"/>
        <w:spacing w:after="0" w:line="250" w:lineRule="auto"/>
        <w:rPr>
          <w:sz w:val="20"/>
          <w:szCs w:val="20"/>
          <w:color w:val="auto"/>
        </w:rPr>
      </w:pPr>
      <w:r>
        <w:rPr>
          <w:rFonts w:ascii="Courier New" w:cs="Courier New" w:eastAsia="Courier New" w:hAnsi="Courier New"/>
          <w:sz w:val="12"/>
          <w:szCs w:val="12"/>
          <w:color w:val="auto"/>
        </w:rPr>
        <w:t>This Form 6-K, including all exhibits hereto, is hereby incorporated by reference into all effective registration statements filed by us under the Securities Act of 1933, except that the information herein relating to EBITDA and related non-GAAP financial measure disclosures is expressly excluded from such incorporation.</w:t>
      </w:r>
    </w:p>
    <w:p>
      <w:pPr>
        <w:sectPr>
          <w:pgSz w:w="11900" w:h="16838" w:orient="portrait"/>
          <w:cols w:equalWidth="0" w:num="1">
            <w:col w:w="10239"/>
          </w:cols>
          <w:pgMar w:left="220" w:top="689" w:right="1440" w:bottom="1440" w:gutter="0" w:footer="0" w:header="0"/>
        </w:sectPr>
      </w:pPr>
    </w:p>
    <w:bookmarkStart w:id="2" w:name="page3"/>
    <w:bookmarkEnd w:id="2"/>
    <w:p>
      <w:pPr>
        <w:jc w:val="center"/>
        <w:ind w:right="4359"/>
        <w:spacing w:after="0"/>
        <w:rPr>
          <w:sz w:val="20"/>
          <w:szCs w:val="20"/>
          <w:color w:val="auto"/>
        </w:rPr>
      </w:pPr>
      <w:r>
        <w:rPr>
          <w:rFonts w:ascii="Courier New" w:cs="Courier New" w:eastAsia="Courier New" w:hAnsi="Courier New"/>
          <w:sz w:val="12"/>
          <w:szCs w:val="12"/>
          <w:color w:val="auto"/>
        </w:rPr>
        <w:t>SIGNATURES</w:t>
      </w:r>
    </w:p>
    <w:p>
      <w:pPr>
        <w:spacing w:after="0" w:line="147" w:lineRule="exact"/>
        <w:rPr>
          <w:sz w:val="20"/>
          <w:szCs w:val="20"/>
          <w:color w:val="auto"/>
        </w:rPr>
      </w:pPr>
    </w:p>
    <w:p>
      <w:pPr>
        <w:ind w:right="4579" w:firstLine="368"/>
        <w:spacing w:after="0" w:line="251" w:lineRule="auto"/>
        <w:rPr>
          <w:sz w:val="20"/>
          <w:szCs w:val="20"/>
          <w:color w:val="auto"/>
        </w:rPr>
      </w:pPr>
      <w:r>
        <w:rPr>
          <w:rFonts w:ascii="Courier New" w:cs="Courier New" w:eastAsia="Courier New" w:hAnsi="Courier New"/>
          <w:sz w:val="12"/>
          <w:szCs w:val="12"/>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3600"/>
        <w:spacing w:after="0"/>
        <w:rPr>
          <w:sz w:val="20"/>
          <w:szCs w:val="20"/>
          <w:color w:val="auto"/>
        </w:rPr>
      </w:pPr>
      <w:r>
        <w:rPr>
          <w:rFonts w:ascii="Courier New" w:cs="Courier New" w:eastAsia="Courier New" w:hAnsi="Courier New"/>
          <w:sz w:val="12"/>
          <w:szCs w:val="12"/>
          <w:color w:val="auto"/>
        </w:rPr>
        <w:t>TOWER SEMICONDUCTOR LTD.</w:t>
      </w:r>
    </w:p>
    <w:p>
      <w:pPr>
        <w:sectPr>
          <w:pgSz w:w="11900" w:h="16838" w:orient="portrait"/>
          <w:cols w:equalWidth="0" w:num="1">
            <w:col w:w="10239"/>
          </w:cols>
          <w:pgMar w:left="220" w:top="689" w:right="1440" w:bottom="1440" w:gutter="0" w:footer="0" w:header="0"/>
        </w:sect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Date: November 7, 2006</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By: /s/ Nati Somekh Gilboa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Nati Somekh Gilboa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Corporate Secretary</w:t>
      </w:r>
    </w:p>
    <w:p>
      <w:pPr>
        <w:sectPr>
          <w:pgSz w:w="11900" w:h="16838" w:orient="portrait"/>
          <w:cols w:equalWidth="0" w:num="2">
            <w:col w:w="2880" w:space="720"/>
            <w:col w:w="6639"/>
          </w:cols>
          <w:pgMar w:left="220" w:top="689"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38"/>
        </w:trPr>
        <w:tc>
          <w:tcPr>
            <w:tcW w:w="4820" w:type="dxa"/>
            <w:vAlign w:val="bottom"/>
          </w:tcPr>
          <w:p>
            <w:pPr>
              <w:spacing w:after="0"/>
              <w:rPr>
                <w:sz w:val="12"/>
                <w:szCs w:val="12"/>
                <w:color w:val="auto"/>
              </w:rPr>
            </w:pPr>
          </w:p>
        </w:tc>
        <w:tc>
          <w:tcPr>
            <w:tcW w:w="132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EXHIBIT 99.1</w:t>
            </w: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83"/>
        </w:trPr>
        <w:tc>
          <w:tcPr>
            <w:tcW w:w="4820" w:type="dxa"/>
            <w:vAlign w:val="bottom"/>
          </w:tcPr>
          <w:p>
            <w:pPr>
              <w:jc w:val="center"/>
              <w:ind w:left="1079"/>
              <w:spacing w:after="0"/>
              <w:rPr>
                <w:sz w:val="20"/>
                <w:szCs w:val="20"/>
                <w:color w:val="auto"/>
              </w:rPr>
            </w:pPr>
            <w:r>
              <w:rPr>
                <w:rFonts w:ascii="Courier New" w:cs="Courier New" w:eastAsia="Courier New" w:hAnsi="Courier New"/>
                <w:sz w:val="12"/>
                <w:szCs w:val="12"/>
                <w:color w:val="auto"/>
              </w:rPr>
              <w:t>TOWER SEMICONDUCTOR LTD. AND SUBSIDIARY</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2"/>
        </w:trPr>
        <w:tc>
          <w:tcPr>
            <w:tcW w:w="4820" w:type="dxa"/>
            <w:vAlign w:val="bottom"/>
          </w:tcPr>
          <w:p>
            <w:pPr>
              <w:jc w:val="center"/>
              <w:ind w:left="1079"/>
              <w:spacing w:after="0"/>
              <w:rPr>
                <w:sz w:val="20"/>
                <w:szCs w:val="20"/>
                <w:color w:val="auto"/>
              </w:rPr>
            </w:pPr>
            <w:r>
              <w:rPr>
                <w:rFonts w:ascii="Courier New" w:cs="Courier New" w:eastAsia="Courier New" w:hAnsi="Courier New"/>
                <w:sz w:val="12"/>
                <w:szCs w:val="12"/>
                <w:color w:val="auto"/>
              </w:rPr>
              <w:t>UNAUDITED CONDENSED INTERIM</w:t>
            </w: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2"/>
        </w:trPr>
        <w:tc>
          <w:tcPr>
            <w:tcW w:w="4820" w:type="dxa"/>
            <w:vAlign w:val="bottom"/>
          </w:tcPr>
          <w:p>
            <w:pPr>
              <w:jc w:val="center"/>
              <w:ind w:left="1079"/>
              <w:spacing w:after="0"/>
              <w:rPr>
                <w:sz w:val="20"/>
                <w:szCs w:val="20"/>
                <w:color w:val="auto"/>
              </w:rPr>
            </w:pPr>
            <w:r>
              <w:rPr>
                <w:rFonts w:ascii="Courier New" w:cs="Courier New" w:eastAsia="Courier New" w:hAnsi="Courier New"/>
                <w:sz w:val="12"/>
                <w:szCs w:val="12"/>
                <w:color w:val="auto"/>
              </w:rPr>
              <w:t>CONSOLIDATED FINANCIAL STATEMENTS</w:t>
            </w: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2"/>
        </w:trPr>
        <w:tc>
          <w:tcPr>
            <w:tcW w:w="4820" w:type="dxa"/>
            <w:vAlign w:val="bottom"/>
          </w:tcPr>
          <w:p>
            <w:pPr>
              <w:jc w:val="center"/>
              <w:ind w:left="999"/>
              <w:spacing w:after="0"/>
              <w:rPr>
                <w:sz w:val="20"/>
                <w:szCs w:val="20"/>
                <w:color w:val="auto"/>
              </w:rPr>
            </w:pPr>
            <w:r>
              <w:rPr>
                <w:rFonts w:ascii="Courier New" w:cs="Courier New" w:eastAsia="Courier New" w:hAnsi="Courier New"/>
                <w:sz w:val="12"/>
                <w:szCs w:val="12"/>
                <w:color w:val="auto"/>
              </w:rPr>
              <w:t>AS OF SEPTEMBER 30, 2006</w:t>
            </w: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547"/>
        </w:trPr>
        <w:tc>
          <w:tcPr>
            <w:tcW w:w="4820" w:type="dxa"/>
            <w:vAlign w:val="bottom"/>
          </w:tcPr>
          <w:p>
            <w:pPr>
              <w:jc w:val="center"/>
              <w:ind w:left="1079"/>
              <w:spacing w:after="0"/>
              <w:rPr>
                <w:sz w:val="20"/>
                <w:szCs w:val="20"/>
                <w:color w:val="auto"/>
              </w:rPr>
            </w:pPr>
            <w:r>
              <w:rPr>
                <w:rFonts w:ascii="Courier New" w:cs="Courier New" w:eastAsia="Courier New" w:hAnsi="Courier New"/>
                <w:sz w:val="12"/>
                <w:szCs w:val="12"/>
                <w:color w:val="auto"/>
              </w:rPr>
              <w:t>TOWER SEMICONDUCTOR LTD. AND SUBSIDIARY</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3"/>
        </w:trPr>
        <w:tc>
          <w:tcPr>
            <w:tcW w:w="4820" w:type="dxa"/>
            <w:vAlign w:val="bottom"/>
          </w:tcPr>
          <w:p>
            <w:pPr>
              <w:jc w:val="center"/>
              <w:ind w:left="999"/>
              <w:spacing w:after="0"/>
              <w:rPr>
                <w:sz w:val="20"/>
                <w:szCs w:val="20"/>
                <w:color w:val="auto"/>
              </w:rPr>
            </w:pPr>
            <w:r>
              <w:rPr>
                <w:rFonts w:ascii="Courier New" w:cs="Courier New" w:eastAsia="Courier New" w:hAnsi="Courier New"/>
                <w:sz w:val="12"/>
                <w:szCs w:val="12"/>
                <w:color w:val="auto"/>
              </w:rPr>
              <w:t>INDEX TO UNAUDITED CONDENSED INTERIM</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2"/>
        </w:trPr>
        <w:tc>
          <w:tcPr>
            <w:tcW w:w="4820" w:type="dxa"/>
            <w:vAlign w:val="bottom"/>
          </w:tcPr>
          <w:p>
            <w:pPr>
              <w:jc w:val="center"/>
              <w:ind w:left="1079"/>
              <w:spacing w:after="0"/>
              <w:rPr>
                <w:sz w:val="20"/>
                <w:szCs w:val="20"/>
                <w:color w:val="auto"/>
              </w:rPr>
            </w:pPr>
            <w:r>
              <w:rPr>
                <w:rFonts w:ascii="Courier New" w:cs="Courier New" w:eastAsia="Courier New" w:hAnsi="Courier New"/>
                <w:sz w:val="12"/>
                <w:szCs w:val="12"/>
                <w:color w:val="auto"/>
              </w:rPr>
              <w:t>CONSOLIDATED FINANCIAL STATEMENTS</w:t>
            </w: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2"/>
        </w:trPr>
        <w:tc>
          <w:tcPr>
            <w:tcW w:w="4820" w:type="dxa"/>
            <w:vAlign w:val="bottom"/>
          </w:tcPr>
          <w:p>
            <w:pPr>
              <w:jc w:val="center"/>
              <w:ind w:left="999"/>
              <w:spacing w:after="0"/>
              <w:rPr>
                <w:sz w:val="20"/>
                <w:szCs w:val="20"/>
                <w:color w:val="auto"/>
              </w:rPr>
            </w:pPr>
            <w:r>
              <w:rPr>
                <w:rFonts w:ascii="Courier New" w:cs="Courier New" w:eastAsia="Courier New" w:hAnsi="Courier New"/>
                <w:sz w:val="12"/>
                <w:szCs w:val="12"/>
                <w:color w:val="auto"/>
              </w:rPr>
              <w:t>AS OF SEPTEMBER 30, 2006</w:t>
            </w: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425"/>
        </w:trPr>
        <w:tc>
          <w:tcPr>
            <w:tcW w:w="4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PAGE</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3"/>
        </w:trPr>
        <w:tc>
          <w:tcPr>
            <w:tcW w:w="4820" w:type="dxa"/>
            <w:vAlign w:val="bottom"/>
          </w:tcPr>
          <w:p>
            <w:pPr>
              <w:spacing w:after="0"/>
              <w:rPr>
                <w:sz w:val="20"/>
                <w:szCs w:val="20"/>
                <w:color w:val="auto"/>
              </w:rPr>
            </w:pPr>
            <w:r>
              <w:rPr>
                <w:rFonts w:ascii="Courier New" w:cs="Courier New" w:eastAsia="Courier New" w:hAnsi="Courier New"/>
                <w:sz w:val="12"/>
                <w:szCs w:val="12"/>
                <w:color w:val="auto"/>
              </w:rPr>
              <w:t>BALANCE SHEETS</w:t>
            </w:r>
          </w:p>
        </w:tc>
        <w:tc>
          <w:tcPr>
            <w:tcW w:w="400" w:type="dxa"/>
            <w:vAlign w:val="bottom"/>
          </w:tcPr>
          <w:p>
            <w:pPr>
              <w:spacing w:after="0"/>
              <w:rPr>
                <w:sz w:val="24"/>
                <w:szCs w:val="24"/>
                <w:color w:val="auto"/>
              </w:rPr>
            </w:pPr>
          </w:p>
        </w:tc>
        <w:tc>
          <w:tcPr>
            <w:tcW w:w="9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1</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3"/>
        </w:trPr>
        <w:tc>
          <w:tcPr>
            <w:tcW w:w="4820" w:type="dxa"/>
            <w:vAlign w:val="bottom"/>
          </w:tcPr>
          <w:p>
            <w:pPr>
              <w:spacing w:after="0"/>
              <w:rPr>
                <w:sz w:val="20"/>
                <w:szCs w:val="20"/>
                <w:color w:val="auto"/>
              </w:rPr>
            </w:pPr>
            <w:r>
              <w:rPr>
                <w:rFonts w:ascii="Courier New" w:cs="Courier New" w:eastAsia="Courier New" w:hAnsi="Courier New"/>
                <w:sz w:val="12"/>
                <w:szCs w:val="12"/>
                <w:color w:val="auto"/>
              </w:rPr>
              <w:t>STATEMENTS OF OPERATIONS</w:t>
            </w:r>
          </w:p>
        </w:tc>
        <w:tc>
          <w:tcPr>
            <w:tcW w:w="400" w:type="dxa"/>
            <w:vAlign w:val="bottom"/>
          </w:tcPr>
          <w:p>
            <w:pPr>
              <w:spacing w:after="0"/>
              <w:rPr>
                <w:sz w:val="24"/>
                <w:szCs w:val="24"/>
                <w:color w:val="auto"/>
              </w:rPr>
            </w:pPr>
          </w:p>
        </w:tc>
        <w:tc>
          <w:tcPr>
            <w:tcW w:w="9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2</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3"/>
        </w:trPr>
        <w:tc>
          <w:tcPr>
            <w:tcW w:w="4820" w:type="dxa"/>
            <w:vAlign w:val="bottom"/>
          </w:tcPr>
          <w:p>
            <w:pPr>
              <w:spacing w:after="0"/>
              <w:rPr>
                <w:sz w:val="20"/>
                <w:szCs w:val="20"/>
                <w:color w:val="auto"/>
              </w:rPr>
            </w:pPr>
            <w:r>
              <w:rPr>
                <w:rFonts w:ascii="Courier New" w:cs="Courier New" w:eastAsia="Courier New" w:hAnsi="Courier New"/>
                <w:sz w:val="12"/>
                <w:szCs w:val="12"/>
                <w:color w:val="auto"/>
              </w:rPr>
              <w:t>STATEMENTS OF CHANGES IN SHAREHOLDERS' EQUITY</w:t>
            </w:r>
          </w:p>
        </w:tc>
        <w:tc>
          <w:tcPr>
            <w:tcW w:w="400" w:type="dxa"/>
            <w:vAlign w:val="bottom"/>
          </w:tcPr>
          <w:p>
            <w:pPr>
              <w:spacing w:after="0"/>
              <w:rPr>
                <w:sz w:val="24"/>
                <w:szCs w:val="24"/>
                <w:color w:val="auto"/>
              </w:rPr>
            </w:pPr>
          </w:p>
        </w:tc>
        <w:tc>
          <w:tcPr>
            <w:tcW w:w="9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3</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3"/>
        </w:trPr>
        <w:tc>
          <w:tcPr>
            <w:tcW w:w="4820" w:type="dxa"/>
            <w:vAlign w:val="bottom"/>
          </w:tcPr>
          <w:p>
            <w:pPr>
              <w:spacing w:after="0"/>
              <w:rPr>
                <w:sz w:val="20"/>
                <w:szCs w:val="20"/>
                <w:color w:val="auto"/>
              </w:rPr>
            </w:pPr>
            <w:r>
              <w:rPr>
                <w:rFonts w:ascii="Courier New" w:cs="Courier New" w:eastAsia="Courier New" w:hAnsi="Courier New"/>
                <w:sz w:val="12"/>
                <w:szCs w:val="12"/>
                <w:color w:val="auto"/>
              </w:rPr>
              <w:t>STATEMENTS OF CASH FLOWS</w:t>
            </w:r>
          </w:p>
        </w:tc>
        <w:tc>
          <w:tcPr>
            <w:tcW w:w="400" w:type="dxa"/>
            <w:vAlign w:val="bottom"/>
          </w:tcPr>
          <w:p>
            <w:pPr>
              <w:spacing w:after="0"/>
              <w:rPr>
                <w:sz w:val="24"/>
                <w:szCs w:val="24"/>
                <w:color w:val="auto"/>
              </w:rPr>
            </w:pPr>
          </w:p>
        </w:tc>
        <w:tc>
          <w:tcPr>
            <w:tcW w:w="9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4</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3"/>
        </w:trPr>
        <w:tc>
          <w:tcPr>
            <w:tcW w:w="4820" w:type="dxa"/>
            <w:vAlign w:val="bottom"/>
          </w:tcPr>
          <w:p>
            <w:pPr>
              <w:spacing w:after="0"/>
              <w:rPr>
                <w:sz w:val="20"/>
                <w:szCs w:val="20"/>
                <w:color w:val="auto"/>
              </w:rPr>
            </w:pPr>
            <w:r>
              <w:rPr>
                <w:rFonts w:ascii="Courier New" w:cs="Courier New" w:eastAsia="Courier New" w:hAnsi="Courier New"/>
                <w:sz w:val="12"/>
                <w:szCs w:val="12"/>
                <w:color w:val="auto"/>
              </w:rPr>
              <w:t>NOTES TO FINANCIAL STATEMENTS</w:t>
            </w:r>
          </w:p>
        </w:tc>
        <w:tc>
          <w:tcPr>
            <w:tcW w:w="400" w:type="dxa"/>
            <w:vAlign w:val="bottom"/>
          </w:tcPr>
          <w:p>
            <w:pPr>
              <w:spacing w:after="0"/>
              <w:rPr>
                <w:sz w:val="24"/>
                <w:szCs w:val="24"/>
                <w:color w:val="auto"/>
              </w:rPr>
            </w:pPr>
          </w:p>
        </w:tc>
        <w:tc>
          <w:tcPr>
            <w:tcW w:w="92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5-28</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31"/>
        </w:trPr>
        <w:tc>
          <w:tcPr>
            <w:tcW w:w="4820" w:type="dxa"/>
            <w:vAlign w:val="bottom"/>
          </w:tcPr>
          <w:p>
            <w:pPr>
              <w:jc w:val="center"/>
              <w:ind w:left="1079"/>
              <w:spacing w:after="0"/>
              <w:rPr>
                <w:sz w:val="20"/>
                <w:szCs w:val="20"/>
                <w:color w:val="auto"/>
              </w:rPr>
            </w:pPr>
            <w:r>
              <w:rPr>
                <w:rFonts w:ascii="Courier New" w:cs="Courier New" w:eastAsia="Courier New" w:hAnsi="Courier New"/>
                <w:sz w:val="12"/>
                <w:szCs w:val="12"/>
                <w:color w:val="auto"/>
              </w:rPr>
              <w:t>TOWER SEMICONDUCTOR LTD. AND SUBSIDIARY</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2"/>
        </w:trPr>
        <w:tc>
          <w:tcPr>
            <w:tcW w:w="4820" w:type="dxa"/>
            <w:vAlign w:val="bottom"/>
          </w:tcPr>
          <w:p>
            <w:pPr>
              <w:jc w:val="center"/>
              <w:ind w:left="1079"/>
              <w:spacing w:after="0"/>
              <w:rPr>
                <w:sz w:val="20"/>
                <w:szCs w:val="20"/>
                <w:color w:val="auto"/>
              </w:rPr>
            </w:pPr>
            <w:r>
              <w:rPr>
                <w:rFonts w:ascii="Courier New" w:cs="Courier New" w:eastAsia="Courier New" w:hAnsi="Courier New"/>
                <w:sz w:val="12"/>
                <w:szCs w:val="12"/>
                <w:color w:val="auto"/>
              </w:rPr>
              <w:t>CONSOLIDATED BALANCE SHEETS</w:t>
            </w: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2"/>
        </w:trPr>
        <w:tc>
          <w:tcPr>
            <w:tcW w:w="5220" w:type="dxa"/>
            <w:vAlign w:val="bottom"/>
            <w:gridSpan w:val="2"/>
          </w:tcPr>
          <w:p>
            <w:pPr>
              <w:jc w:val="center"/>
              <w:ind w:left="599"/>
              <w:spacing w:after="0"/>
              <w:rPr>
                <w:sz w:val="20"/>
                <w:szCs w:val="20"/>
                <w:color w:val="auto"/>
              </w:rPr>
            </w:pPr>
            <w:r>
              <w:rPr>
                <w:rFonts w:ascii="Courier New" w:cs="Courier New" w:eastAsia="Courier New" w:hAnsi="Courier New"/>
                <w:sz w:val="12"/>
                <w:szCs w:val="12"/>
                <w:color w:val="auto"/>
              </w:rPr>
              <w:t>(dollars in thousands, except share data and per share data)</w:t>
            </w: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83"/>
        </w:trPr>
        <w:tc>
          <w:tcPr>
            <w:tcW w:w="4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40" w:type="dxa"/>
            <w:vAlign w:val="bottom"/>
            <w:gridSpan w:val="3"/>
          </w:tcPr>
          <w:p>
            <w:pPr>
              <w:jc w:val="right"/>
              <w:ind w:right="459"/>
              <w:spacing w:after="0"/>
              <w:rPr>
                <w:sz w:val="20"/>
                <w:szCs w:val="20"/>
                <w:color w:val="auto"/>
              </w:rPr>
            </w:pPr>
            <w:r>
              <w:rPr>
                <w:rFonts w:ascii="Courier New" w:cs="Courier New" w:eastAsia="Courier New" w:hAnsi="Courier New"/>
                <w:sz w:val="12"/>
                <w:szCs w:val="12"/>
                <w:color w:val="auto"/>
              </w:rPr>
              <w:t>AS OF SEPTEMBER 30,</w:t>
            </w:r>
          </w:p>
        </w:tc>
        <w:tc>
          <w:tcPr>
            <w:tcW w:w="1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DECEMBER 31,</w:t>
            </w:r>
          </w:p>
        </w:tc>
      </w:tr>
      <w:tr>
        <w:trPr>
          <w:trHeight w:val="142"/>
        </w:trPr>
        <w:tc>
          <w:tcPr>
            <w:tcW w:w="4820" w:type="dxa"/>
            <w:vAlign w:val="bottom"/>
          </w:tcPr>
          <w:p>
            <w:pPr>
              <w:spacing w:after="0"/>
              <w:rPr>
                <w:sz w:val="12"/>
                <w:szCs w:val="12"/>
                <w:color w:val="auto"/>
              </w:rPr>
            </w:pPr>
          </w:p>
        </w:tc>
        <w:tc>
          <w:tcPr>
            <w:tcW w:w="2540" w:type="dxa"/>
            <w:vAlign w:val="bottom"/>
            <w:gridSpan w:val="4"/>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42"/>
        </w:trPr>
        <w:tc>
          <w:tcPr>
            <w:tcW w:w="4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2006</w:t>
            </w:r>
          </w:p>
        </w:tc>
        <w:tc>
          <w:tcPr>
            <w:tcW w:w="340" w:type="dxa"/>
            <w:vAlign w:val="bottom"/>
          </w:tcPr>
          <w:p>
            <w:pPr>
              <w:spacing w:after="0"/>
              <w:rPr>
                <w:sz w:val="12"/>
                <w:szCs w:val="12"/>
                <w:color w:val="auto"/>
              </w:rPr>
            </w:pPr>
          </w:p>
        </w:tc>
        <w:tc>
          <w:tcPr>
            <w:tcW w:w="8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2005</w:t>
            </w:r>
          </w:p>
        </w:tc>
        <w:tc>
          <w:tcPr>
            <w:tcW w:w="360" w:type="dxa"/>
            <w:vAlign w:val="bottom"/>
          </w:tcPr>
          <w:p>
            <w:pPr>
              <w:spacing w:after="0"/>
              <w:rPr>
                <w:sz w:val="12"/>
                <w:szCs w:val="12"/>
                <w:color w:val="auto"/>
              </w:rPr>
            </w:pPr>
          </w:p>
        </w:tc>
        <w:tc>
          <w:tcPr>
            <w:tcW w:w="7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2005</w:t>
            </w:r>
          </w:p>
        </w:tc>
      </w:tr>
      <w:tr>
        <w:trPr>
          <w:trHeight w:val="142"/>
        </w:trPr>
        <w:tc>
          <w:tcPr>
            <w:tcW w:w="4820" w:type="dxa"/>
            <w:vAlign w:val="bottom"/>
          </w:tcPr>
          <w:p>
            <w:pPr>
              <w:spacing w:after="0"/>
              <w:rPr>
                <w:sz w:val="12"/>
                <w:szCs w:val="12"/>
                <w:color w:val="auto"/>
              </w:rPr>
            </w:pP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42"/>
        </w:trPr>
        <w:tc>
          <w:tcPr>
            <w:tcW w:w="4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(UNAUDITED)</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2540" w:type="dxa"/>
            <w:vAlign w:val="bottom"/>
            <w:gridSpan w:val="4"/>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2"/>
        </w:trPr>
        <w:tc>
          <w:tcPr>
            <w:tcW w:w="4820" w:type="dxa"/>
            <w:vAlign w:val="bottom"/>
          </w:tcPr>
          <w:p>
            <w:pPr>
              <w:spacing w:after="0"/>
              <w:rPr>
                <w:sz w:val="20"/>
                <w:szCs w:val="20"/>
                <w:color w:val="auto"/>
              </w:rPr>
            </w:pPr>
            <w:r>
              <w:rPr>
                <w:rFonts w:ascii="Courier New" w:cs="Courier New" w:eastAsia="Courier New" w:hAnsi="Courier New"/>
                <w:sz w:val="12"/>
                <w:szCs w:val="12"/>
                <w:color w:val="auto"/>
              </w:rPr>
              <w:t>A S S E T S</w:t>
            </w: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83"/>
        </w:trPr>
        <w:tc>
          <w:tcPr>
            <w:tcW w:w="4820" w:type="dxa"/>
            <w:vAlign w:val="bottom"/>
          </w:tcPr>
          <w:p>
            <w:pPr>
              <w:ind w:left="300"/>
              <w:spacing w:after="0"/>
              <w:rPr>
                <w:sz w:val="20"/>
                <w:szCs w:val="20"/>
                <w:color w:val="auto"/>
              </w:rPr>
            </w:pPr>
            <w:r>
              <w:rPr>
                <w:rFonts w:ascii="Courier New" w:cs="Courier New" w:eastAsia="Courier New" w:hAnsi="Courier New"/>
                <w:sz w:val="12"/>
                <w:szCs w:val="12"/>
                <w:color w:val="auto"/>
              </w:rPr>
              <w:t>CURRENT ASSETS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2"/>
        </w:trPr>
        <w:tc>
          <w:tcPr>
            <w:tcW w:w="4820" w:type="dxa"/>
            <w:vAlign w:val="bottom"/>
          </w:tcPr>
          <w:p>
            <w:pPr>
              <w:ind w:left="520"/>
              <w:spacing w:after="0"/>
              <w:rPr>
                <w:sz w:val="20"/>
                <w:szCs w:val="20"/>
                <w:color w:val="auto"/>
              </w:rPr>
            </w:pPr>
            <w:r>
              <w:rPr>
                <w:rFonts w:ascii="Courier New" w:cs="Courier New" w:eastAsia="Courier New" w:hAnsi="Courier New"/>
                <w:sz w:val="12"/>
                <w:szCs w:val="12"/>
                <w:color w:val="auto"/>
              </w:rPr>
              <w:t>CASH AND CASH EQUIVALENTS</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61,746</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11,719</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7,337</w:t>
            </w:r>
          </w:p>
        </w:tc>
      </w:tr>
      <w:tr>
        <w:trPr>
          <w:trHeight w:val="142"/>
        </w:trPr>
        <w:tc>
          <w:tcPr>
            <w:tcW w:w="4820" w:type="dxa"/>
            <w:vAlign w:val="bottom"/>
          </w:tcPr>
          <w:p>
            <w:pPr>
              <w:ind w:left="520"/>
              <w:spacing w:after="0"/>
              <w:rPr>
                <w:sz w:val="20"/>
                <w:szCs w:val="20"/>
                <w:color w:val="auto"/>
              </w:rPr>
            </w:pPr>
            <w:r>
              <w:rPr>
                <w:rFonts w:ascii="Courier New" w:cs="Courier New" w:eastAsia="Courier New" w:hAnsi="Courier New"/>
                <w:sz w:val="12"/>
                <w:szCs w:val="12"/>
                <w:color w:val="auto"/>
              </w:rPr>
              <w:t>DESIGNATED CASH AND SHORT-TERM INTEREST-BEARING DEPOSITS</w:t>
            </w: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17,972</w:t>
            </w:r>
          </w:p>
        </w:tc>
        <w:tc>
          <w:tcPr>
            <w:tcW w:w="360" w:type="dxa"/>
            <w:vAlign w:val="bottom"/>
          </w:tcPr>
          <w:p>
            <w:pPr>
              <w:spacing w:after="0"/>
              <w:rPr>
                <w:sz w:val="12"/>
                <w:szCs w:val="12"/>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31,661</w:t>
            </w:r>
          </w:p>
        </w:tc>
      </w:tr>
      <w:tr>
        <w:trPr>
          <w:trHeight w:val="142"/>
        </w:trPr>
        <w:tc>
          <w:tcPr>
            <w:tcW w:w="4820" w:type="dxa"/>
            <w:vAlign w:val="bottom"/>
          </w:tcPr>
          <w:p>
            <w:pPr>
              <w:ind w:left="520"/>
              <w:spacing w:after="0"/>
              <w:rPr>
                <w:sz w:val="20"/>
                <w:szCs w:val="20"/>
                <w:color w:val="auto"/>
              </w:rPr>
            </w:pPr>
            <w:r>
              <w:rPr>
                <w:rFonts w:ascii="Courier New" w:cs="Courier New" w:eastAsia="Courier New" w:hAnsi="Courier New"/>
                <w:sz w:val="12"/>
                <w:szCs w:val="12"/>
                <w:color w:val="auto"/>
              </w:rPr>
              <w:t>TRADE ACCOUNTS RECEIVABLE:</w:t>
            </w: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2"/>
        </w:trPr>
        <w:tc>
          <w:tcPr>
            <w:tcW w:w="4820" w:type="dxa"/>
            <w:vAlign w:val="bottom"/>
          </w:tcPr>
          <w:p>
            <w:pPr>
              <w:ind w:left="660"/>
              <w:spacing w:after="0"/>
              <w:rPr>
                <w:sz w:val="20"/>
                <w:szCs w:val="20"/>
                <w:color w:val="auto"/>
              </w:rPr>
            </w:pPr>
            <w:r>
              <w:rPr>
                <w:rFonts w:ascii="Courier New" w:cs="Courier New" w:eastAsia="Courier New" w:hAnsi="Courier New"/>
                <w:sz w:val="12"/>
                <w:szCs w:val="12"/>
                <w:color w:val="auto"/>
              </w:rPr>
              <w:t>RELATED PARTIES</w:t>
            </w: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8,928</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3,147</w:t>
            </w:r>
          </w:p>
        </w:tc>
        <w:tc>
          <w:tcPr>
            <w:tcW w:w="360" w:type="dxa"/>
            <w:vAlign w:val="bottom"/>
          </w:tcPr>
          <w:p>
            <w:pPr>
              <w:spacing w:after="0"/>
              <w:rPr>
                <w:sz w:val="12"/>
                <w:szCs w:val="12"/>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5,309</w:t>
            </w:r>
          </w:p>
        </w:tc>
      </w:tr>
      <w:tr>
        <w:trPr>
          <w:trHeight w:val="142"/>
        </w:trPr>
        <w:tc>
          <w:tcPr>
            <w:tcW w:w="4820" w:type="dxa"/>
            <w:vAlign w:val="bottom"/>
          </w:tcPr>
          <w:p>
            <w:pPr>
              <w:ind w:left="660"/>
              <w:spacing w:after="0"/>
              <w:rPr>
                <w:sz w:val="20"/>
                <w:szCs w:val="20"/>
                <w:color w:val="auto"/>
              </w:rPr>
            </w:pPr>
            <w:r>
              <w:rPr>
                <w:rFonts w:ascii="Courier New" w:cs="Courier New" w:eastAsia="Courier New" w:hAnsi="Courier New"/>
                <w:sz w:val="12"/>
                <w:szCs w:val="12"/>
                <w:color w:val="auto"/>
              </w:rPr>
              <w:t>OTHERS</w:t>
            </w: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16,708</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6,485</w:t>
            </w:r>
          </w:p>
        </w:tc>
        <w:tc>
          <w:tcPr>
            <w:tcW w:w="360" w:type="dxa"/>
            <w:vAlign w:val="bottom"/>
          </w:tcPr>
          <w:p>
            <w:pPr>
              <w:spacing w:after="0"/>
              <w:rPr>
                <w:sz w:val="12"/>
                <w:szCs w:val="12"/>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11,467</w:t>
            </w:r>
          </w:p>
        </w:tc>
      </w:tr>
      <w:tr>
        <w:trPr>
          <w:trHeight w:val="142"/>
        </w:trPr>
        <w:tc>
          <w:tcPr>
            <w:tcW w:w="4820" w:type="dxa"/>
            <w:vAlign w:val="bottom"/>
          </w:tcPr>
          <w:p>
            <w:pPr>
              <w:ind w:left="520"/>
              <w:spacing w:after="0"/>
              <w:rPr>
                <w:sz w:val="20"/>
                <w:szCs w:val="20"/>
                <w:color w:val="auto"/>
              </w:rPr>
            </w:pPr>
            <w:r>
              <w:rPr>
                <w:rFonts w:ascii="Courier New" w:cs="Courier New" w:eastAsia="Courier New" w:hAnsi="Courier New"/>
                <w:sz w:val="12"/>
                <w:szCs w:val="12"/>
                <w:color w:val="auto"/>
              </w:rPr>
              <w:t>OTHER RECEIVABLES</w:t>
            </w: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12,807</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8,099</w:t>
            </w:r>
          </w:p>
        </w:tc>
        <w:tc>
          <w:tcPr>
            <w:tcW w:w="360" w:type="dxa"/>
            <w:vAlign w:val="bottom"/>
          </w:tcPr>
          <w:p>
            <w:pPr>
              <w:spacing w:after="0"/>
              <w:rPr>
                <w:sz w:val="12"/>
                <w:szCs w:val="12"/>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9,043</w:t>
            </w:r>
          </w:p>
        </w:tc>
      </w:tr>
      <w:tr>
        <w:trPr>
          <w:trHeight w:val="142"/>
        </w:trPr>
        <w:tc>
          <w:tcPr>
            <w:tcW w:w="4820" w:type="dxa"/>
            <w:vAlign w:val="bottom"/>
          </w:tcPr>
          <w:p>
            <w:pPr>
              <w:ind w:left="520"/>
              <w:spacing w:after="0"/>
              <w:rPr>
                <w:sz w:val="20"/>
                <w:szCs w:val="20"/>
                <w:color w:val="auto"/>
              </w:rPr>
            </w:pPr>
            <w:r>
              <w:rPr>
                <w:rFonts w:ascii="Courier New" w:cs="Courier New" w:eastAsia="Courier New" w:hAnsi="Courier New"/>
                <w:sz w:val="12"/>
                <w:szCs w:val="12"/>
                <w:color w:val="auto"/>
              </w:rPr>
              <w:t>INVENTORIES</w:t>
            </w: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38,519</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20,902</w:t>
            </w:r>
          </w:p>
        </w:tc>
        <w:tc>
          <w:tcPr>
            <w:tcW w:w="360" w:type="dxa"/>
            <w:vAlign w:val="bottom"/>
          </w:tcPr>
          <w:p>
            <w:pPr>
              <w:spacing w:after="0"/>
              <w:rPr>
                <w:sz w:val="12"/>
                <w:szCs w:val="12"/>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24,376</w:t>
            </w:r>
          </w:p>
        </w:tc>
      </w:tr>
      <w:tr>
        <w:trPr>
          <w:trHeight w:val="142"/>
        </w:trPr>
        <w:tc>
          <w:tcPr>
            <w:tcW w:w="4820" w:type="dxa"/>
            <w:vAlign w:val="bottom"/>
          </w:tcPr>
          <w:p>
            <w:pPr>
              <w:ind w:left="520"/>
              <w:spacing w:after="0"/>
              <w:rPr>
                <w:sz w:val="20"/>
                <w:szCs w:val="20"/>
                <w:color w:val="auto"/>
              </w:rPr>
            </w:pPr>
            <w:r>
              <w:rPr>
                <w:rFonts w:ascii="Courier New" w:cs="Courier New" w:eastAsia="Courier New" w:hAnsi="Courier New"/>
                <w:sz w:val="12"/>
                <w:szCs w:val="12"/>
                <w:color w:val="auto"/>
              </w:rPr>
              <w:t>OTHER CURRENT ASSETS</w:t>
            </w: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1,737</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2,429</w:t>
            </w:r>
          </w:p>
        </w:tc>
        <w:tc>
          <w:tcPr>
            <w:tcW w:w="360" w:type="dxa"/>
            <w:vAlign w:val="bottom"/>
          </w:tcPr>
          <w:p>
            <w:pPr>
              <w:spacing w:after="0"/>
              <w:rPr>
                <w:sz w:val="12"/>
                <w:szCs w:val="12"/>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1,048</w:t>
            </w:r>
          </w:p>
        </w:tc>
      </w:tr>
      <w:tr>
        <w:trPr>
          <w:trHeight w:val="142"/>
        </w:trPr>
        <w:tc>
          <w:tcPr>
            <w:tcW w:w="4820" w:type="dxa"/>
            <w:vAlign w:val="bottom"/>
          </w:tcPr>
          <w:p>
            <w:pPr>
              <w:spacing w:after="0"/>
              <w:rPr>
                <w:sz w:val="12"/>
                <w:szCs w:val="12"/>
                <w:color w:val="auto"/>
              </w:rPr>
            </w:pP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42"/>
        </w:trPr>
        <w:tc>
          <w:tcPr>
            <w:tcW w:w="4820" w:type="dxa"/>
            <w:vAlign w:val="bottom"/>
          </w:tcPr>
          <w:p>
            <w:pPr>
              <w:ind w:left="660"/>
              <w:spacing w:after="0"/>
              <w:rPr>
                <w:sz w:val="20"/>
                <w:szCs w:val="20"/>
                <w:color w:val="auto"/>
              </w:rPr>
            </w:pPr>
            <w:r>
              <w:rPr>
                <w:rFonts w:ascii="Courier New" w:cs="Courier New" w:eastAsia="Courier New" w:hAnsi="Courier New"/>
                <w:sz w:val="12"/>
                <w:szCs w:val="12"/>
                <w:color w:val="auto"/>
              </w:rPr>
              <w:t>TOTAL CURRENT ASSETS</w:t>
            </w: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140,445</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70,753</w:t>
            </w:r>
          </w:p>
        </w:tc>
        <w:tc>
          <w:tcPr>
            <w:tcW w:w="360" w:type="dxa"/>
            <w:vAlign w:val="bottom"/>
          </w:tcPr>
          <w:p>
            <w:pPr>
              <w:spacing w:after="0"/>
              <w:rPr>
                <w:sz w:val="12"/>
                <w:szCs w:val="12"/>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90,241</w:t>
            </w:r>
          </w:p>
        </w:tc>
      </w:tr>
      <w:tr>
        <w:trPr>
          <w:trHeight w:val="142"/>
        </w:trPr>
        <w:tc>
          <w:tcPr>
            <w:tcW w:w="4820" w:type="dxa"/>
            <w:vAlign w:val="bottom"/>
          </w:tcPr>
          <w:p>
            <w:pPr>
              <w:spacing w:after="0"/>
              <w:rPr>
                <w:sz w:val="12"/>
                <w:szCs w:val="12"/>
                <w:color w:val="auto"/>
              </w:rPr>
            </w:pP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283"/>
        </w:trPr>
        <w:tc>
          <w:tcPr>
            <w:tcW w:w="4820" w:type="dxa"/>
            <w:vAlign w:val="bottom"/>
          </w:tcPr>
          <w:p>
            <w:pPr>
              <w:ind w:left="300"/>
              <w:spacing w:after="0"/>
              <w:rPr>
                <w:sz w:val="20"/>
                <w:szCs w:val="20"/>
                <w:color w:val="auto"/>
              </w:rPr>
            </w:pPr>
            <w:r>
              <w:rPr>
                <w:rFonts w:ascii="Courier New" w:cs="Courier New" w:eastAsia="Courier New" w:hAnsi="Courier New"/>
                <w:sz w:val="12"/>
                <w:szCs w:val="12"/>
                <w:color w:val="auto"/>
              </w:rPr>
              <w:t>PROPERTY AND EQUIPMENT, NET</w:t>
            </w:r>
          </w:p>
        </w:tc>
        <w:tc>
          <w:tcPr>
            <w:tcW w:w="400" w:type="dxa"/>
            <w:vAlign w:val="bottom"/>
          </w:tcPr>
          <w:p>
            <w:pPr>
              <w:spacing w:after="0"/>
              <w:rPr>
                <w:sz w:val="24"/>
                <w:szCs w:val="24"/>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522,018</w:t>
            </w:r>
          </w:p>
        </w:tc>
        <w:tc>
          <w:tcPr>
            <w:tcW w:w="340" w:type="dxa"/>
            <w:vAlign w:val="bottom"/>
          </w:tcPr>
          <w:p>
            <w:pPr>
              <w:spacing w:after="0"/>
              <w:rPr>
                <w:sz w:val="24"/>
                <w:szCs w:val="24"/>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534,661</w:t>
            </w:r>
          </w:p>
        </w:tc>
        <w:tc>
          <w:tcPr>
            <w:tcW w:w="360" w:type="dxa"/>
            <w:vAlign w:val="bottom"/>
          </w:tcPr>
          <w:p>
            <w:pPr>
              <w:spacing w:after="0"/>
              <w:rPr>
                <w:sz w:val="24"/>
                <w:szCs w:val="24"/>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510,645</w:t>
            </w:r>
          </w:p>
        </w:tc>
      </w:tr>
      <w:tr>
        <w:trPr>
          <w:trHeight w:val="142"/>
        </w:trPr>
        <w:tc>
          <w:tcPr>
            <w:tcW w:w="4820" w:type="dxa"/>
            <w:vAlign w:val="bottom"/>
          </w:tcPr>
          <w:p>
            <w:pPr>
              <w:spacing w:after="0"/>
              <w:rPr>
                <w:sz w:val="12"/>
                <w:szCs w:val="12"/>
                <w:color w:val="auto"/>
              </w:rPr>
            </w:pP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283"/>
        </w:trPr>
        <w:tc>
          <w:tcPr>
            <w:tcW w:w="4820" w:type="dxa"/>
            <w:vAlign w:val="bottom"/>
          </w:tcPr>
          <w:p>
            <w:pPr>
              <w:ind w:left="300"/>
              <w:spacing w:after="0"/>
              <w:rPr>
                <w:sz w:val="20"/>
                <w:szCs w:val="20"/>
                <w:color w:val="auto"/>
              </w:rPr>
            </w:pPr>
            <w:r>
              <w:rPr>
                <w:rFonts w:ascii="Courier New" w:cs="Courier New" w:eastAsia="Courier New" w:hAnsi="Courier New"/>
                <w:sz w:val="12"/>
                <w:szCs w:val="12"/>
                <w:color w:val="auto"/>
              </w:rPr>
              <w:t>OTHER ASSETS, NET:</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2"/>
        </w:trPr>
        <w:tc>
          <w:tcPr>
            <w:tcW w:w="4820" w:type="dxa"/>
            <w:vAlign w:val="bottom"/>
          </w:tcPr>
          <w:p>
            <w:pPr>
              <w:ind w:left="520"/>
              <w:spacing w:after="0"/>
              <w:rPr>
                <w:sz w:val="20"/>
                <w:szCs w:val="20"/>
                <w:color w:val="auto"/>
              </w:rPr>
            </w:pPr>
            <w:r>
              <w:rPr>
                <w:rFonts w:ascii="Courier New" w:cs="Courier New" w:eastAsia="Courier New" w:hAnsi="Courier New"/>
                <w:sz w:val="12"/>
                <w:szCs w:val="12"/>
                <w:color w:val="auto"/>
              </w:rPr>
              <w:t>TECHNOLOGY</w:t>
            </w: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49,291</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66,658</w:t>
            </w:r>
          </w:p>
        </w:tc>
        <w:tc>
          <w:tcPr>
            <w:tcW w:w="360" w:type="dxa"/>
            <w:vAlign w:val="bottom"/>
          </w:tcPr>
          <w:p>
            <w:pPr>
              <w:spacing w:after="0"/>
              <w:rPr>
                <w:sz w:val="12"/>
                <w:szCs w:val="12"/>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61,441</w:t>
            </w:r>
          </w:p>
        </w:tc>
      </w:tr>
      <w:tr>
        <w:trPr>
          <w:trHeight w:val="142"/>
        </w:trPr>
        <w:tc>
          <w:tcPr>
            <w:tcW w:w="4820" w:type="dxa"/>
            <w:vAlign w:val="bottom"/>
          </w:tcPr>
          <w:p>
            <w:pPr>
              <w:ind w:left="520"/>
              <w:spacing w:after="0"/>
              <w:rPr>
                <w:sz w:val="20"/>
                <w:szCs w:val="20"/>
                <w:color w:val="auto"/>
              </w:rPr>
            </w:pPr>
            <w:r>
              <w:rPr>
                <w:rFonts w:ascii="Courier New" w:cs="Courier New" w:eastAsia="Courier New" w:hAnsi="Courier New"/>
                <w:sz w:val="12"/>
                <w:szCs w:val="12"/>
                <w:color w:val="auto"/>
              </w:rPr>
              <w:t>OTHER</w:t>
            </w: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1,457</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16,655</w:t>
            </w:r>
          </w:p>
        </w:tc>
        <w:tc>
          <w:tcPr>
            <w:tcW w:w="360" w:type="dxa"/>
            <w:vAlign w:val="bottom"/>
          </w:tcPr>
          <w:p>
            <w:pPr>
              <w:spacing w:after="0"/>
              <w:rPr>
                <w:sz w:val="12"/>
                <w:szCs w:val="12"/>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16,359</w:t>
            </w:r>
          </w:p>
        </w:tc>
      </w:tr>
      <w:tr>
        <w:trPr>
          <w:trHeight w:val="142"/>
        </w:trPr>
        <w:tc>
          <w:tcPr>
            <w:tcW w:w="4820" w:type="dxa"/>
            <w:vAlign w:val="bottom"/>
          </w:tcPr>
          <w:p>
            <w:pPr>
              <w:spacing w:after="0"/>
              <w:rPr>
                <w:sz w:val="12"/>
                <w:szCs w:val="12"/>
                <w:color w:val="auto"/>
              </w:rPr>
            </w:pP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42"/>
        </w:trPr>
        <w:tc>
          <w:tcPr>
            <w:tcW w:w="4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50,748</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83,313</w:t>
            </w:r>
          </w:p>
        </w:tc>
        <w:tc>
          <w:tcPr>
            <w:tcW w:w="360" w:type="dxa"/>
            <w:vAlign w:val="bottom"/>
          </w:tcPr>
          <w:p>
            <w:pPr>
              <w:spacing w:after="0"/>
              <w:rPr>
                <w:sz w:val="12"/>
                <w:szCs w:val="12"/>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77,800</w:t>
            </w:r>
          </w:p>
        </w:tc>
      </w:tr>
      <w:tr>
        <w:trPr>
          <w:trHeight w:val="142"/>
        </w:trPr>
        <w:tc>
          <w:tcPr>
            <w:tcW w:w="4820" w:type="dxa"/>
            <w:vAlign w:val="bottom"/>
          </w:tcPr>
          <w:p>
            <w:pPr>
              <w:spacing w:after="0"/>
              <w:rPr>
                <w:sz w:val="12"/>
                <w:szCs w:val="12"/>
                <w:color w:val="auto"/>
              </w:rPr>
            </w:pP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283"/>
        </w:trPr>
        <w:tc>
          <w:tcPr>
            <w:tcW w:w="4820" w:type="dxa"/>
            <w:vAlign w:val="bottom"/>
          </w:tcPr>
          <w:p>
            <w:pPr>
              <w:ind w:left="880"/>
              <w:spacing w:after="0"/>
              <w:rPr>
                <w:sz w:val="20"/>
                <w:szCs w:val="20"/>
                <w:color w:val="auto"/>
              </w:rPr>
            </w:pPr>
            <w:r>
              <w:rPr>
                <w:rFonts w:ascii="Courier New" w:cs="Courier New" w:eastAsia="Courier New" w:hAnsi="Courier New"/>
                <w:sz w:val="12"/>
                <w:szCs w:val="12"/>
                <w:color w:val="auto"/>
              </w:rPr>
              <w:t>TOTAL ASSETS</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2"/>
                <w:szCs w:val="12"/>
                <w:color w:val="auto"/>
              </w:rPr>
              <w:t>$ 713,211</w:t>
            </w:r>
          </w:p>
        </w:tc>
        <w:tc>
          <w:tcPr>
            <w:tcW w:w="122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$ 688,727</w:t>
            </w:r>
          </w:p>
        </w:tc>
        <w:tc>
          <w:tcPr>
            <w:tcW w:w="11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$ 678,686</w:t>
            </w:r>
          </w:p>
        </w:tc>
      </w:tr>
      <w:tr>
        <w:trPr>
          <w:trHeight w:val="142"/>
        </w:trPr>
        <w:tc>
          <w:tcPr>
            <w:tcW w:w="4820" w:type="dxa"/>
            <w:vAlign w:val="bottom"/>
          </w:tcPr>
          <w:p>
            <w:pPr>
              <w:spacing w:after="0"/>
              <w:rPr>
                <w:sz w:val="12"/>
                <w:szCs w:val="12"/>
                <w:color w:val="auto"/>
              </w:rPr>
            </w:pP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283"/>
        </w:trPr>
        <w:tc>
          <w:tcPr>
            <w:tcW w:w="4820" w:type="dxa"/>
            <w:vAlign w:val="bottom"/>
          </w:tcPr>
          <w:p>
            <w:pPr>
              <w:spacing w:after="0"/>
              <w:rPr>
                <w:sz w:val="20"/>
                <w:szCs w:val="20"/>
                <w:color w:val="auto"/>
              </w:rPr>
            </w:pPr>
            <w:r>
              <w:rPr>
                <w:rFonts w:ascii="Courier New" w:cs="Courier New" w:eastAsia="Courier New" w:hAnsi="Courier New"/>
                <w:sz w:val="12"/>
                <w:szCs w:val="12"/>
                <w:color w:val="auto"/>
              </w:rPr>
              <w:t>LIABILITIES AND SHAREHOLDERS' EQUITY</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3"/>
        </w:trPr>
        <w:tc>
          <w:tcPr>
            <w:tcW w:w="4820" w:type="dxa"/>
            <w:vAlign w:val="bottom"/>
          </w:tcPr>
          <w:p>
            <w:pPr>
              <w:ind w:left="300"/>
              <w:spacing w:after="0"/>
              <w:rPr>
                <w:sz w:val="20"/>
                <w:szCs w:val="20"/>
                <w:color w:val="auto"/>
              </w:rPr>
            </w:pPr>
            <w:r>
              <w:rPr>
                <w:rFonts w:ascii="Courier New" w:cs="Courier New" w:eastAsia="Courier New" w:hAnsi="Courier New"/>
                <w:sz w:val="12"/>
                <w:szCs w:val="12"/>
                <w:color w:val="auto"/>
              </w:rPr>
              <w:t>CURRENT LIABILITIES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2"/>
        </w:trPr>
        <w:tc>
          <w:tcPr>
            <w:tcW w:w="4820" w:type="dxa"/>
            <w:vAlign w:val="bottom"/>
          </w:tcPr>
          <w:p>
            <w:pPr>
              <w:ind w:left="520"/>
              <w:spacing w:after="0"/>
              <w:rPr>
                <w:sz w:val="20"/>
                <w:szCs w:val="20"/>
                <w:color w:val="auto"/>
              </w:rPr>
            </w:pPr>
            <w:r>
              <w:rPr>
                <w:rFonts w:ascii="Courier New" w:cs="Courier New" w:eastAsia="Courier New" w:hAnsi="Courier New"/>
                <w:sz w:val="12"/>
                <w:szCs w:val="12"/>
                <w:color w:val="auto"/>
              </w:rPr>
              <w:t>CURRENT MATURITIES OF LONG-TERM DEBT</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21,103</w:t>
            </w:r>
          </w:p>
        </w:tc>
      </w:tr>
      <w:tr>
        <w:trPr>
          <w:trHeight w:val="142"/>
        </w:trPr>
        <w:tc>
          <w:tcPr>
            <w:tcW w:w="4820" w:type="dxa"/>
            <w:vAlign w:val="bottom"/>
          </w:tcPr>
          <w:p>
            <w:pPr>
              <w:ind w:left="520"/>
              <w:spacing w:after="0"/>
              <w:rPr>
                <w:sz w:val="20"/>
                <w:szCs w:val="20"/>
                <w:color w:val="auto"/>
              </w:rPr>
            </w:pPr>
            <w:r>
              <w:rPr>
                <w:rFonts w:ascii="Courier New" w:cs="Courier New" w:eastAsia="Courier New" w:hAnsi="Courier New"/>
                <w:sz w:val="12"/>
                <w:szCs w:val="12"/>
                <w:color w:val="auto"/>
              </w:rPr>
              <w:t>CURRENT MATURITIES OF CONVERTIBLE DEBENTURES</w:t>
            </w: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6,522</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6,397</w:t>
            </w:r>
          </w:p>
        </w:tc>
        <w:tc>
          <w:tcPr>
            <w:tcW w:w="360" w:type="dxa"/>
            <w:vAlign w:val="bottom"/>
          </w:tcPr>
          <w:p>
            <w:pPr>
              <w:spacing w:after="0"/>
              <w:rPr>
                <w:sz w:val="12"/>
                <w:szCs w:val="12"/>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6,453</w:t>
            </w:r>
          </w:p>
        </w:tc>
      </w:tr>
      <w:tr>
        <w:trPr>
          <w:trHeight w:val="142"/>
        </w:trPr>
        <w:tc>
          <w:tcPr>
            <w:tcW w:w="4820" w:type="dxa"/>
            <w:vAlign w:val="bottom"/>
          </w:tcPr>
          <w:p>
            <w:pPr>
              <w:ind w:left="520"/>
              <w:spacing w:after="0"/>
              <w:rPr>
                <w:sz w:val="20"/>
                <w:szCs w:val="20"/>
                <w:color w:val="auto"/>
              </w:rPr>
            </w:pPr>
            <w:r>
              <w:rPr>
                <w:rFonts w:ascii="Courier New" w:cs="Courier New" w:eastAsia="Courier New" w:hAnsi="Courier New"/>
                <w:sz w:val="12"/>
                <w:szCs w:val="12"/>
                <w:color w:val="auto"/>
              </w:rPr>
              <w:t>TRADE ACCOUNTS PAYABLE</w:t>
            </w: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59,687</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59,783</w:t>
            </w:r>
          </w:p>
        </w:tc>
        <w:tc>
          <w:tcPr>
            <w:tcW w:w="360" w:type="dxa"/>
            <w:vAlign w:val="bottom"/>
          </w:tcPr>
          <w:p>
            <w:pPr>
              <w:spacing w:after="0"/>
              <w:rPr>
                <w:sz w:val="12"/>
                <w:szCs w:val="12"/>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59,741</w:t>
            </w:r>
          </w:p>
        </w:tc>
      </w:tr>
      <w:tr>
        <w:trPr>
          <w:trHeight w:val="142"/>
        </w:trPr>
        <w:tc>
          <w:tcPr>
            <w:tcW w:w="4820" w:type="dxa"/>
            <w:vAlign w:val="bottom"/>
          </w:tcPr>
          <w:p>
            <w:pPr>
              <w:ind w:left="520"/>
              <w:spacing w:after="0"/>
              <w:rPr>
                <w:sz w:val="20"/>
                <w:szCs w:val="20"/>
                <w:color w:val="auto"/>
              </w:rPr>
            </w:pPr>
            <w:r>
              <w:rPr>
                <w:rFonts w:ascii="Courier New" w:cs="Courier New" w:eastAsia="Courier New" w:hAnsi="Courier New"/>
                <w:sz w:val="12"/>
                <w:szCs w:val="12"/>
                <w:color w:val="auto"/>
              </w:rPr>
              <w:t>OTHER CURRENT LIABILITIES</w:t>
            </w: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15,354</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9,203</w:t>
            </w:r>
          </w:p>
        </w:tc>
        <w:tc>
          <w:tcPr>
            <w:tcW w:w="360" w:type="dxa"/>
            <w:vAlign w:val="bottom"/>
          </w:tcPr>
          <w:p>
            <w:pPr>
              <w:spacing w:after="0"/>
              <w:rPr>
                <w:sz w:val="12"/>
                <w:szCs w:val="12"/>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8,972</w:t>
            </w:r>
          </w:p>
        </w:tc>
      </w:tr>
      <w:tr>
        <w:trPr>
          <w:trHeight w:val="142"/>
        </w:trPr>
        <w:tc>
          <w:tcPr>
            <w:tcW w:w="4820" w:type="dxa"/>
            <w:vAlign w:val="bottom"/>
          </w:tcPr>
          <w:p>
            <w:pPr>
              <w:spacing w:after="0"/>
              <w:rPr>
                <w:sz w:val="12"/>
                <w:szCs w:val="12"/>
                <w:color w:val="auto"/>
              </w:rPr>
            </w:pP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42"/>
        </w:trPr>
        <w:tc>
          <w:tcPr>
            <w:tcW w:w="4820" w:type="dxa"/>
            <w:vAlign w:val="bottom"/>
          </w:tcPr>
          <w:p>
            <w:pPr>
              <w:ind w:left="880"/>
              <w:spacing w:after="0"/>
              <w:rPr>
                <w:sz w:val="20"/>
                <w:szCs w:val="20"/>
                <w:color w:val="auto"/>
              </w:rPr>
            </w:pPr>
            <w:r>
              <w:rPr>
                <w:rFonts w:ascii="Courier New" w:cs="Courier New" w:eastAsia="Courier New" w:hAnsi="Courier New"/>
                <w:sz w:val="12"/>
                <w:szCs w:val="12"/>
                <w:color w:val="auto"/>
              </w:rPr>
              <w:t>TOTAL CURRENT LIABILITIES</w:t>
            </w: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81,563</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75,383</w:t>
            </w:r>
          </w:p>
        </w:tc>
        <w:tc>
          <w:tcPr>
            <w:tcW w:w="360" w:type="dxa"/>
            <w:vAlign w:val="bottom"/>
          </w:tcPr>
          <w:p>
            <w:pPr>
              <w:spacing w:after="0"/>
              <w:rPr>
                <w:sz w:val="12"/>
                <w:szCs w:val="12"/>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96,269</w:t>
            </w:r>
          </w:p>
        </w:tc>
      </w:tr>
      <w:tr>
        <w:trPr>
          <w:trHeight w:val="283"/>
        </w:trPr>
        <w:tc>
          <w:tcPr>
            <w:tcW w:w="4820" w:type="dxa"/>
            <w:vAlign w:val="bottom"/>
          </w:tcPr>
          <w:p>
            <w:pPr>
              <w:ind w:left="300"/>
              <w:spacing w:after="0"/>
              <w:rPr>
                <w:sz w:val="20"/>
                <w:szCs w:val="20"/>
                <w:color w:val="auto"/>
              </w:rPr>
            </w:pPr>
            <w:r>
              <w:rPr>
                <w:rFonts w:ascii="Courier New" w:cs="Courier New" w:eastAsia="Courier New" w:hAnsi="Courier New"/>
                <w:sz w:val="12"/>
                <w:szCs w:val="12"/>
                <w:color w:val="auto"/>
              </w:rPr>
              <w:t>LONG-TERM DEBT</w:t>
            </w:r>
          </w:p>
        </w:tc>
        <w:tc>
          <w:tcPr>
            <w:tcW w:w="400" w:type="dxa"/>
            <w:vAlign w:val="bottom"/>
          </w:tcPr>
          <w:p>
            <w:pPr>
              <w:spacing w:after="0"/>
              <w:rPr>
                <w:sz w:val="24"/>
                <w:szCs w:val="24"/>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355,138</w:t>
            </w:r>
          </w:p>
        </w:tc>
        <w:tc>
          <w:tcPr>
            <w:tcW w:w="340" w:type="dxa"/>
            <w:vAlign w:val="bottom"/>
          </w:tcPr>
          <w:p>
            <w:pPr>
              <w:spacing w:after="0"/>
              <w:rPr>
                <w:sz w:val="24"/>
                <w:szCs w:val="24"/>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510,360</w:t>
            </w:r>
          </w:p>
        </w:tc>
        <w:tc>
          <w:tcPr>
            <w:tcW w:w="360" w:type="dxa"/>
            <w:vAlign w:val="bottom"/>
          </w:tcPr>
          <w:p>
            <w:pPr>
              <w:spacing w:after="0"/>
              <w:rPr>
                <w:sz w:val="24"/>
                <w:szCs w:val="24"/>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497,000</w:t>
            </w:r>
          </w:p>
        </w:tc>
      </w:tr>
      <w:tr>
        <w:trPr>
          <w:trHeight w:val="283"/>
        </w:trPr>
        <w:tc>
          <w:tcPr>
            <w:tcW w:w="4820" w:type="dxa"/>
            <w:vAlign w:val="bottom"/>
          </w:tcPr>
          <w:p>
            <w:pPr>
              <w:ind w:left="300"/>
              <w:spacing w:after="0"/>
              <w:rPr>
                <w:sz w:val="20"/>
                <w:szCs w:val="20"/>
                <w:color w:val="auto"/>
              </w:rPr>
            </w:pPr>
            <w:r>
              <w:rPr>
                <w:rFonts w:ascii="Courier New" w:cs="Courier New" w:eastAsia="Courier New" w:hAnsi="Courier New"/>
                <w:sz w:val="12"/>
                <w:szCs w:val="12"/>
                <w:color w:val="auto"/>
              </w:rPr>
              <w:t>CONVERTIBLE DEBENTURES</w:t>
            </w:r>
          </w:p>
        </w:tc>
        <w:tc>
          <w:tcPr>
            <w:tcW w:w="400" w:type="dxa"/>
            <w:vAlign w:val="bottom"/>
          </w:tcPr>
          <w:p>
            <w:pPr>
              <w:spacing w:after="0"/>
              <w:rPr>
                <w:sz w:val="24"/>
                <w:szCs w:val="24"/>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61,657</w:t>
            </w:r>
          </w:p>
        </w:tc>
        <w:tc>
          <w:tcPr>
            <w:tcW w:w="340" w:type="dxa"/>
            <w:vAlign w:val="bottom"/>
          </w:tcPr>
          <w:p>
            <w:pPr>
              <w:spacing w:after="0"/>
              <w:rPr>
                <w:sz w:val="24"/>
                <w:szCs w:val="24"/>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19,192</w:t>
            </w:r>
          </w:p>
        </w:tc>
        <w:tc>
          <w:tcPr>
            <w:tcW w:w="360" w:type="dxa"/>
            <w:vAlign w:val="bottom"/>
          </w:tcPr>
          <w:p>
            <w:pPr>
              <w:spacing w:after="0"/>
              <w:rPr>
                <w:sz w:val="24"/>
                <w:szCs w:val="24"/>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19,358</w:t>
            </w:r>
          </w:p>
        </w:tc>
      </w:tr>
      <w:tr>
        <w:trPr>
          <w:trHeight w:val="283"/>
        </w:trPr>
        <w:tc>
          <w:tcPr>
            <w:tcW w:w="4820" w:type="dxa"/>
            <w:vAlign w:val="bottom"/>
          </w:tcPr>
          <w:p>
            <w:pPr>
              <w:ind w:left="300"/>
              <w:spacing w:after="0"/>
              <w:rPr>
                <w:sz w:val="20"/>
                <w:szCs w:val="20"/>
                <w:color w:val="auto"/>
              </w:rPr>
            </w:pPr>
            <w:r>
              <w:rPr>
                <w:rFonts w:ascii="Courier New" w:cs="Courier New" w:eastAsia="Courier New" w:hAnsi="Courier New"/>
                <w:sz w:val="12"/>
                <w:szCs w:val="12"/>
                <w:color w:val="auto"/>
              </w:rPr>
              <w:t>LONG-TERM LIABILITY IN RESPECT</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2"/>
        </w:trPr>
        <w:tc>
          <w:tcPr>
            <w:tcW w:w="4820" w:type="dxa"/>
            <w:vAlign w:val="bottom"/>
          </w:tcPr>
          <w:p>
            <w:pPr>
              <w:ind w:left="580"/>
              <w:spacing w:after="0"/>
              <w:rPr>
                <w:sz w:val="20"/>
                <w:szCs w:val="20"/>
                <w:color w:val="auto"/>
              </w:rPr>
            </w:pPr>
            <w:r>
              <w:rPr>
                <w:rFonts w:ascii="Courier New" w:cs="Courier New" w:eastAsia="Courier New" w:hAnsi="Courier New"/>
                <w:sz w:val="12"/>
                <w:szCs w:val="12"/>
                <w:color w:val="auto"/>
              </w:rPr>
              <w:t>OF CUSTOMERS' ADVANCES</w:t>
            </w: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50,004</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60,577</w:t>
            </w:r>
          </w:p>
        </w:tc>
        <w:tc>
          <w:tcPr>
            <w:tcW w:w="360" w:type="dxa"/>
            <w:vAlign w:val="bottom"/>
          </w:tcPr>
          <w:p>
            <w:pPr>
              <w:spacing w:after="0"/>
              <w:rPr>
                <w:sz w:val="12"/>
                <w:szCs w:val="12"/>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59,621</w:t>
            </w:r>
          </w:p>
        </w:tc>
      </w:tr>
      <w:tr>
        <w:trPr>
          <w:trHeight w:val="283"/>
        </w:trPr>
        <w:tc>
          <w:tcPr>
            <w:tcW w:w="4820" w:type="dxa"/>
            <w:vAlign w:val="bottom"/>
          </w:tcPr>
          <w:p>
            <w:pPr>
              <w:ind w:left="300"/>
              <w:spacing w:after="0"/>
              <w:rPr>
                <w:sz w:val="20"/>
                <w:szCs w:val="20"/>
                <w:color w:val="auto"/>
              </w:rPr>
            </w:pPr>
            <w:r>
              <w:rPr>
                <w:rFonts w:ascii="Courier New" w:cs="Courier New" w:eastAsia="Courier New" w:hAnsi="Courier New"/>
                <w:sz w:val="12"/>
                <w:szCs w:val="12"/>
                <w:color w:val="auto"/>
              </w:rPr>
              <w:t>OTHER LONG-TERM LIABILITIES</w:t>
            </w:r>
          </w:p>
        </w:tc>
        <w:tc>
          <w:tcPr>
            <w:tcW w:w="400" w:type="dxa"/>
            <w:vAlign w:val="bottom"/>
          </w:tcPr>
          <w:p>
            <w:pPr>
              <w:spacing w:after="0"/>
              <w:rPr>
                <w:sz w:val="24"/>
                <w:szCs w:val="24"/>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15,547</w:t>
            </w:r>
          </w:p>
        </w:tc>
        <w:tc>
          <w:tcPr>
            <w:tcW w:w="340" w:type="dxa"/>
            <w:vAlign w:val="bottom"/>
          </w:tcPr>
          <w:p>
            <w:pPr>
              <w:spacing w:after="0"/>
              <w:rPr>
                <w:sz w:val="24"/>
                <w:szCs w:val="24"/>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8,907</w:t>
            </w:r>
          </w:p>
        </w:tc>
        <w:tc>
          <w:tcPr>
            <w:tcW w:w="360" w:type="dxa"/>
            <w:vAlign w:val="bottom"/>
          </w:tcPr>
          <w:p>
            <w:pPr>
              <w:spacing w:after="0"/>
              <w:rPr>
                <w:sz w:val="24"/>
                <w:szCs w:val="24"/>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11,012</w:t>
            </w:r>
          </w:p>
        </w:tc>
      </w:tr>
      <w:tr>
        <w:trPr>
          <w:trHeight w:val="142"/>
        </w:trPr>
        <w:tc>
          <w:tcPr>
            <w:tcW w:w="4820" w:type="dxa"/>
            <w:vAlign w:val="bottom"/>
          </w:tcPr>
          <w:p>
            <w:pPr>
              <w:spacing w:after="0"/>
              <w:rPr>
                <w:sz w:val="12"/>
                <w:szCs w:val="12"/>
                <w:color w:val="auto"/>
              </w:rPr>
            </w:pP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42"/>
        </w:trPr>
        <w:tc>
          <w:tcPr>
            <w:tcW w:w="4820" w:type="dxa"/>
            <w:vAlign w:val="bottom"/>
          </w:tcPr>
          <w:p>
            <w:pPr>
              <w:ind w:left="880"/>
              <w:spacing w:after="0"/>
              <w:rPr>
                <w:sz w:val="20"/>
                <w:szCs w:val="20"/>
                <w:color w:val="auto"/>
              </w:rPr>
            </w:pPr>
            <w:r>
              <w:rPr>
                <w:rFonts w:ascii="Courier New" w:cs="Courier New" w:eastAsia="Courier New" w:hAnsi="Courier New"/>
                <w:sz w:val="12"/>
                <w:szCs w:val="12"/>
                <w:color w:val="auto"/>
              </w:rPr>
              <w:t>TOTAL LIABILITIES</w:t>
            </w: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563,909</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674,419</w:t>
            </w:r>
          </w:p>
        </w:tc>
        <w:tc>
          <w:tcPr>
            <w:tcW w:w="360" w:type="dxa"/>
            <w:vAlign w:val="bottom"/>
          </w:tcPr>
          <w:p>
            <w:pPr>
              <w:spacing w:after="0"/>
              <w:rPr>
                <w:sz w:val="12"/>
                <w:szCs w:val="12"/>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683,260</w:t>
            </w:r>
          </w:p>
        </w:tc>
      </w:tr>
      <w:tr>
        <w:trPr>
          <w:trHeight w:val="142"/>
        </w:trPr>
        <w:tc>
          <w:tcPr>
            <w:tcW w:w="4820" w:type="dxa"/>
            <w:vAlign w:val="bottom"/>
          </w:tcPr>
          <w:p>
            <w:pPr>
              <w:spacing w:after="0"/>
              <w:rPr>
                <w:sz w:val="12"/>
                <w:szCs w:val="12"/>
                <w:color w:val="auto"/>
              </w:rPr>
            </w:pP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283"/>
        </w:trPr>
        <w:tc>
          <w:tcPr>
            <w:tcW w:w="4820" w:type="dxa"/>
            <w:vAlign w:val="bottom"/>
          </w:tcPr>
          <w:p>
            <w:pPr>
              <w:ind w:left="300"/>
              <w:spacing w:after="0"/>
              <w:rPr>
                <w:sz w:val="20"/>
                <w:szCs w:val="20"/>
                <w:color w:val="auto"/>
              </w:rPr>
            </w:pPr>
            <w:r>
              <w:rPr>
                <w:rFonts w:ascii="Courier New" w:cs="Courier New" w:eastAsia="Courier New" w:hAnsi="Courier New"/>
                <w:sz w:val="12"/>
                <w:szCs w:val="12"/>
                <w:color w:val="auto"/>
              </w:rPr>
              <w:t>CONVERTIBLE DEBENTURES</w:t>
            </w:r>
          </w:p>
        </w:tc>
        <w:tc>
          <w:tcPr>
            <w:tcW w:w="400" w:type="dxa"/>
            <w:vAlign w:val="bottom"/>
          </w:tcPr>
          <w:p>
            <w:pPr>
              <w:spacing w:after="0"/>
              <w:rPr>
                <w:sz w:val="24"/>
                <w:szCs w:val="24"/>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24"/>
                <w:szCs w:val="24"/>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24"/>
                <w:szCs w:val="24"/>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25,493</w:t>
            </w:r>
          </w:p>
        </w:tc>
      </w:tr>
      <w:tr>
        <w:trPr>
          <w:trHeight w:val="142"/>
        </w:trPr>
        <w:tc>
          <w:tcPr>
            <w:tcW w:w="4820" w:type="dxa"/>
            <w:vAlign w:val="bottom"/>
          </w:tcPr>
          <w:p>
            <w:pPr>
              <w:spacing w:after="0"/>
              <w:rPr>
                <w:sz w:val="12"/>
                <w:szCs w:val="12"/>
                <w:color w:val="auto"/>
              </w:rPr>
            </w:pP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283"/>
        </w:trPr>
        <w:tc>
          <w:tcPr>
            <w:tcW w:w="4820" w:type="dxa"/>
            <w:vAlign w:val="bottom"/>
          </w:tcPr>
          <w:p>
            <w:pPr>
              <w:ind w:left="300"/>
              <w:spacing w:after="0"/>
              <w:rPr>
                <w:sz w:val="20"/>
                <w:szCs w:val="20"/>
                <w:color w:val="auto"/>
              </w:rPr>
            </w:pPr>
            <w:r>
              <w:rPr>
                <w:rFonts w:ascii="Courier New" w:cs="Courier New" w:eastAsia="Courier New" w:hAnsi="Courier New"/>
                <w:sz w:val="12"/>
                <w:szCs w:val="12"/>
                <w:color w:val="auto"/>
              </w:rPr>
              <w:t>SHAREHOLDERS' EQUITY (DEFICIT)</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2"/>
        </w:trPr>
        <w:tc>
          <w:tcPr>
            <w:tcW w:w="4820" w:type="dxa"/>
            <w:vAlign w:val="bottom"/>
          </w:tcPr>
          <w:p>
            <w:pPr>
              <w:ind w:left="520"/>
              <w:spacing w:after="0"/>
              <w:rPr>
                <w:sz w:val="20"/>
                <w:szCs w:val="20"/>
                <w:color w:val="auto"/>
              </w:rPr>
            </w:pPr>
            <w:r>
              <w:rPr>
                <w:rFonts w:ascii="Courier New" w:cs="Courier New" w:eastAsia="Courier New" w:hAnsi="Courier New"/>
                <w:sz w:val="12"/>
                <w:szCs w:val="12"/>
                <w:color w:val="auto"/>
              </w:rPr>
              <w:t>ORDINARY SHARES, NIS 1.00 PAR VALUE - AUTHORIZED</w:t>
            </w: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2"/>
        </w:trPr>
        <w:tc>
          <w:tcPr>
            <w:tcW w:w="4820" w:type="dxa"/>
            <w:vAlign w:val="bottom"/>
          </w:tcPr>
          <w:p>
            <w:pPr>
              <w:ind w:left="660"/>
              <w:spacing w:after="0"/>
              <w:rPr>
                <w:sz w:val="20"/>
                <w:szCs w:val="20"/>
                <w:color w:val="auto"/>
              </w:rPr>
            </w:pPr>
            <w:r>
              <w:rPr>
                <w:rFonts w:ascii="Courier New" w:cs="Courier New" w:eastAsia="Courier New" w:hAnsi="Courier New"/>
                <w:sz w:val="12"/>
                <w:szCs w:val="12"/>
                <w:color w:val="auto"/>
              </w:rPr>
              <w:t>800,000,000, 250,000,000 AND 500,000,000</w:t>
            </w: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2"/>
        </w:trPr>
        <w:tc>
          <w:tcPr>
            <w:tcW w:w="4820" w:type="dxa"/>
            <w:vAlign w:val="bottom"/>
          </w:tcPr>
          <w:p>
            <w:pPr>
              <w:ind w:left="660"/>
              <w:spacing w:after="0"/>
              <w:rPr>
                <w:sz w:val="20"/>
                <w:szCs w:val="20"/>
                <w:color w:val="auto"/>
              </w:rPr>
            </w:pPr>
            <w:r>
              <w:rPr>
                <w:rFonts w:ascii="Courier New" w:cs="Courier New" w:eastAsia="Courier New" w:hAnsi="Courier New"/>
                <w:sz w:val="12"/>
                <w:szCs w:val="12"/>
                <w:color w:val="auto"/>
              </w:rPr>
              <w:t>SHARES, RESPECTIVELY; ISSUED 87,423,850, 68,007,609</w:t>
            </w: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2"/>
        </w:trPr>
        <w:tc>
          <w:tcPr>
            <w:tcW w:w="4820" w:type="dxa"/>
            <w:vAlign w:val="bottom"/>
          </w:tcPr>
          <w:p>
            <w:pPr>
              <w:ind w:left="740"/>
              <w:spacing w:after="0"/>
              <w:rPr>
                <w:sz w:val="20"/>
                <w:szCs w:val="20"/>
                <w:color w:val="auto"/>
              </w:rPr>
            </w:pPr>
            <w:r>
              <w:rPr>
                <w:rFonts w:ascii="Courier New" w:cs="Courier New" w:eastAsia="Courier New" w:hAnsi="Courier New"/>
                <w:sz w:val="12"/>
                <w:szCs w:val="12"/>
                <w:color w:val="auto"/>
              </w:rPr>
              <w:t>AND 68,232,056 SHARES, RESPECTIVELY</w:t>
            </w: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20,744</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16,499</w:t>
            </w:r>
          </w:p>
        </w:tc>
        <w:tc>
          <w:tcPr>
            <w:tcW w:w="360" w:type="dxa"/>
            <w:vAlign w:val="bottom"/>
          </w:tcPr>
          <w:p>
            <w:pPr>
              <w:spacing w:after="0"/>
              <w:rPr>
                <w:sz w:val="12"/>
                <w:szCs w:val="12"/>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16,548</w:t>
            </w:r>
          </w:p>
        </w:tc>
      </w:tr>
      <w:tr>
        <w:trPr>
          <w:trHeight w:val="142"/>
        </w:trPr>
        <w:tc>
          <w:tcPr>
            <w:tcW w:w="4820" w:type="dxa"/>
            <w:vAlign w:val="bottom"/>
          </w:tcPr>
          <w:p>
            <w:pPr>
              <w:ind w:left="520"/>
              <w:spacing w:after="0"/>
              <w:rPr>
                <w:sz w:val="20"/>
                <w:szCs w:val="20"/>
                <w:color w:val="auto"/>
              </w:rPr>
            </w:pPr>
            <w:r>
              <w:rPr>
                <w:rFonts w:ascii="Courier New" w:cs="Courier New" w:eastAsia="Courier New" w:hAnsi="Courier New"/>
                <w:sz w:val="12"/>
                <w:szCs w:val="12"/>
                <w:color w:val="auto"/>
              </w:rPr>
              <w:t>ADDITIONAL PAID-IN CAPITAL</w:t>
            </w: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546,824</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521,489</w:t>
            </w:r>
          </w:p>
        </w:tc>
        <w:tc>
          <w:tcPr>
            <w:tcW w:w="360" w:type="dxa"/>
            <w:vAlign w:val="bottom"/>
          </w:tcPr>
          <w:p>
            <w:pPr>
              <w:spacing w:after="0"/>
              <w:rPr>
                <w:sz w:val="12"/>
                <w:szCs w:val="12"/>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522,237</w:t>
            </w:r>
          </w:p>
        </w:tc>
      </w:tr>
      <w:tr>
        <w:trPr>
          <w:trHeight w:val="142"/>
        </w:trPr>
        <w:tc>
          <w:tcPr>
            <w:tcW w:w="4820" w:type="dxa"/>
            <w:vAlign w:val="bottom"/>
          </w:tcPr>
          <w:p>
            <w:pPr>
              <w:ind w:left="520"/>
              <w:spacing w:after="0"/>
              <w:rPr>
                <w:sz w:val="20"/>
                <w:szCs w:val="20"/>
                <w:color w:val="auto"/>
              </w:rPr>
            </w:pPr>
            <w:r>
              <w:rPr>
                <w:rFonts w:ascii="Courier New" w:cs="Courier New" w:eastAsia="Courier New" w:hAnsi="Courier New"/>
                <w:sz w:val="12"/>
                <w:szCs w:val="12"/>
                <w:color w:val="auto"/>
              </w:rPr>
              <w:t>CAPITAL NOTES</w:t>
            </w: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176,401</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2"/>
                <w:szCs w:val="12"/>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42"/>
        </w:trPr>
        <w:tc>
          <w:tcPr>
            <w:tcW w:w="4820" w:type="dxa"/>
            <w:vAlign w:val="bottom"/>
          </w:tcPr>
          <w:p>
            <w:pPr>
              <w:ind w:left="520"/>
              <w:spacing w:after="0"/>
              <w:rPr>
                <w:sz w:val="20"/>
                <w:szCs w:val="20"/>
                <w:color w:val="auto"/>
              </w:rPr>
            </w:pPr>
            <w:r>
              <w:rPr>
                <w:rFonts w:ascii="Courier New" w:cs="Courier New" w:eastAsia="Courier New" w:hAnsi="Courier New"/>
                <w:sz w:val="12"/>
                <w:szCs w:val="12"/>
                <w:color w:val="auto"/>
              </w:rPr>
              <w:t>EQUITY COMPONENT OF CONVERTIBLE DEBENTURES</w:t>
            </w: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2"/>
        </w:trPr>
        <w:tc>
          <w:tcPr>
            <w:tcW w:w="4820" w:type="dxa"/>
            <w:vAlign w:val="bottom"/>
          </w:tcPr>
          <w:p>
            <w:pPr>
              <w:ind w:left="660"/>
              <w:spacing w:after="0"/>
              <w:rPr>
                <w:sz w:val="20"/>
                <w:szCs w:val="20"/>
                <w:color w:val="auto"/>
              </w:rPr>
            </w:pPr>
            <w:r>
              <w:rPr>
                <w:rFonts w:ascii="Courier New" w:cs="Courier New" w:eastAsia="Courier New" w:hAnsi="Courier New"/>
                <w:sz w:val="12"/>
                <w:szCs w:val="12"/>
                <w:color w:val="auto"/>
              </w:rPr>
              <w:t>AND CUMULATIVE STOCK BASED COMPENSATION</w:t>
            </w: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23,394</w:t>
            </w:r>
          </w:p>
        </w:tc>
        <w:tc>
          <w:tcPr>
            <w:tcW w:w="340" w:type="dxa"/>
            <w:vAlign w:val="bottom"/>
          </w:tcPr>
          <w:p>
            <w:pPr>
              <w:spacing w:after="0"/>
              <w:rPr>
                <w:sz w:val="12"/>
                <w:szCs w:val="12"/>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(26)</w:t>
            </w:r>
          </w:p>
        </w:tc>
        <w:tc>
          <w:tcPr>
            <w:tcW w:w="36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(26)</w:t>
            </w:r>
          </w:p>
        </w:tc>
      </w:tr>
      <w:tr>
        <w:trPr>
          <w:trHeight w:val="142"/>
        </w:trPr>
        <w:tc>
          <w:tcPr>
            <w:tcW w:w="4820" w:type="dxa"/>
            <w:vAlign w:val="bottom"/>
          </w:tcPr>
          <w:p>
            <w:pPr>
              <w:ind w:left="520"/>
              <w:spacing w:after="0"/>
              <w:rPr>
                <w:sz w:val="20"/>
                <w:szCs w:val="20"/>
                <w:color w:val="auto"/>
              </w:rPr>
            </w:pPr>
            <w:r>
              <w:rPr>
                <w:rFonts w:ascii="Courier New" w:cs="Courier New" w:eastAsia="Courier New" w:hAnsi="Courier New"/>
                <w:sz w:val="12"/>
                <w:szCs w:val="12"/>
                <w:color w:val="auto"/>
              </w:rPr>
              <w:t>ACCUMULATED DEFICIT</w:t>
            </w:r>
          </w:p>
        </w:tc>
        <w:tc>
          <w:tcPr>
            <w:tcW w:w="40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w w:val="98"/>
              </w:rPr>
              <w:t>(608,989)</w:t>
            </w:r>
          </w:p>
        </w:tc>
        <w:tc>
          <w:tcPr>
            <w:tcW w:w="340" w:type="dxa"/>
            <w:vAlign w:val="bottom"/>
          </w:tcPr>
          <w:p>
            <w:pPr>
              <w:spacing w:after="0"/>
              <w:rPr>
                <w:sz w:val="12"/>
                <w:szCs w:val="12"/>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color w:val="auto"/>
                <w:w w:val="98"/>
              </w:rPr>
              <w:t>(514,582)</w:t>
            </w:r>
          </w:p>
        </w:tc>
        <w:tc>
          <w:tcPr>
            <w:tcW w:w="36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8"/>
              </w:rPr>
              <w:t>(559,754)</w:t>
            </w:r>
          </w:p>
        </w:tc>
      </w:tr>
      <w:tr>
        <w:trPr>
          <w:trHeight w:val="142"/>
        </w:trPr>
        <w:tc>
          <w:tcPr>
            <w:tcW w:w="4820" w:type="dxa"/>
            <w:vAlign w:val="bottom"/>
          </w:tcPr>
          <w:p>
            <w:pPr>
              <w:spacing w:after="0"/>
              <w:rPr>
                <w:sz w:val="12"/>
                <w:szCs w:val="12"/>
                <w:color w:val="auto"/>
              </w:rPr>
            </w:pP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42"/>
        </w:trPr>
        <w:tc>
          <w:tcPr>
            <w:tcW w:w="4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158,374</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23,380</w:t>
            </w:r>
          </w:p>
        </w:tc>
        <w:tc>
          <w:tcPr>
            <w:tcW w:w="36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(20,995)</w:t>
            </w:r>
          </w:p>
        </w:tc>
      </w:tr>
      <w:tr>
        <w:trPr>
          <w:trHeight w:val="142"/>
        </w:trPr>
        <w:tc>
          <w:tcPr>
            <w:tcW w:w="4820" w:type="dxa"/>
            <w:vAlign w:val="bottom"/>
          </w:tcPr>
          <w:p>
            <w:pPr>
              <w:ind w:left="520"/>
              <w:spacing w:after="0"/>
              <w:rPr>
                <w:sz w:val="20"/>
                <w:szCs w:val="20"/>
                <w:color w:val="auto"/>
              </w:rPr>
            </w:pPr>
            <w:r>
              <w:rPr>
                <w:rFonts w:ascii="Courier New" w:cs="Courier New" w:eastAsia="Courier New" w:hAnsi="Courier New"/>
                <w:sz w:val="12"/>
                <w:szCs w:val="12"/>
                <w:color w:val="auto"/>
              </w:rPr>
              <w:t>TREASURY STOCK, AT COST - 1,300,000 SHARES</w:t>
            </w:r>
          </w:p>
        </w:tc>
        <w:tc>
          <w:tcPr>
            <w:tcW w:w="40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(9,072)</w:t>
            </w:r>
          </w:p>
        </w:tc>
        <w:tc>
          <w:tcPr>
            <w:tcW w:w="340" w:type="dxa"/>
            <w:vAlign w:val="bottom"/>
          </w:tcPr>
          <w:p>
            <w:pPr>
              <w:spacing w:after="0"/>
              <w:rPr>
                <w:sz w:val="12"/>
                <w:szCs w:val="12"/>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(9,072)</w:t>
            </w:r>
          </w:p>
        </w:tc>
        <w:tc>
          <w:tcPr>
            <w:tcW w:w="36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(9,072)</w:t>
            </w:r>
          </w:p>
        </w:tc>
      </w:tr>
      <w:tr>
        <w:trPr>
          <w:trHeight w:val="142"/>
        </w:trPr>
        <w:tc>
          <w:tcPr>
            <w:tcW w:w="4820" w:type="dxa"/>
            <w:vAlign w:val="bottom"/>
          </w:tcPr>
          <w:p>
            <w:pPr>
              <w:spacing w:after="0"/>
              <w:rPr>
                <w:sz w:val="12"/>
                <w:szCs w:val="12"/>
                <w:color w:val="auto"/>
              </w:rPr>
            </w:pP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42"/>
        </w:trPr>
        <w:tc>
          <w:tcPr>
            <w:tcW w:w="4820" w:type="dxa"/>
            <w:vAlign w:val="bottom"/>
          </w:tcPr>
          <w:p>
            <w:pPr>
              <w:ind w:left="880"/>
              <w:spacing w:after="0"/>
              <w:rPr>
                <w:sz w:val="20"/>
                <w:szCs w:val="20"/>
                <w:color w:val="auto"/>
              </w:rPr>
            </w:pPr>
            <w:r>
              <w:rPr>
                <w:rFonts w:ascii="Courier New" w:cs="Courier New" w:eastAsia="Courier New" w:hAnsi="Courier New"/>
                <w:sz w:val="12"/>
                <w:szCs w:val="12"/>
                <w:color w:val="auto"/>
              </w:rPr>
              <w:t>TOTAL SHAREHOLDERS' EQUITY (DEFICIT)</w:t>
            </w:r>
          </w:p>
        </w:tc>
        <w:tc>
          <w:tcPr>
            <w:tcW w:w="400" w:type="dxa"/>
            <w:vAlign w:val="bottom"/>
          </w:tcPr>
          <w:p>
            <w:pPr>
              <w:spacing w:after="0"/>
              <w:rPr>
                <w:sz w:val="12"/>
                <w:szCs w:val="12"/>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149,302</w:t>
            </w:r>
          </w:p>
        </w:tc>
        <w:tc>
          <w:tcPr>
            <w:tcW w:w="340" w:type="dxa"/>
            <w:vAlign w:val="bottom"/>
          </w:tcPr>
          <w:p>
            <w:pPr>
              <w:spacing w:after="0"/>
              <w:rPr>
                <w:sz w:val="12"/>
                <w:szCs w:val="12"/>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14,308</w:t>
            </w:r>
          </w:p>
        </w:tc>
        <w:tc>
          <w:tcPr>
            <w:tcW w:w="36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(30,067)</w:t>
            </w:r>
          </w:p>
        </w:tc>
      </w:tr>
      <w:tr>
        <w:trPr>
          <w:trHeight w:val="142"/>
        </w:trPr>
        <w:tc>
          <w:tcPr>
            <w:tcW w:w="4820" w:type="dxa"/>
            <w:vAlign w:val="bottom"/>
          </w:tcPr>
          <w:p>
            <w:pPr>
              <w:spacing w:after="0"/>
              <w:rPr>
                <w:sz w:val="12"/>
                <w:szCs w:val="12"/>
                <w:color w:val="auto"/>
              </w:rPr>
            </w:pP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283"/>
        </w:trPr>
        <w:tc>
          <w:tcPr>
            <w:tcW w:w="4820" w:type="dxa"/>
            <w:vAlign w:val="bottom"/>
          </w:tcPr>
          <w:p>
            <w:pPr>
              <w:ind w:left="880"/>
              <w:spacing w:after="0"/>
              <w:rPr>
                <w:sz w:val="20"/>
                <w:szCs w:val="20"/>
                <w:color w:val="auto"/>
              </w:rPr>
            </w:pPr>
            <w:r>
              <w:rPr>
                <w:rFonts w:ascii="Courier New" w:cs="Courier New" w:eastAsia="Courier New" w:hAnsi="Courier New"/>
                <w:sz w:val="12"/>
                <w:szCs w:val="12"/>
                <w:color w:val="auto"/>
              </w:rPr>
              <w:t>TOTAL LIABILITIES AND SHAREHOLDERS' EQUITY</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2"/>
                <w:szCs w:val="12"/>
                <w:color w:val="auto"/>
              </w:rPr>
              <w:t>$ 713,211</w:t>
            </w:r>
          </w:p>
        </w:tc>
        <w:tc>
          <w:tcPr>
            <w:tcW w:w="122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$ 688,727</w:t>
            </w:r>
          </w:p>
        </w:tc>
        <w:tc>
          <w:tcPr>
            <w:tcW w:w="11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$ 678,686</w:t>
            </w:r>
          </w:p>
        </w:tc>
      </w:tr>
      <w:tr>
        <w:trPr>
          <w:trHeight w:val="142"/>
        </w:trPr>
        <w:tc>
          <w:tcPr>
            <w:tcW w:w="4820" w:type="dxa"/>
            <w:vAlign w:val="bottom"/>
          </w:tcPr>
          <w:p>
            <w:pPr>
              <w:spacing w:after="0"/>
              <w:rPr>
                <w:sz w:val="12"/>
                <w:szCs w:val="12"/>
                <w:color w:val="auto"/>
              </w:rPr>
            </w:pP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r>
    </w:tbl>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CONDENSED INTERIM CONSOLIDATED FINANCIAL STATEMENTS.</w:t>
      </w:r>
    </w:p>
    <w:p>
      <w:pPr>
        <w:sectPr>
          <w:pgSz w:w="11900" w:h="16838" w:orient="portrait"/>
          <w:cols w:equalWidth="0" w:num="1">
            <w:col w:w="10239"/>
          </w:cols>
          <w:pgMar w:left="220" w:top="141" w:right="1440" w:bottom="0" w:gutter="0" w:footer="0" w:header="0"/>
        </w:sectPr>
      </w:pPr>
    </w:p>
    <w:bookmarkStart w:id="4" w:name="page5"/>
    <w:bookmarkEnd w:id="4"/>
    <w:p>
      <w:pPr>
        <w:spacing w:after="0" w:line="26"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- 1 -</w:t>
      </w:r>
    </w:p>
    <w:p>
      <w:pPr>
        <w:spacing w:after="0" w:line="270" w:lineRule="exact"/>
        <w:rPr>
          <w:sz w:val="20"/>
          <w:szCs w:val="20"/>
          <w:color w:val="auto"/>
        </w:rPr>
      </w:pPr>
    </w:p>
    <w:p>
      <w:pPr>
        <w:jc w:val="center"/>
        <w:ind w:right="558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5580"/>
        <w:spacing w:after="0"/>
        <w:rPr>
          <w:sz w:val="20"/>
          <w:szCs w:val="20"/>
          <w:color w:val="auto"/>
        </w:rPr>
      </w:pPr>
      <w:r>
        <w:rPr>
          <w:rFonts w:ascii="Courier New" w:cs="Courier New" w:eastAsia="Courier New" w:hAnsi="Courier New"/>
          <w:sz w:val="12"/>
          <w:szCs w:val="12"/>
          <w:color w:val="auto"/>
        </w:rPr>
        <w:t>CONSOLIDATED STATEMENTS OF OPERATIONS</w:t>
      </w:r>
    </w:p>
    <w:p>
      <w:pPr>
        <w:spacing w:after="0" w:line="6" w:lineRule="exact"/>
        <w:rPr>
          <w:sz w:val="20"/>
          <w:szCs w:val="20"/>
          <w:color w:val="auto"/>
        </w:rPr>
      </w:pPr>
    </w:p>
    <w:p>
      <w:pPr>
        <w:jc w:val="center"/>
        <w:ind w:right="566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60" w:type="dxa"/>
            <w:vAlign w:val="bottom"/>
            <w:gridSpan w:val="4"/>
          </w:tcPr>
          <w:p>
            <w:pPr>
              <w:ind w:left="480"/>
              <w:spacing w:after="0"/>
              <w:rPr>
                <w:sz w:val="20"/>
                <w:szCs w:val="20"/>
                <w:color w:val="auto"/>
              </w:rPr>
            </w:pPr>
            <w:r>
              <w:rPr>
                <w:rFonts w:ascii="Courier New" w:cs="Courier New" w:eastAsia="Courier New" w:hAnsi="Courier New"/>
                <w:sz w:val="12"/>
                <w:szCs w:val="12"/>
                <w:color w:val="auto"/>
              </w:rPr>
              <w:t>NINE MONTHS ENDED</w:t>
            </w:r>
          </w:p>
        </w:tc>
        <w:tc>
          <w:tcPr>
            <w:tcW w:w="120" w:type="dxa"/>
            <w:vAlign w:val="bottom"/>
          </w:tcPr>
          <w:p>
            <w:pPr>
              <w:spacing w:after="0"/>
              <w:rPr>
                <w:sz w:val="12"/>
                <w:szCs w:val="12"/>
                <w:color w:val="auto"/>
              </w:rPr>
            </w:pPr>
          </w:p>
        </w:tc>
        <w:tc>
          <w:tcPr>
            <w:tcW w:w="1800" w:type="dxa"/>
            <w:vAlign w:val="bottom"/>
            <w:gridSpan w:val="4"/>
          </w:tcPr>
          <w:p>
            <w:pPr>
              <w:ind w:left="40"/>
              <w:spacing w:after="0"/>
              <w:rPr>
                <w:sz w:val="20"/>
                <w:szCs w:val="20"/>
                <w:color w:val="auto"/>
              </w:rPr>
            </w:pPr>
            <w:r>
              <w:rPr>
                <w:rFonts w:ascii="Courier New" w:cs="Courier New" w:eastAsia="Courier New" w:hAnsi="Courier New"/>
                <w:sz w:val="12"/>
                <w:szCs w:val="12"/>
                <w:color w:val="auto"/>
              </w:rPr>
              <w:t>THREE MONTHS ENDED</w:t>
            </w:r>
          </w:p>
        </w:tc>
        <w:tc>
          <w:tcPr>
            <w:tcW w:w="1100" w:type="dxa"/>
            <w:vAlign w:val="bottom"/>
            <w:gridSpan w:val="3"/>
          </w:tcPr>
          <w:p>
            <w:pPr>
              <w:spacing w:after="0"/>
              <w:rPr>
                <w:sz w:val="20"/>
                <w:szCs w:val="20"/>
                <w:color w:val="auto"/>
              </w:rPr>
            </w:pPr>
            <w:r>
              <w:rPr>
                <w:rFonts w:ascii="Courier New" w:cs="Courier New" w:eastAsia="Courier New" w:hAnsi="Courier New"/>
                <w:sz w:val="12"/>
                <w:szCs w:val="12"/>
                <w:color w:val="auto"/>
              </w:rPr>
              <w:t>YEAR ENDED</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00" w:type="dxa"/>
            <w:vAlign w:val="bottom"/>
            <w:gridSpan w:val="3"/>
          </w:tcPr>
          <w:p>
            <w:pPr>
              <w:jc w:val="right"/>
              <w:ind w:right="819"/>
              <w:spacing w:after="0"/>
              <w:rPr>
                <w:sz w:val="20"/>
                <w:szCs w:val="20"/>
                <w:color w:val="auto"/>
              </w:rPr>
            </w:pPr>
            <w:r>
              <w:rPr>
                <w:rFonts w:ascii="Courier New" w:cs="Courier New" w:eastAsia="Courier New" w:hAnsi="Courier New"/>
                <w:sz w:val="12"/>
                <w:szCs w:val="12"/>
                <w:color w:val="auto"/>
              </w:rPr>
              <w:t>SEPTEMBER 30,</w:t>
            </w:r>
          </w:p>
        </w:tc>
        <w:tc>
          <w:tcPr>
            <w:tcW w:w="120" w:type="dxa"/>
            <w:vAlign w:val="bottom"/>
          </w:tcPr>
          <w:p>
            <w:pPr>
              <w:spacing w:after="0"/>
              <w:rPr>
                <w:sz w:val="12"/>
                <w:szCs w:val="12"/>
                <w:color w:val="auto"/>
              </w:rPr>
            </w:pPr>
          </w:p>
        </w:tc>
        <w:tc>
          <w:tcPr>
            <w:tcW w:w="1220" w:type="dxa"/>
            <w:vAlign w:val="bottom"/>
            <w:gridSpan w:val="3"/>
          </w:tcPr>
          <w:p>
            <w:pPr>
              <w:ind w:left="260"/>
              <w:spacing w:after="0"/>
              <w:rPr>
                <w:sz w:val="20"/>
                <w:szCs w:val="20"/>
                <w:color w:val="auto"/>
              </w:rPr>
            </w:pPr>
            <w:r>
              <w:rPr>
                <w:rFonts w:ascii="Courier New" w:cs="Courier New" w:eastAsia="Courier New" w:hAnsi="Courier New"/>
                <w:sz w:val="12"/>
                <w:szCs w:val="12"/>
                <w:color w:val="auto"/>
              </w:rPr>
              <w:t>SEPTEMBER 30,</w:t>
            </w:r>
          </w:p>
        </w:tc>
        <w:tc>
          <w:tcPr>
            <w:tcW w:w="580" w:type="dxa"/>
            <w:vAlign w:val="bottom"/>
          </w:tcPr>
          <w:p>
            <w:pPr>
              <w:spacing w:after="0"/>
              <w:rPr>
                <w:sz w:val="12"/>
                <w:szCs w:val="12"/>
                <w:color w:val="auto"/>
              </w:rPr>
            </w:pPr>
          </w:p>
        </w:tc>
        <w:tc>
          <w:tcPr>
            <w:tcW w:w="1100" w:type="dxa"/>
            <w:vAlign w:val="bottom"/>
            <w:gridSpan w:val="3"/>
          </w:tcPr>
          <w:p>
            <w:pPr>
              <w:spacing w:after="0"/>
              <w:rPr>
                <w:sz w:val="20"/>
                <w:szCs w:val="20"/>
                <w:color w:val="auto"/>
              </w:rPr>
            </w:pPr>
            <w:r>
              <w:rPr>
                <w:rFonts w:ascii="Courier New" w:cs="Courier New" w:eastAsia="Courier New" w:hAnsi="Courier New"/>
                <w:sz w:val="12"/>
                <w:szCs w:val="12"/>
                <w:color w:val="auto"/>
              </w:rPr>
              <w:t>DECEMBER 31,</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60" w:type="dxa"/>
            <w:vAlign w:val="bottom"/>
            <w:gridSpan w:val="4"/>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1920" w:type="dxa"/>
            <w:vAlign w:val="bottom"/>
            <w:gridSpan w:val="5"/>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780" w:type="dxa"/>
            <w:vAlign w:val="bottom"/>
          </w:tcPr>
          <w:p>
            <w:pPr>
              <w:jc w:val="center"/>
              <w:ind w:left="219"/>
              <w:spacing w:after="0"/>
              <w:rPr>
                <w:sz w:val="20"/>
                <w:szCs w:val="20"/>
                <w:color w:val="auto"/>
              </w:rPr>
            </w:pPr>
            <w:r>
              <w:rPr>
                <w:rFonts w:ascii="Courier New" w:cs="Courier New" w:eastAsia="Courier New" w:hAnsi="Courier New"/>
                <w:sz w:val="12"/>
                <w:szCs w:val="12"/>
                <w:color w:val="auto"/>
              </w:rPr>
              <w:t>Note</w:t>
            </w:r>
          </w:p>
        </w:tc>
        <w:tc>
          <w:tcPr>
            <w:tcW w:w="1040" w:type="dxa"/>
            <w:vAlign w:val="bottom"/>
            <w:gridSpan w:val="2"/>
          </w:tcPr>
          <w:p>
            <w:pPr>
              <w:ind w:left="480"/>
              <w:spacing w:after="0"/>
              <w:rPr>
                <w:sz w:val="20"/>
                <w:szCs w:val="20"/>
                <w:color w:val="auto"/>
              </w:rPr>
            </w:pPr>
            <w:r>
              <w:rPr>
                <w:rFonts w:ascii="Courier New" w:cs="Courier New" w:eastAsia="Courier New" w:hAnsi="Courier New"/>
                <w:sz w:val="12"/>
                <w:szCs w:val="12"/>
                <w:color w:val="auto"/>
              </w:rPr>
              <w:t>2006</w:t>
            </w:r>
          </w:p>
        </w:tc>
        <w:tc>
          <w:tcPr>
            <w:tcW w:w="480" w:type="dxa"/>
            <w:vAlign w:val="bottom"/>
          </w:tcPr>
          <w:p>
            <w:pPr>
              <w:spacing w:after="0"/>
              <w:rPr>
                <w:sz w:val="12"/>
                <w:szCs w:val="12"/>
                <w:color w:val="auto"/>
              </w:rPr>
            </w:pPr>
          </w:p>
        </w:tc>
        <w:tc>
          <w:tcPr>
            <w:tcW w:w="940" w:type="dxa"/>
            <w:vAlign w:val="bottom"/>
          </w:tcPr>
          <w:p>
            <w:pPr>
              <w:jc w:val="right"/>
              <w:ind w:right="599"/>
              <w:spacing w:after="0"/>
              <w:rPr>
                <w:sz w:val="20"/>
                <w:szCs w:val="20"/>
                <w:color w:val="auto"/>
              </w:rPr>
            </w:pPr>
            <w:r>
              <w:rPr>
                <w:rFonts w:ascii="Courier New" w:cs="Courier New" w:eastAsia="Courier New" w:hAnsi="Courier New"/>
                <w:sz w:val="12"/>
                <w:szCs w:val="12"/>
                <w:color w:val="auto"/>
                <w:w w:val="90"/>
              </w:rPr>
              <w:t>2005</w:t>
            </w:r>
          </w:p>
        </w:tc>
        <w:tc>
          <w:tcPr>
            <w:tcW w:w="120" w:type="dxa"/>
            <w:vAlign w:val="bottom"/>
          </w:tcPr>
          <w:p>
            <w:pPr>
              <w:spacing w:after="0"/>
              <w:rPr>
                <w:sz w:val="12"/>
                <w:szCs w:val="12"/>
                <w:color w:val="auto"/>
              </w:rPr>
            </w:pPr>
          </w:p>
        </w:tc>
        <w:tc>
          <w:tcPr>
            <w:tcW w:w="700" w:type="dxa"/>
            <w:vAlign w:val="bottom"/>
          </w:tcPr>
          <w:p>
            <w:pPr>
              <w:ind w:left="40"/>
              <w:spacing w:after="0"/>
              <w:rPr>
                <w:sz w:val="20"/>
                <w:szCs w:val="20"/>
                <w:color w:val="auto"/>
              </w:rPr>
            </w:pPr>
            <w:r>
              <w:rPr>
                <w:rFonts w:ascii="Courier New" w:cs="Courier New" w:eastAsia="Courier New" w:hAnsi="Courier New"/>
                <w:sz w:val="12"/>
                <w:szCs w:val="12"/>
                <w:color w:val="auto"/>
              </w:rPr>
              <w:t>2006</w:t>
            </w:r>
          </w:p>
        </w:tc>
        <w:tc>
          <w:tcPr>
            <w:tcW w:w="220" w:type="dxa"/>
            <w:vAlign w:val="bottom"/>
          </w:tcPr>
          <w:p>
            <w:pPr>
              <w:spacing w:after="0"/>
              <w:rPr>
                <w:sz w:val="12"/>
                <w:szCs w:val="12"/>
                <w:color w:val="auto"/>
              </w:rPr>
            </w:pPr>
          </w:p>
        </w:tc>
        <w:tc>
          <w:tcPr>
            <w:tcW w:w="88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2005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Courier New" w:cs="Courier New" w:eastAsia="Courier New" w:hAnsi="Courier New"/>
                <w:sz w:val="12"/>
                <w:szCs w:val="12"/>
                <w:color w:val="auto"/>
              </w:rPr>
              <w:t>2005</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4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00" w:type="dxa"/>
            <w:vAlign w:val="bottom"/>
            <w:gridSpan w:val="3"/>
          </w:tcPr>
          <w:p>
            <w:pPr>
              <w:jc w:val="right"/>
              <w:ind w:right="819"/>
              <w:spacing w:after="0"/>
              <w:rPr>
                <w:sz w:val="20"/>
                <w:szCs w:val="20"/>
                <w:color w:val="auto"/>
              </w:rPr>
            </w:pPr>
            <w:r>
              <w:rPr>
                <w:rFonts w:ascii="Courier New" w:cs="Courier New" w:eastAsia="Courier New" w:hAnsi="Courier New"/>
                <w:sz w:val="12"/>
                <w:szCs w:val="12"/>
                <w:color w:val="auto"/>
              </w:rPr>
              <w:t>(UNAUDITED)</w:t>
            </w:r>
          </w:p>
        </w:tc>
        <w:tc>
          <w:tcPr>
            <w:tcW w:w="120" w:type="dxa"/>
            <w:vAlign w:val="bottom"/>
          </w:tcPr>
          <w:p>
            <w:pPr>
              <w:spacing w:after="0"/>
              <w:rPr>
                <w:sz w:val="12"/>
                <w:szCs w:val="12"/>
                <w:color w:val="auto"/>
              </w:rPr>
            </w:pPr>
          </w:p>
        </w:tc>
        <w:tc>
          <w:tcPr>
            <w:tcW w:w="1220" w:type="dxa"/>
            <w:vAlign w:val="bottom"/>
            <w:gridSpan w:val="3"/>
          </w:tcPr>
          <w:p>
            <w:pPr>
              <w:ind w:left="340"/>
              <w:spacing w:after="0"/>
              <w:rPr>
                <w:sz w:val="20"/>
                <w:szCs w:val="20"/>
                <w:color w:val="auto"/>
              </w:rPr>
            </w:pPr>
            <w:r>
              <w:rPr>
                <w:rFonts w:ascii="Courier New" w:cs="Courier New" w:eastAsia="Courier New" w:hAnsi="Courier New"/>
                <w:sz w:val="12"/>
                <w:szCs w:val="12"/>
                <w:color w:val="auto"/>
              </w:rPr>
              <w:t>(UNAUDITED)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60" w:type="dxa"/>
            <w:vAlign w:val="bottom"/>
            <w:gridSpan w:val="4"/>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1920" w:type="dxa"/>
            <w:vAlign w:val="bottom"/>
            <w:gridSpan w:val="5"/>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83"/>
        </w:trPr>
        <w:tc>
          <w:tcPr>
            <w:tcW w:w="3520" w:type="dxa"/>
            <w:vAlign w:val="bottom"/>
          </w:tcPr>
          <w:p>
            <w:pPr>
              <w:spacing w:after="0"/>
              <w:rPr>
                <w:sz w:val="20"/>
                <w:szCs w:val="20"/>
                <w:color w:val="auto"/>
              </w:rPr>
            </w:pPr>
            <w:r>
              <w:rPr>
                <w:rFonts w:ascii="Courier New" w:cs="Courier New" w:eastAsia="Courier New" w:hAnsi="Courier New"/>
                <w:sz w:val="12"/>
                <w:szCs w:val="12"/>
                <w:color w:val="auto"/>
              </w:rPr>
              <w:t>REVENUES</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42"/>
        </w:trPr>
        <w:tc>
          <w:tcPr>
            <w:tcW w:w="3520" w:type="dxa"/>
            <w:vAlign w:val="bottom"/>
          </w:tcPr>
          <w:p>
            <w:pPr>
              <w:ind w:left="300"/>
              <w:spacing w:after="0"/>
              <w:rPr>
                <w:sz w:val="20"/>
                <w:szCs w:val="20"/>
                <w:color w:val="auto"/>
              </w:rPr>
            </w:pPr>
            <w:r>
              <w:rPr>
                <w:rFonts w:ascii="Courier New" w:cs="Courier New" w:eastAsia="Courier New" w:hAnsi="Courier New"/>
                <w:sz w:val="12"/>
                <w:szCs w:val="12"/>
                <w:color w:val="auto"/>
              </w:rPr>
              <w:t>SALES</w:t>
            </w:r>
          </w:p>
        </w:tc>
        <w:tc>
          <w:tcPr>
            <w:tcW w:w="780" w:type="dxa"/>
            <w:vAlign w:val="bottom"/>
          </w:tcPr>
          <w:p>
            <w:pPr>
              <w:spacing w:after="0"/>
              <w:rPr>
                <w:sz w:val="12"/>
                <w:szCs w:val="12"/>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$ 131,933</w:t>
            </w:r>
          </w:p>
        </w:tc>
        <w:tc>
          <w:tcPr>
            <w:tcW w:w="4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62,928</w:t>
            </w:r>
          </w:p>
        </w:tc>
        <w:tc>
          <w:tcPr>
            <w:tcW w:w="12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51,503</w:t>
            </w:r>
          </w:p>
        </w:tc>
        <w:tc>
          <w:tcPr>
            <w:tcW w:w="220" w:type="dxa"/>
            <w:vAlign w:val="bottom"/>
          </w:tcPr>
          <w:p>
            <w:pPr>
              <w:spacing w:after="0"/>
              <w:rPr>
                <w:sz w:val="12"/>
                <w:szCs w:val="12"/>
                <w:color w:val="auto"/>
              </w:rPr>
            </w:pP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7"/>
              </w:rPr>
              <w:t>20,553</w:t>
            </w:r>
          </w:p>
        </w:tc>
        <w:tc>
          <w:tcPr>
            <w:tcW w:w="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9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93,991</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ind w:left="300"/>
              <w:spacing w:after="0"/>
              <w:rPr>
                <w:sz w:val="20"/>
                <w:szCs w:val="20"/>
                <w:color w:val="auto"/>
              </w:rPr>
            </w:pPr>
            <w:r>
              <w:rPr>
                <w:rFonts w:ascii="Courier New" w:cs="Courier New" w:eastAsia="Courier New" w:hAnsi="Courier New"/>
                <w:sz w:val="12"/>
                <w:szCs w:val="12"/>
                <w:color w:val="auto"/>
              </w:rPr>
              <w:t>REVENUES RELATED TO A JOINT</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ind w:left="300"/>
              <w:spacing w:after="0"/>
              <w:rPr>
                <w:sz w:val="20"/>
                <w:szCs w:val="20"/>
                <w:color w:val="auto"/>
              </w:rPr>
            </w:pPr>
            <w:r>
              <w:rPr>
                <w:rFonts w:ascii="Courier New" w:cs="Courier New" w:eastAsia="Courier New" w:hAnsi="Courier New"/>
                <w:sz w:val="12"/>
                <w:szCs w:val="12"/>
                <w:color w:val="auto"/>
              </w:rPr>
              <w:t>DEVELOPMENT AGREEMENT</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spacing w:after="0"/>
              <w:rPr>
                <w:sz w:val="12"/>
                <w:szCs w:val="12"/>
                <w:color w:val="auto"/>
              </w:rPr>
            </w:pPr>
          </w:p>
        </w:tc>
        <w:tc>
          <w:tcPr>
            <w:tcW w:w="9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8,000</w:t>
            </w:r>
          </w:p>
        </w:tc>
        <w:tc>
          <w:tcPr>
            <w:tcW w:w="120" w:type="dxa"/>
            <w:vAlign w:val="bottom"/>
          </w:tcPr>
          <w:p>
            <w:pPr>
              <w:spacing w:after="0"/>
              <w:rPr>
                <w:sz w:val="12"/>
                <w:szCs w:val="12"/>
                <w:color w:val="auto"/>
              </w:rPr>
            </w:pP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8,000</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4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131,933</w:t>
            </w:r>
          </w:p>
        </w:tc>
        <w:tc>
          <w:tcPr>
            <w:tcW w:w="480" w:type="dxa"/>
            <w:vAlign w:val="bottom"/>
          </w:tcPr>
          <w:p>
            <w:pPr>
              <w:spacing w:after="0"/>
              <w:rPr>
                <w:sz w:val="12"/>
                <w:szCs w:val="12"/>
                <w:color w:val="auto"/>
              </w:rPr>
            </w:pPr>
          </w:p>
        </w:tc>
        <w:tc>
          <w:tcPr>
            <w:tcW w:w="9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70,928</w:t>
            </w:r>
          </w:p>
        </w:tc>
        <w:tc>
          <w:tcPr>
            <w:tcW w:w="120" w:type="dxa"/>
            <w:vAlign w:val="bottom"/>
          </w:tcPr>
          <w:p>
            <w:pPr>
              <w:spacing w:after="0"/>
              <w:rPr>
                <w:sz w:val="12"/>
                <w:szCs w:val="12"/>
                <w:color w:val="auto"/>
              </w:rPr>
            </w:pP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51,503</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7"/>
              </w:rPr>
              <w:t>20,553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101,991</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83"/>
        </w:trPr>
        <w:tc>
          <w:tcPr>
            <w:tcW w:w="3520" w:type="dxa"/>
            <w:vAlign w:val="bottom"/>
          </w:tcPr>
          <w:p>
            <w:pPr>
              <w:spacing w:after="0"/>
              <w:rPr>
                <w:sz w:val="20"/>
                <w:szCs w:val="20"/>
                <w:color w:val="auto"/>
              </w:rPr>
            </w:pPr>
            <w:r>
              <w:rPr>
                <w:rFonts w:ascii="Courier New" w:cs="Courier New" w:eastAsia="Courier New" w:hAnsi="Courier New"/>
                <w:sz w:val="12"/>
                <w:szCs w:val="12"/>
                <w:color w:val="auto"/>
              </w:rPr>
              <w:t>COST OF SALES</w:t>
            </w:r>
          </w:p>
        </w:tc>
        <w:tc>
          <w:tcPr>
            <w:tcW w:w="780" w:type="dxa"/>
            <w:vAlign w:val="bottom"/>
          </w:tcPr>
          <w:p>
            <w:pPr>
              <w:spacing w:after="0"/>
              <w:rPr>
                <w:sz w:val="24"/>
                <w:szCs w:val="24"/>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194,666</w:t>
            </w:r>
          </w:p>
        </w:tc>
        <w:tc>
          <w:tcPr>
            <w:tcW w:w="480" w:type="dxa"/>
            <w:vAlign w:val="bottom"/>
          </w:tcPr>
          <w:p>
            <w:pPr>
              <w:spacing w:after="0"/>
              <w:rPr>
                <w:sz w:val="24"/>
                <w:szCs w:val="24"/>
                <w:color w:val="auto"/>
              </w:rPr>
            </w:pPr>
          </w:p>
        </w:tc>
        <w:tc>
          <w:tcPr>
            <w:tcW w:w="940" w:type="dxa"/>
            <w:vAlign w:val="bottom"/>
          </w:tcPr>
          <w:p>
            <w:pPr>
              <w:jc w:val="right"/>
              <w:ind w:right="379"/>
              <w:spacing w:after="0"/>
              <w:rPr>
                <w:sz w:val="20"/>
                <w:szCs w:val="20"/>
                <w:color w:val="auto"/>
              </w:rPr>
            </w:pPr>
            <w:r>
              <w:rPr>
                <w:rFonts w:ascii="Courier New" w:cs="Courier New" w:eastAsia="Courier New" w:hAnsi="Courier New"/>
                <w:sz w:val="12"/>
                <w:szCs w:val="12"/>
                <w:color w:val="auto"/>
                <w:w w:val="95"/>
              </w:rPr>
              <w:t>179,598</w:t>
            </w:r>
          </w:p>
        </w:tc>
        <w:tc>
          <w:tcPr>
            <w:tcW w:w="12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68,244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7"/>
              </w:rPr>
              <w:t>57,130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238,358</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4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83"/>
        </w:trPr>
        <w:tc>
          <w:tcPr>
            <w:tcW w:w="3520" w:type="dxa"/>
            <w:vAlign w:val="bottom"/>
          </w:tcPr>
          <w:p>
            <w:pPr>
              <w:ind w:left="440"/>
              <w:spacing w:after="0"/>
              <w:rPr>
                <w:sz w:val="20"/>
                <w:szCs w:val="20"/>
                <w:color w:val="auto"/>
              </w:rPr>
            </w:pPr>
            <w:r>
              <w:rPr>
                <w:rFonts w:ascii="Courier New" w:cs="Courier New" w:eastAsia="Courier New" w:hAnsi="Courier New"/>
                <w:sz w:val="12"/>
                <w:szCs w:val="12"/>
                <w:color w:val="auto"/>
              </w:rPr>
              <w:t>GROSS LOSS</w:t>
            </w:r>
          </w:p>
        </w:tc>
        <w:tc>
          <w:tcPr>
            <w:tcW w:w="7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(62,733)</w:t>
            </w:r>
          </w:p>
        </w:tc>
        <w:tc>
          <w:tcPr>
            <w:tcW w:w="14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rPr>
              <w:t>(108,670)</w:t>
            </w:r>
          </w:p>
        </w:tc>
        <w:tc>
          <w:tcPr>
            <w:tcW w:w="12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(16,741)</w:t>
            </w:r>
          </w:p>
        </w:tc>
        <w:tc>
          <w:tcPr>
            <w:tcW w:w="220" w:type="dxa"/>
            <w:vAlign w:val="bottom"/>
          </w:tcPr>
          <w:p>
            <w:pPr>
              <w:spacing w:after="0"/>
              <w:rPr>
                <w:sz w:val="24"/>
                <w:szCs w:val="24"/>
                <w:color w:val="auto"/>
              </w:rPr>
            </w:pP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(36,577)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(136,367)</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4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83"/>
        </w:trPr>
        <w:tc>
          <w:tcPr>
            <w:tcW w:w="3520" w:type="dxa"/>
            <w:vAlign w:val="bottom"/>
          </w:tcPr>
          <w:p>
            <w:pPr>
              <w:spacing w:after="0"/>
              <w:rPr>
                <w:sz w:val="20"/>
                <w:szCs w:val="20"/>
                <w:color w:val="auto"/>
              </w:rPr>
            </w:pPr>
            <w:r>
              <w:rPr>
                <w:rFonts w:ascii="Courier New" w:cs="Courier New" w:eastAsia="Courier New" w:hAnsi="Courier New"/>
                <w:sz w:val="12"/>
                <w:szCs w:val="12"/>
                <w:color w:val="auto"/>
              </w:rPr>
              <w:t>OPERATING COSTS AND EXPENSES</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3"/>
        </w:trPr>
        <w:tc>
          <w:tcPr>
            <w:tcW w:w="3520" w:type="dxa"/>
            <w:vAlign w:val="bottom"/>
          </w:tcPr>
          <w:p>
            <w:pPr>
              <w:ind w:left="300"/>
              <w:spacing w:after="0"/>
              <w:rPr>
                <w:sz w:val="20"/>
                <w:szCs w:val="20"/>
                <w:color w:val="auto"/>
              </w:rPr>
            </w:pPr>
            <w:r>
              <w:rPr>
                <w:rFonts w:ascii="Courier New" w:cs="Courier New" w:eastAsia="Courier New" w:hAnsi="Courier New"/>
                <w:sz w:val="12"/>
                <w:szCs w:val="12"/>
                <w:color w:val="auto"/>
              </w:rPr>
              <w:t>RESEARCH AND DEVELOPMENT</w:t>
            </w:r>
          </w:p>
        </w:tc>
        <w:tc>
          <w:tcPr>
            <w:tcW w:w="780" w:type="dxa"/>
            <w:vAlign w:val="bottom"/>
          </w:tcPr>
          <w:p>
            <w:pPr>
              <w:spacing w:after="0"/>
              <w:rPr>
                <w:sz w:val="24"/>
                <w:szCs w:val="24"/>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11,107</w:t>
            </w:r>
          </w:p>
        </w:tc>
        <w:tc>
          <w:tcPr>
            <w:tcW w:w="480" w:type="dxa"/>
            <w:vAlign w:val="bottom"/>
          </w:tcPr>
          <w:p>
            <w:pPr>
              <w:spacing w:after="0"/>
              <w:rPr>
                <w:sz w:val="24"/>
                <w:szCs w:val="24"/>
                <w:color w:val="auto"/>
              </w:rPr>
            </w:pPr>
          </w:p>
        </w:tc>
        <w:tc>
          <w:tcPr>
            <w:tcW w:w="9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12,849</w:t>
            </w:r>
          </w:p>
        </w:tc>
        <w:tc>
          <w:tcPr>
            <w:tcW w:w="12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4,179</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4,200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16,029</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42"/>
        </w:trPr>
        <w:tc>
          <w:tcPr>
            <w:tcW w:w="3520" w:type="dxa"/>
            <w:vAlign w:val="bottom"/>
          </w:tcPr>
          <w:p>
            <w:pPr>
              <w:ind w:left="300"/>
              <w:spacing w:after="0"/>
              <w:rPr>
                <w:sz w:val="20"/>
                <w:szCs w:val="20"/>
                <w:color w:val="auto"/>
              </w:rPr>
            </w:pPr>
            <w:r>
              <w:rPr>
                <w:rFonts w:ascii="Courier New" w:cs="Courier New" w:eastAsia="Courier New" w:hAnsi="Courier New"/>
                <w:sz w:val="12"/>
                <w:szCs w:val="12"/>
                <w:color w:val="auto"/>
              </w:rPr>
              <w:t>MARKETING, GENERAL AND ADMINISTRATIVE</w:t>
            </w:r>
          </w:p>
        </w:tc>
        <w:tc>
          <w:tcPr>
            <w:tcW w:w="780" w:type="dxa"/>
            <w:vAlign w:val="bottom"/>
          </w:tcPr>
          <w:p>
            <w:pPr>
              <w:spacing w:after="0"/>
              <w:rPr>
                <w:sz w:val="12"/>
                <w:szCs w:val="12"/>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18,106</w:t>
            </w:r>
          </w:p>
        </w:tc>
        <w:tc>
          <w:tcPr>
            <w:tcW w:w="480" w:type="dxa"/>
            <w:vAlign w:val="bottom"/>
          </w:tcPr>
          <w:p>
            <w:pPr>
              <w:spacing w:after="0"/>
              <w:rPr>
                <w:sz w:val="12"/>
                <w:szCs w:val="12"/>
                <w:color w:val="auto"/>
              </w:rPr>
            </w:pPr>
          </w:p>
        </w:tc>
        <w:tc>
          <w:tcPr>
            <w:tcW w:w="9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13,481</w:t>
            </w:r>
          </w:p>
        </w:tc>
        <w:tc>
          <w:tcPr>
            <w:tcW w:w="120" w:type="dxa"/>
            <w:vAlign w:val="bottom"/>
          </w:tcPr>
          <w:p>
            <w:pPr>
              <w:spacing w:after="0"/>
              <w:rPr>
                <w:sz w:val="12"/>
                <w:szCs w:val="12"/>
                <w:color w:val="auto"/>
              </w:rPr>
            </w:pP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7,308</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4,715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17,418</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4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83"/>
        </w:trPr>
        <w:tc>
          <w:tcPr>
            <w:tcW w:w="3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29,213</w:t>
            </w:r>
          </w:p>
        </w:tc>
        <w:tc>
          <w:tcPr>
            <w:tcW w:w="480" w:type="dxa"/>
            <w:vAlign w:val="bottom"/>
          </w:tcPr>
          <w:p>
            <w:pPr>
              <w:spacing w:after="0"/>
              <w:rPr>
                <w:sz w:val="24"/>
                <w:szCs w:val="24"/>
                <w:color w:val="auto"/>
              </w:rPr>
            </w:pPr>
          </w:p>
        </w:tc>
        <w:tc>
          <w:tcPr>
            <w:tcW w:w="9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26,330</w:t>
            </w:r>
          </w:p>
        </w:tc>
        <w:tc>
          <w:tcPr>
            <w:tcW w:w="12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11,487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8,915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33,447</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4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83"/>
        </w:trPr>
        <w:tc>
          <w:tcPr>
            <w:tcW w:w="3520" w:type="dxa"/>
            <w:vAlign w:val="bottom"/>
          </w:tcPr>
          <w:p>
            <w:pPr>
              <w:ind w:left="440"/>
              <w:spacing w:after="0"/>
              <w:rPr>
                <w:sz w:val="20"/>
                <w:szCs w:val="20"/>
                <w:color w:val="auto"/>
              </w:rPr>
            </w:pPr>
            <w:r>
              <w:rPr>
                <w:rFonts w:ascii="Courier New" w:cs="Courier New" w:eastAsia="Courier New" w:hAnsi="Courier New"/>
                <w:sz w:val="12"/>
                <w:szCs w:val="12"/>
                <w:color w:val="auto"/>
              </w:rPr>
              <w:t>OPERATING LOSS</w:t>
            </w:r>
          </w:p>
        </w:tc>
        <w:tc>
          <w:tcPr>
            <w:tcW w:w="7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(91,946)</w:t>
            </w:r>
          </w:p>
        </w:tc>
        <w:tc>
          <w:tcPr>
            <w:tcW w:w="14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rPr>
              <w:t>(135,000)</w:t>
            </w:r>
          </w:p>
        </w:tc>
        <w:tc>
          <w:tcPr>
            <w:tcW w:w="12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(28,228)</w:t>
            </w:r>
          </w:p>
        </w:tc>
        <w:tc>
          <w:tcPr>
            <w:tcW w:w="220" w:type="dxa"/>
            <w:vAlign w:val="bottom"/>
          </w:tcPr>
          <w:p>
            <w:pPr>
              <w:spacing w:after="0"/>
              <w:rPr>
                <w:sz w:val="24"/>
                <w:szCs w:val="24"/>
                <w:color w:val="auto"/>
              </w:rPr>
            </w:pP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(45,492)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(169,814)</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3"/>
        </w:trPr>
        <w:tc>
          <w:tcPr>
            <w:tcW w:w="352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7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(37,957)</w:t>
            </w:r>
          </w:p>
        </w:tc>
        <w:tc>
          <w:tcPr>
            <w:tcW w:w="480" w:type="dxa"/>
            <w:vAlign w:val="bottom"/>
          </w:tcPr>
          <w:p>
            <w:pPr>
              <w:spacing w:after="0"/>
              <w:rPr>
                <w:sz w:val="24"/>
                <w:szCs w:val="24"/>
                <w:color w:val="auto"/>
              </w:rPr>
            </w:pP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color w:val="auto"/>
                <w:w w:val="97"/>
              </w:rPr>
              <w:t>(25,428)</w:t>
            </w:r>
          </w:p>
        </w:tc>
        <w:tc>
          <w:tcPr>
            <w:tcW w:w="12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(12,382)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5"/>
              </w:rPr>
              <w:t>(9,900)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(35,651)</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3"/>
        </w:trPr>
        <w:tc>
          <w:tcPr>
            <w:tcW w:w="3520" w:type="dxa"/>
            <w:vAlign w:val="bottom"/>
          </w:tcPr>
          <w:p>
            <w:pPr>
              <w:spacing w:after="0"/>
              <w:rPr>
                <w:sz w:val="20"/>
                <w:szCs w:val="20"/>
                <w:color w:val="auto"/>
              </w:rPr>
            </w:pPr>
            <w:r>
              <w:rPr>
                <w:rFonts w:ascii="Courier New" w:cs="Courier New" w:eastAsia="Courier New" w:hAnsi="Courier New"/>
                <w:sz w:val="12"/>
                <w:szCs w:val="12"/>
                <w:color w:val="auto"/>
              </w:rPr>
              <w:t>GAIN ON DEBT RESTRUCTURING 3B</w:t>
            </w:r>
          </w:p>
        </w:tc>
        <w:tc>
          <w:tcPr>
            <w:tcW w:w="780" w:type="dxa"/>
            <w:vAlign w:val="bottom"/>
          </w:tcPr>
          <w:p>
            <w:pPr>
              <w:jc w:val="center"/>
              <w:ind w:left="219"/>
              <w:spacing w:after="0"/>
              <w:rPr>
                <w:sz w:val="20"/>
                <w:szCs w:val="20"/>
                <w:color w:val="auto"/>
              </w:rPr>
            </w:pPr>
            <w:r>
              <w:rPr>
                <w:rFonts w:ascii="Courier New" w:cs="Courier New" w:eastAsia="Courier New" w:hAnsi="Courier New"/>
                <w:sz w:val="12"/>
                <w:szCs w:val="12"/>
                <w:color w:val="auto"/>
                <w:w w:val="96"/>
              </w:rPr>
              <w:t>3B</w:t>
            </w: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80,071</w:t>
            </w:r>
          </w:p>
        </w:tc>
        <w:tc>
          <w:tcPr>
            <w:tcW w:w="480" w:type="dxa"/>
            <w:vAlign w:val="bottom"/>
          </w:tcPr>
          <w:p>
            <w:pPr>
              <w:spacing w:after="0"/>
              <w:rPr>
                <w:sz w:val="24"/>
                <w:szCs w:val="24"/>
                <w:color w:val="auto"/>
              </w:rPr>
            </w:pPr>
          </w:p>
        </w:tc>
        <w:tc>
          <w:tcPr>
            <w:tcW w:w="9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80,071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3"/>
        </w:trPr>
        <w:tc>
          <w:tcPr>
            <w:tcW w:w="3520" w:type="dxa"/>
            <w:vAlign w:val="bottom"/>
          </w:tcPr>
          <w:p>
            <w:pPr>
              <w:spacing w:after="0"/>
              <w:rPr>
                <w:sz w:val="20"/>
                <w:szCs w:val="20"/>
                <w:color w:val="auto"/>
              </w:rPr>
            </w:pPr>
            <w:r>
              <w:rPr>
                <w:rFonts w:ascii="Courier New" w:cs="Courier New" w:eastAsia="Courier New" w:hAnsi="Courier New"/>
                <w:sz w:val="12"/>
                <w:szCs w:val="12"/>
                <w:color w:val="auto"/>
              </w:rPr>
              <w:t>OTHER INCOME, NET</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597</w:t>
            </w:r>
          </w:p>
        </w:tc>
        <w:tc>
          <w:tcPr>
            <w:tcW w:w="480" w:type="dxa"/>
            <w:vAlign w:val="bottom"/>
          </w:tcPr>
          <w:p>
            <w:pPr>
              <w:spacing w:after="0"/>
              <w:rPr>
                <w:sz w:val="24"/>
                <w:szCs w:val="24"/>
                <w:color w:val="auto"/>
              </w:rPr>
            </w:pPr>
          </w:p>
        </w:tc>
        <w:tc>
          <w:tcPr>
            <w:tcW w:w="9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2,518</w:t>
            </w:r>
          </w:p>
        </w:tc>
        <w:tc>
          <w:tcPr>
            <w:tcW w:w="12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2,383</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4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83"/>
        </w:trPr>
        <w:tc>
          <w:tcPr>
            <w:tcW w:w="3520" w:type="dxa"/>
            <w:vAlign w:val="bottom"/>
          </w:tcPr>
          <w:p>
            <w:pPr>
              <w:ind w:left="740"/>
              <w:spacing w:after="0"/>
              <w:rPr>
                <w:sz w:val="20"/>
                <w:szCs w:val="20"/>
                <w:color w:val="auto"/>
              </w:rPr>
            </w:pPr>
            <w:r>
              <w:rPr>
                <w:rFonts w:ascii="Courier New" w:cs="Courier New" w:eastAsia="Courier New" w:hAnsi="Courier New"/>
                <w:sz w:val="12"/>
                <w:szCs w:val="12"/>
                <w:color w:val="auto"/>
              </w:rPr>
              <w:t>INCOME (LOSS) FOR THE PERIOD</w:t>
            </w:r>
          </w:p>
        </w:tc>
        <w:tc>
          <w:tcPr>
            <w:tcW w:w="7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(49,235)</w:t>
            </w:r>
          </w:p>
        </w:tc>
        <w:tc>
          <w:tcPr>
            <w:tcW w:w="14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rPr>
              <w:t>$(157,910)</w:t>
            </w:r>
          </w:p>
        </w:tc>
        <w:tc>
          <w:tcPr>
            <w:tcW w:w="12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39,467</w:t>
            </w:r>
          </w:p>
        </w:tc>
        <w:tc>
          <w:tcPr>
            <w:tcW w:w="220" w:type="dxa"/>
            <w:vAlign w:val="bottom"/>
          </w:tcPr>
          <w:p>
            <w:pPr>
              <w:spacing w:after="0"/>
              <w:rPr>
                <w:sz w:val="24"/>
                <w:szCs w:val="24"/>
                <w:color w:val="auto"/>
              </w:rPr>
            </w:pP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(55,350)</w:t>
            </w:r>
          </w:p>
        </w:tc>
        <w:tc>
          <w:tcPr>
            <w:tcW w:w="80" w:type="dxa"/>
            <w:vAlign w:val="bottom"/>
          </w:tcPr>
          <w:p>
            <w:pPr>
              <w:spacing w:after="0"/>
              <w:rPr>
                <w:sz w:val="24"/>
                <w:szCs w:val="24"/>
                <w:color w:val="auto"/>
              </w:rPr>
            </w:pPr>
          </w:p>
        </w:tc>
        <w:tc>
          <w:tcPr>
            <w:tcW w:w="1020" w:type="dxa"/>
            <w:vAlign w:val="bottom"/>
            <w:gridSpan w:val="2"/>
          </w:tcPr>
          <w:p>
            <w:pPr>
              <w:jc w:val="right"/>
              <w:ind w:right="219"/>
              <w:spacing w:after="0"/>
              <w:rPr>
                <w:sz w:val="20"/>
                <w:szCs w:val="20"/>
                <w:color w:val="auto"/>
              </w:rPr>
            </w:pPr>
            <w:r>
              <w:rPr>
                <w:rFonts w:ascii="Courier New" w:cs="Courier New" w:eastAsia="Courier New" w:hAnsi="Courier New"/>
                <w:sz w:val="12"/>
                <w:szCs w:val="12"/>
                <w:color w:val="auto"/>
                <w:w w:val="99"/>
              </w:rPr>
              <w:t>$(203,082)</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4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83"/>
        </w:trPr>
        <w:tc>
          <w:tcPr>
            <w:tcW w:w="3520" w:type="dxa"/>
            <w:vAlign w:val="bottom"/>
          </w:tcPr>
          <w:p>
            <w:pPr>
              <w:spacing w:after="0"/>
              <w:rPr>
                <w:sz w:val="20"/>
                <w:szCs w:val="20"/>
                <w:color w:val="auto"/>
              </w:rPr>
            </w:pPr>
            <w:r>
              <w:rPr>
                <w:rFonts w:ascii="Courier New" w:cs="Courier New" w:eastAsia="Courier New" w:hAnsi="Courier New"/>
                <w:sz w:val="12"/>
                <w:szCs w:val="12"/>
                <w:color w:val="auto"/>
              </w:rPr>
              <w:t>BASIC EARNING (LOSS) PER ORDINARY SHARE</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3"/>
        </w:trPr>
        <w:tc>
          <w:tcPr>
            <w:tcW w:w="3520" w:type="dxa"/>
            <w:vAlign w:val="bottom"/>
          </w:tcPr>
          <w:p>
            <w:pPr>
              <w:ind w:left="300"/>
              <w:spacing w:after="0"/>
              <w:rPr>
                <w:sz w:val="20"/>
                <w:szCs w:val="20"/>
                <w:color w:val="auto"/>
              </w:rPr>
            </w:pPr>
            <w:r>
              <w:rPr>
                <w:rFonts w:ascii="Courier New" w:cs="Courier New" w:eastAsia="Courier New" w:hAnsi="Courier New"/>
                <w:sz w:val="12"/>
                <w:szCs w:val="12"/>
                <w:color w:val="auto"/>
              </w:rPr>
              <w:t>EARNING (LOSS) PER SHARE</w:t>
            </w:r>
          </w:p>
        </w:tc>
        <w:tc>
          <w:tcPr>
            <w:tcW w:w="780" w:type="dxa"/>
            <w:vAlign w:val="bottom"/>
          </w:tcPr>
          <w:p>
            <w:pPr>
              <w:spacing w:after="0"/>
              <w:rPr>
                <w:sz w:val="24"/>
                <w:szCs w:val="24"/>
                <w:color w:val="auto"/>
              </w:rPr>
            </w:pPr>
          </w:p>
        </w:tc>
        <w:tc>
          <w:tcPr>
            <w:tcW w:w="5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(0.63)</w:t>
            </w:r>
          </w:p>
        </w:tc>
        <w:tc>
          <w:tcPr>
            <w:tcW w:w="4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(2.39)</w:t>
            </w:r>
          </w:p>
        </w:tc>
        <w:tc>
          <w:tcPr>
            <w:tcW w:w="12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0.46</w:t>
            </w:r>
          </w:p>
        </w:tc>
        <w:tc>
          <w:tcPr>
            <w:tcW w:w="22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(0.83)</w:t>
            </w:r>
          </w:p>
        </w:tc>
        <w:tc>
          <w:tcPr>
            <w:tcW w:w="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9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(3.06)</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4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83"/>
        </w:trPr>
        <w:tc>
          <w:tcPr>
            <w:tcW w:w="3520" w:type="dxa"/>
            <w:vAlign w:val="bottom"/>
          </w:tcPr>
          <w:p>
            <w:pPr>
              <w:ind w:left="300"/>
              <w:spacing w:after="0"/>
              <w:rPr>
                <w:sz w:val="20"/>
                <w:szCs w:val="20"/>
                <w:color w:val="auto"/>
              </w:rPr>
            </w:pPr>
            <w:r>
              <w:rPr>
                <w:rFonts w:ascii="Courier New" w:cs="Courier New" w:eastAsia="Courier New" w:hAnsi="Courier New"/>
                <w:sz w:val="12"/>
                <w:szCs w:val="12"/>
                <w:color w:val="auto"/>
              </w:rPr>
              <w:t>INCOME (LOSS) USED TO COMPUTE</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42"/>
        </w:trPr>
        <w:tc>
          <w:tcPr>
            <w:tcW w:w="3520" w:type="dxa"/>
            <w:vAlign w:val="bottom"/>
          </w:tcPr>
          <w:p>
            <w:pPr>
              <w:ind w:left="440"/>
              <w:spacing w:after="0"/>
              <w:rPr>
                <w:sz w:val="20"/>
                <w:szCs w:val="20"/>
                <w:color w:val="auto"/>
              </w:rPr>
            </w:pPr>
            <w:r>
              <w:rPr>
                <w:rFonts w:ascii="Courier New" w:cs="Courier New" w:eastAsia="Courier New" w:hAnsi="Courier New"/>
                <w:sz w:val="12"/>
                <w:szCs w:val="12"/>
                <w:color w:val="auto"/>
              </w:rPr>
              <w:t>BASIC EARNING (LOSS) PER SHARE</w:t>
            </w:r>
          </w:p>
        </w:tc>
        <w:tc>
          <w:tcPr>
            <w:tcW w:w="78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(49,235)</w:t>
            </w:r>
          </w:p>
        </w:tc>
        <w:tc>
          <w:tcPr>
            <w:tcW w:w="14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rPr>
              <w:t>(157,910)</w:t>
            </w:r>
          </w:p>
        </w:tc>
        <w:tc>
          <w:tcPr>
            <w:tcW w:w="120" w:type="dxa"/>
            <w:vAlign w:val="bottom"/>
          </w:tcPr>
          <w:p>
            <w:pPr>
              <w:spacing w:after="0"/>
              <w:rPr>
                <w:sz w:val="12"/>
                <w:szCs w:val="12"/>
                <w:color w:val="auto"/>
              </w:rPr>
            </w:pP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39,467</w:t>
            </w:r>
          </w:p>
        </w:tc>
        <w:tc>
          <w:tcPr>
            <w:tcW w:w="220" w:type="dxa"/>
            <w:vAlign w:val="bottom"/>
          </w:tcPr>
          <w:p>
            <w:pPr>
              <w:spacing w:after="0"/>
              <w:rPr>
                <w:sz w:val="12"/>
                <w:szCs w:val="12"/>
                <w:color w:val="auto"/>
              </w:rPr>
            </w:pP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(55,350)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(203,082)</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4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83"/>
        </w:trPr>
        <w:tc>
          <w:tcPr>
            <w:tcW w:w="3520" w:type="dxa"/>
            <w:vAlign w:val="bottom"/>
          </w:tcPr>
          <w:p>
            <w:pPr>
              <w:ind w:left="300"/>
              <w:spacing w:after="0"/>
              <w:rPr>
                <w:sz w:val="20"/>
                <w:szCs w:val="20"/>
                <w:color w:val="auto"/>
              </w:rPr>
            </w:pPr>
            <w:r>
              <w:rPr>
                <w:rFonts w:ascii="Courier New" w:cs="Courier New" w:eastAsia="Courier New" w:hAnsi="Courier New"/>
                <w:sz w:val="12"/>
                <w:szCs w:val="12"/>
                <w:color w:val="auto"/>
              </w:rPr>
              <w:t>WEIGHTED AVERAGE NUMBER OF ORDINARY</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42"/>
        </w:trPr>
        <w:tc>
          <w:tcPr>
            <w:tcW w:w="3520" w:type="dxa"/>
            <w:vAlign w:val="bottom"/>
          </w:tcPr>
          <w:p>
            <w:pPr>
              <w:ind w:left="440"/>
              <w:spacing w:after="0"/>
              <w:rPr>
                <w:sz w:val="20"/>
                <w:szCs w:val="20"/>
                <w:color w:val="auto"/>
              </w:rPr>
            </w:pPr>
            <w:r>
              <w:rPr>
                <w:rFonts w:ascii="Courier New" w:cs="Courier New" w:eastAsia="Courier New" w:hAnsi="Courier New"/>
                <w:sz w:val="12"/>
                <w:szCs w:val="12"/>
                <w:color w:val="auto"/>
              </w:rPr>
              <w:t>SHARES OUTSTANDING - IN THOUSANDS</w:t>
            </w:r>
          </w:p>
        </w:tc>
        <w:tc>
          <w:tcPr>
            <w:tcW w:w="780" w:type="dxa"/>
            <w:vAlign w:val="bottom"/>
          </w:tcPr>
          <w:p>
            <w:pPr>
              <w:spacing w:after="0"/>
              <w:rPr>
                <w:sz w:val="12"/>
                <w:szCs w:val="12"/>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78,607</w:t>
            </w:r>
          </w:p>
        </w:tc>
        <w:tc>
          <w:tcPr>
            <w:tcW w:w="480" w:type="dxa"/>
            <w:vAlign w:val="bottom"/>
          </w:tcPr>
          <w:p>
            <w:pPr>
              <w:spacing w:after="0"/>
              <w:rPr>
                <w:sz w:val="12"/>
                <w:szCs w:val="12"/>
                <w:color w:val="auto"/>
              </w:rPr>
            </w:pPr>
          </w:p>
        </w:tc>
        <w:tc>
          <w:tcPr>
            <w:tcW w:w="9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66,190</w:t>
            </w:r>
          </w:p>
        </w:tc>
        <w:tc>
          <w:tcPr>
            <w:tcW w:w="120" w:type="dxa"/>
            <w:vAlign w:val="bottom"/>
          </w:tcPr>
          <w:p>
            <w:pPr>
              <w:spacing w:after="0"/>
              <w:rPr>
                <w:sz w:val="12"/>
                <w:szCs w:val="12"/>
                <w:color w:val="auto"/>
              </w:rPr>
            </w:pP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85,087</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7"/>
              </w:rPr>
              <w:t>66,671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66,371</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4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83"/>
        </w:trPr>
        <w:tc>
          <w:tcPr>
            <w:tcW w:w="3520" w:type="dxa"/>
            <w:vAlign w:val="bottom"/>
          </w:tcPr>
          <w:p>
            <w:pPr>
              <w:spacing w:after="0"/>
              <w:rPr>
                <w:sz w:val="20"/>
                <w:szCs w:val="20"/>
                <w:color w:val="auto"/>
              </w:rPr>
            </w:pPr>
            <w:r>
              <w:rPr>
                <w:rFonts w:ascii="Courier New" w:cs="Courier New" w:eastAsia="Courier New" w:hAnsi="Courier New"/>
                <w:sz w:val="12"/>
                <w:szCs w:val="12"/>
                <w:color w:val="auto"/>
              </w:rPr>
              <w:t>DILUTED EARNING (LOSS) PER ORDINARY SHARE</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3"/>
        </w:trPr>
        <w:tc>
          <w:tcPr>
            <w:tcW w:w="3520" w:type="dxa"/>
            <w:vAlign w:val="bottom"/>
          </w:tcPr>
          <w:p>
            <w:pPr>
              <w:ind w:left="300"/>
              <w:spacing w:after="0"/>
              <w:rPr>
                <w:sz w:val="20"/>
                <w:szCs w:val="20"/>
                <w:color w:val="auto"/>
              </w:rPr>
            </w:pPr>
            <w:r>
              <w:rPr>
                <w:rFonts w:ascii="Courier New" w:cs="Courier New" w:eastAsia="Courier New" w:hAnsi="Courier New"/>
                <w:sz w:val="12"/>
                <w:szCs w:val="12"/>
                <w:color w:val="auto"/>
              </w:rPr>
              <w:t>EARNING (LOSS) PER SHARE</w:t>
            </w:r>
          </w:p>
        </w:tc>
        <w:tc>
          <w:tcPr>
            <w:tcW w:w="780" w:type="dxa"/>
            <w:vAlign w:val="bottom"/>
          </w:tcPr>
          <w:p>
            <w:pPr>
              <w:spacing w:after="0"/>
              <w:rPr>
                <w:sz w:val="24"/>
                <w:szCs w:val="24"/>
                <w:color w:val="auto"/>
              </w:rPr>
            </w:pPr>
          </w:p>
        </w:tc>
        <w:tc>
          <w:tcPr>
            <w:tcW w:w="5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(0.63)</w:t>
            </w:r>
          </w:p>
        </w:tc>
        <w:tc>
          <w:tcPr>
            <w:tcW w:w="4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(2.39)</w:t>
            </w:r>
          </w:p>
        </w:tc>
        <w:tc>
          <w:tcPr>
            <w:tcW w:w="12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0.30</w:t>
            </w:r>
          </w:p>
        </w:tc>
        <w:tc>
          <w:tcPr>
            <w:tcW w:w="22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(0.83)</w:t>
            </w:r>
          </w:p>
        </w:tc>
        <w:tc>
          <w:tcPr>
            <w:tcW w:w="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9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(3.06)</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4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83"/>
        </w:trPr>
        <w:tc>
          <w:tcPr>
            <w:tcW w:w="3520" w:type="dxa"/>
            <w:vAlign w:val="bottom"/>
          </w:tcPr>
          <w:p>
            <w:pPr>
              <w:ind w:left="300"/>
              <w:spacing w:after="0"/>
              <w:rPr>
                <w:sz w:val="20"/>
                <w:szCs w:val="20"/>
                <w:color w:val="auto"/>
              </w:rPr>
            </w:pPr>
            <w:r>
              <w:rPr>
                <w:rFonts w:ascii="Courier New" w:cs="Courier New" w:eastAsia="Courier New" w:hAnsi="Courier New"/>
                <w:sz w:val="12"/>
                <w:szCs w:val="12"/>
                <w:color w:val="auto"/>
              </w:rPr>
              <w:t>INCOME (LOSS) USED TO COMPUTE</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42"/>
        </w:trPr>
        <w:tc>
          <w:tcPr>
            <w:tcW w:w="3520" w:type="dxa"/>
            <w:vAlign w:val="bottom"/>
          </w:tcPr>
          <w:p>
            <w:pPr>
              <w:ind w:left="440"/>
              <w:spacing w:after="0"/>
              <w:rPr>
                <w:sz w:val="20"/>
                <w:szCs w:val="20"/>
                <w:color w:val="auto"/>
              </w:rPr>
            </w:pPr>
            <w:r>
              <w:rPr>
                <w:rFonts w:ascii="Courier New" w:cs="Courier New" w:eastAsia="Courier New" w:hAnsi="Courier New"/>
                <w:sz w:val="12"/>
                <w:szCs w:val="12"/>
                <w:color w:val="auto"/>
              </w:rPr>
              <w:t>DILUTED EARNING (LOSS) PER SHARE</w:t>
            </w:r>
          </w:p>
        </w:tc>
        <w:tc>
          <w:tcPr>
            <w:tcW w:w="78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(49,235)</w:t>
            </w:r>
          </w:p>
        </w:tc>
        <w:tc>
          <w:tcPr>
            <w:tcW w:w="14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rPr>
              <w:t>(157,910)</w:t>
            </w:r>
          </w:p>
        </w:tc>
        <w:tc>
          <w:tcPr>
            <w:tcW w:w="120" w:type="dxa"/>
            <w:vAlign w:val="bottom"/>
          </w:tcPr>
          <w:p>
            <w:pPr>
              <w:spacing w:after="0"/>
              <w:rPr>
                <w:sz w:val="12"/>
                <w:szCs w:val="12"/>
                <w:color w:val="auto"/>
              </w:rPr>
            </w:pP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41,433</w:t>
            </w:r>
          </w:p>
        </w:tc>
        <w:tc>
          <w:tcPr>
            <w:tcW w:w="220" w:type="dxa"/>
            <w:vAlign w:val="bottom"/>
          </w:tcPr>
          <w:p>
            <w:pPr>
              <w:spacing w:after="0"/>
              <w:rPr>
                <w:sz w:val="12"/>
                <w:szCs w:val="12"/>
                <w:color w:val="auto"/>
              </w:rPr>
            </w:pP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(55,350)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(203,082)</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4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83"/>
        </w:trPr>
        <w:tc>
          <w:tcPr>
            <w:tcW w:w="3520" w:type="dxa"/>
            <w:vAlign w:val="bottom"/>
          </w:tcPr>
          <w:p>
            <w:pPr>
              <w:ind w:left="300"/>
              <w:spacing w:after="0"/>
              <w:rPr>
                <w:sz w:val="20"/>
                <w:szCs w:val="20"/>
                <w:color w:val="auto"/>
              </w:rPr>
            </w:pPr>
            <w:r>
              <w:rPr>
                <w:rFonts w:ascii="Courier New" w:cs="Courier New" w:eastAsia="Courier New" w:hAnsi="Courier New"/>
                <w:sz w:val="12"/>
                <w:szCs w:val="12"/>
                <w:color w:val="auto"/>
              </w:rPr>
              <w:t>WEIGHTED AVERAGE NUMBER OF ORDINARY</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42"/>
        </w:trPr>
        <w:tc>
          <w:tcPr>
            <w:tcW w:w="3520" w:type="dxa"/>
            <w:vAlign w:val="bottom"/>
          </w:tcPr>
          <w:p>
            <w:pPr>
              <w:ind w:left="440"/>
              <w:spacing w:after="0"/>
              <w:rPr>
                <w:sz w:val="20"/>
                <w:szCs w:val="20"/>
                <w:color w:val="auto"/>
              </w:rPr>
            </w:pPr>
            <w:r>
              <w:rPr>
                <w:rFonts w:ascii="Courier New" w:cs="Courier New" w:eastAsia="Courier New" w:hAnsi="Courier New"/>
                <w:sz w:val="12"/>
                <w:szCs w:val="12"/>
                <w:color w:val="auto"/>
              </w:rPr>
              <w:t>SHARES OUTSTANDING - IN THOUSANDS</w:t>
            </w:r>
          </w:p>
        </w:tc>
        <w:tc>
          <w:tcPr>
            <w:tcW w:w="780" w:type="dxa"/>
            <w:vAlign w:val="bottom"/>
          </w:tcPr>
          <w:p>
            <w:pPr>
              <w:spacing w:after="0"/>
              <w:rPr>
                <w:sz w:val="12"/>
                <w:szCs w:val="12"/>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78,607</w:t>
            </w:r>
          </w:p>
        </w:tc>
        <w:tc>
          <w:tcPr>
            <w:tcW w:w="480" w:type="dxa"/>
            <w:vAlign w:val="bottom"/>
          </w:tcPr>
          <w:p>
            <w:pPr>
              <w:spacing w:after="0"/>
              <w:rPr>
                <w:sz w:val="12"/>
                <w:szCs w:val="12"/>
                <w:color w:val="auto"/>
              </w:rPr>
            </w:pPr>
          </w:p>
        </w:tc>
        <w:tc>
          <w:tcPr>
            <w:tcW w:w="9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66,190</w:t>
            </w:r>
          </w:p>
        </w:tc>
        <w:tc>
          <w:tcPr>
            <w:tcW w:w="120" w:type="dxa"/>
            <w:vAlign w:val="bottom"/>
          </w:tcPr>
          <w:p>
            <w:pPr>
              <w:spacing w:after="0"/>
              <w:rPr>
                <w:sz w:val="12"/>
                <w:szCs w:val="12"/>
                <w:color w:val="auto"/>
              </w:rPr>
            </w:pP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139,214</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7"/>
              </w:rPr>
              <w:t>66,671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66,371</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4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425"/>
        </w:trPr>
        <w:tc>
          <w:tcPr>
            <w:tcW w:w="4860" w:type="dxa"/>
            <w:vAlign w:val="bottom"/>
            <w:gridSpan w:val="3"/>
          </w:tcPr>
          <w:p>
            <w:pPr>
              <w:spacing w:after="0"/>
              <w:rPr>
                <w:sz w:val="20"/>
                <w:szCs w:val="20"/>
                <w:color w:val="auto"/>
              </w:rPr>
            </w:pPr>
            <w:r>
              <w:rPr>
                <w:rFonts w:ascii="Courier New" w:cs="Courier New" w:eastAsia="Courier New" w:hAnsi="Courier New"/>
                <w:sz w:val="12"/>
                <w:szCs w:val="12"/>
                <w:color w:val="auto"/>
              </w:rPr>
              <w:t>SEE NOTES TO CONDENSED INTERIM CONSOLIDATED FINANCIAL STATEMENTS.</w:t>
            </w: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25"/>
        </w:trPr>
        <w:tc>
          <w:tcPr>
            <w:tcW w:w="3520" w:type="dxa"/>
            <w:vAlign w:val="bottom"/>
          </w:tcPr>
          <w:p>
            <w:pPr>
              <w:ind w:left="2720"/>
              <w:spacing w:after="0"/>
              <w:rPr>
                <w:sz w:val="20"/>
                <w:szCs w:val="20"/>
                <w:color w:val="auto"/>
              </w:rPr>
            </w:pPr>
            <w:r>
              <w:rPr>
                <w:rFonts w:ascii="Courier New" w:cs="Courier New" w:eastAsia="Courier New" w:hAnsi="Courier New"/>
                <w:sz w:val="12"/>
                <w:szCs w:val="12"/>
                <w:color w:val="auto"/>
              </w:rPr>
              <w:t>- 2 -</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47"/>
        </w:trPr>
        <w:tc>
          <w:tcPr>
            <w:tcW w:w="4300" w:type="dxa"/>
            <w:vAlign w:val="bottom"/>
            <w:gridSpan w:val="2"/>
          </w:tcPr>
          <w:p>
            <w:pPr>
              <w:ind w:left="2060"/>
              <w:spacing w:after="0"/>
              <w:rPr>
                <w:sz w:val="20"/>
                <w:szCs w:val="20"/>
                <w:color w:val="auto"/>
              </w:rPr>
            </w:pPr>
            <w:r>
              <w:rPr>
                <w:rFonts w:ascii="Courier New" w:cs="Courier New" w:eastAsia="Courier New" w:hAnsi="Courier New"/>
                <w:sz w:val="12"/>
                <w:szCs w:val="12"/>
                <w:color w:val="auto"/>
              </w:rPr>
              <w:t>TOWER SEMICONDUCTOR LTD.</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42"/>
        </w:trPr>
        <w:tc>
          <w:tcPr>
            <w:tcW w:w="5340" w:type="dxa"/>
            <w:vAlign w:val="bottom"/>
            <w:gridSpan w:val="4"/>
          </w:tcPr>
          <w:p>
            <w:pPr>
              <w:ind w:left="960"/>
              <w:spacing w:after="0"/>
              <w:rPr>
                <w:sz w:val="20"/>
                <w:szCs w:val="20"/>
                <w:color w:val="auto"/>
              </w:rPr>
            </w:pPr>
            <w:r>
              <w:rPr>
                <w:rFonts w:ascii="Courier New" w:cs="Courier New" w:eastAsia="Courier New" w:hAnsi="Courier New"/>
                <w:sz w:val="12"/>
                <w:szCs w:val="12"/>
                <w:color w:val="auto"/>
              </w:rPr>
              <w:t>STATEMENTS OF CHANGES IN SHAREHOLDERS' EQUITY (DEFICIT)</w:t>
            </w: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5340" w:type="dxa"/>
            <w:vAlign w:val="bottom"/>
            <w:gridSpan w:val="4"/>
          </w:tcPr>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83"/>
        </w:trPr>
        <w:tc>
          <w:tcPr>
            <w:tcW w:w="3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EQUITY</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COMPONENT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OF</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8"/>
              </w:rPr>
              <w:t>CONVERTIBLE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DEBENTURES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AND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20" w:type="dxa"/>
            <w:vAlign w:val="bottom"/>
            <w:gridSpan w:val="3"/>
          </w:tcPr>
          <w:p>
            <w:pPr>
              <w:jc w:val="right"/>
              <w:ind w:right="239"/>
              <w:spacing w:after="0"/>
              <w:rPr>
                <w:sz w:val="20"/>
                <w:szCs w:val="20"/>
                <w:color w:val="auto"/>
              </w:rPr>
            </w:pPr>
            <w:r>
              <w:rPr>
                <w:rFonts w:ascii="Courier New" w:cs="Courier New" w:eastAsia="Courier New" w:hAnsi="Courier New"/>
                <w:sz w:val="12"/>
                <w:szCs w:val="12"/>
                <w:color w:val="auto"/>
              </w:rPr>
              <w:t>ORDINARY SHARES</w:t>
            </w: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ADDITIONAL</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9"/>
              </w:rPr>
              <w:t>CUMULATIVE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23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PAID-IN</w:t>
            </w:r>
          </w:p>
        </w:tc>
        <w:tc>
          <w:tcPr>
            <w:tcW w:w="120" w:type="dxa"/>
            <w:vAlign w:val="bottom"/>
          </w:tcPr>
          <w:p>
            <w:pPr>
              <w:spacing w:after="0"/>
              <w:rPr>
                <w:sz w:val="12"/>
                <w:szCs w:val="12"/>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2"/>
                <w:szCs w:val="12"/>
                <w:color w:val="auto"/>
                <w:w w:val="99"/>
              </w:rPr>
              <w:t>CAPITAL</w:t>
            </w:r>
          </w:p>
        </w:tc>
        <w:tc>
          <w:tcPr>
            <w:tcW w:w="220" w:type="dxa"/>
            <w:vAlign w:val="bottom"/>
          </w:tcPr>
          <w:p>
            <w:pPr>
              <w:spacing w:after="0"/>
              <w:rPr>
                <w:sz w:val="12"/>
                <w:szCs w:val="12"/>
                <w:color w:val="auto"/>
              </w:rPr>
            </w:pPr>
          </w:p>
        </w:tc>
        <w:tc>
          <w:tcPr>
            <w:tcW w:w="9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STOCK BASED</w:t>
            </w:r>
          </w:p>
        </w:tc>
        <w:tc>
          <w:tcPr>
            <w:tcW w:w="6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Courier New" w:cs="Courier New" w:eastAsia="Courier New" w:hAnsi="Courier New"/>
                <w:sz w:val="12"/>
                <w:szCs w:val="12"/>
                <w:color w:val="auto"/>
              </w:rPr>
              <w:t>ACCUMULATED</w:t>
            </w:r>
          </w:p>
        </w:tc>
        <w:tc>
          <w:tcPr>
            <w:tcW w:w="900" w:type="dxa"/>
            <w:vAlign w:val="bottom"/>
          </w:tcPr>
          <w:p>
            <w:pPr>
              <w:ind w:left="80"/>
              <w:spacing w:after="0"/>
              <w:rPr>
                <w:sz w:val="20"/>
                <w:szCs w:val="20"/>
                <w:color w:val="auto"/>
              </w:rPr>
            </w:pPr>
            <w:r>
              <w:rPr>
                <w:rFonts w:ascii="Courier New" w:cs="Courier New" w:eastAsia="Courier New" w:hAnsi="Courier New"/>
                <w:sz w:val="12"/>
                <w:szCs w:val="12"/>
                <w:color w:val="auto"/>
              </w:rPr>
              <w:t>TREASURY</w:t>
            </w:r>
          </w:p>
        </w:tc>
        <w:tc>
          <w:tcPr>
            <w:tcW w:w="8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13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AMAMOUNT</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CAPITAL</w:t>
            </w:r>
          </w:p>
        </w:tc>
        <w:tc>
          <w:tcPr>
            <w:tcW w:w="120" w:type="dxa"/>
            <w:vAlign w:val="bottom"/>
          </w:tcPr>
          <w:p>
            <w:pPr>
              <w:spacing w:after="0"/>
              <w:rPr>
                <w:sz w:val="12"/>
                <w:szCs w:val="12"/>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2"/>
                <w:szCs w:val="12"/>
                <w:color w:val="auto"/>
              </w:rPr>
              <w:t>NOTES</w:t>
            </w:r>
          </w:p>
        </w:tc>
        <w:tc>
          <w:tcPr>
            <w:tcW w:w="220" w:type="dxa"/>
            <w:vAlign w:val="bottom"/>
          </w:tcPr>
          <w:p>
            <w:pPr>
              <w:spacing w:after="0"/>
              <w:rPr>
                <w:sz w:val="12"/>
                <w:szCs w:val="12"/>
                <w:color w:val="auto"/>
              </w:rPr>
            </w:pPr>
          </w:p>
        </w:tc>
        <w:tc>
          <w:tcPr>
            <w:tcW w:w="9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COMPENSATION</w:t>
            </w:r>
          </w:p>
        </w:tc>
        <w:tc>
          <w:tcPr>
            <w:tcW w:w="60" w:type="dxa"/>
            <w:vAlign w:val="bottom"/>
          </w:tcPr>
          <w:p>
            <w:pPr>
              <w:spacing w:after="0"/>
              <w:rPr>
                <w:sz w:val="12"/>
                <w:szCs w:val="12"/>
                <w:color w:val="auto"/>
              </w:rPr>
            </w:pP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DEFICIT</w:t>
            </w:r>
          </w:p>
        </w:tc>
        <w:tc>
          <w:tcPr>
            <w:tcW w:w="900" w:type="dxa"/>
            <w:vAlign w:val="bottom"/>
          </w:tcPr>
          <w:p>
            <w:pPr>
              <w:ind w:left="220"/>
              <w:spacing w:after="0"/>
              <w:rPr>
                <w:sz w:val="20"/>
                <w:szCs w:val="20"/>
                <w:color w:val="auto"/>
              </w:rPr>
            </w:pPr>
            <w:r>
              <w:rPr>
                <w:rFonts w:ascii="Courier New" w:cs="Courier New" w:eastAsia="Courier New" w:hAnsi="Courier New"/>
                <w:sz w:val="12"/>
                <w:szCs w:val="12"/>
                <w:color w:val="auto"/>
              </w:rPr>
              <w:t>STOCK</w:t>
            </w: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TOTAL</w:t>
            </w:r>
          </w:p>
        </w:tc>
      </w:tr>
      <w:tr>
        <w:trPr>
          <w:trHeight w:val="142"/>
        </w:trPr>
        <w:tc>
          <w:tcPr>
            <w:tcW w:w="352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3520" w:type="dxa"/>
            <w:vAlign w:val="bottom"/>
          </w:tcPr>
          <w:p>
            <w:pPr>
              <w:ind w:left="300"/>
              <w:spacing w:after="0"/>
              <w:rPr>
                <w:sz w:val="20"/>
                <w:szCs w:val="20"/>
                <w:color w:val="auto"/>
              </w:rPr>
            </w:pPr>
            <w:r>
              <w:rPr>
                <w:rFonts w:ascii="Courier New" w:cs="Courier New" w:eastAsia="Courier New" w:hAnsi="Courier New"/>
                <w:sz w:val="12"/>
                <w:szCs w:val="12"/>
                <w:color w:val="auto"/>
              </w:rPr>
              <w:t>BALANCE - JANUARY 1, 2006</w:t>
            </w:r>
          </w:p>
        </w:tc>
        <w:tc>
          <w:tcPr>
            <w:tcW w:w="13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68,232,056</w:t>
            </w:r>
          </w:p>
        </w:tc>
        <w:tc>
          <w:tcPr>
            <w:tcW w:w="4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16,548</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$ 522,237</w:t>
            </w:r>
          </w:p>
        </w:tc>
        <w:tc>
          <w:tcPr>
            <w:tcW w:w="12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w:t>
            </w:r>
          </w:p>
        </w:tc>
        <w:tc>
          <w:tcPr>
            <w:tcW w:w="300" w:type="dxa"/>
            <w:vAlign w:val="bottom"/>
          </w:tcPr>
          <w:p>
            <w:pPr>
              <w:ind w:left="220"/>
              <w:spacing w:after="0"/>
              <w:rPr>
                <w:sz w:val="20"/>
                <w:szCs w:val="20"/>
                <w:color w:val="auto"/>
              </w:rPr>
            </w:pPr>
            <w:r>
              <w:rPr>
                <w:rFonts w:ascii="Courier New" w:cs="Courier New" w:eastAsia="Courier New" w:hAnsi="Courier New"/>
                <w:sz w:val="12"/>
                <w:szCs w:val="12"/>
                <w:color w:val="auto"/>
                <w:w w:val="82"/>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(26)</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(559,754)</w:t>
            </w:r>
          </w:p>
        </w:tc>
        <w:tc>
          <w:tcPr>
            <w:tcW w:w="900" w:type="dxa"/>
            <w:vAlign w:val="bottom"/>
          </w:tcPr>
          <w:p>
            <w:pPr>
              <w:ind w:left="220"/>
              <w:spacing w:after="0"/>
              <w:rPr>
                <w:sz w:val="20"/>
                <w:szCs w:val="20"/>
                <w:color w:val="auto"/>
              </w:rPr>
            </w:pPr>
            <w:r>
              <w:rPr>
                <w:rFonts w:ascii="Courier New" w:cs="Courier New" w:eastAsia="Courier New" w:hAnsi="Courier New"/>
                <w:sz w:val="12"/>
                <w:szCs w:val="12"/>
                <w:color w:val="auto"/>
              </w:rPr>
              <w:t>(9,072)</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 (30,067)</w:t>
            </w:r>
          </w:p>
        </w:tc>
      </w:tr>
      <w:tr>
        <w:trPr>
          <w:trHeight w:val="283"/>
        </w:trPr>
        <w:tc>
          <w:tcPr>
            <w:tcW w:w="3520" w:type="dxa"/>
            <w:vAlign w:val="bottom"/>
          </w:tcPr>
          <w:p>
            <w:pPr>
              <w:spacing w:after="0"/>
              <w:rPr>
                <w:sz w:val="20"/>
                <w:szCs w:val="20"/>
                <w:color w:val="auto"/>
              </w:rPr>
            </w:pPr>
            <w:r>
              <w:rPr>
                <w:rFonts w:ascii="Courier New" w:cs="Courier New" w:eastAsia="Courier New" w:hAnsi="Courier New"/>
                <w:sz w:val="12"/>
                <w:szCs w:val="12"/>
                <w:color w:val="auto"/>
              </w:rPr>
              <w:t>CHANGES DURING NINE-MONTH PERIOD (UNAUDITED):</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3"/>
        </w:trPr>
        <w:tc>
          <w:tcPr>
            <w:tcW w:w="3520" w:type="dxa"/>
            <w:vAlign w:val="bottom"/>
          </w:tcPr>
          <w:p>
            <w:pPr>
              <w:spacing w:after="0"/>
              <w:rPr>
                <w:sz w:val="20"/>
                <w:szCs w:val="20"/>
                <w:color w:val="auto"/>
              </w:rPr>
            </w:pPr>
            <w:r>
              <w:rPr>
                <w:rFonts w:ascii="Courier New" w:cs="Courier New" w:eastAsia="Courier New" w:hAnsi="Courier New"/>
                <w:sz w:val="12"/>
                <w:szCs w:val="12"/>
                <w:color w:val="auto"/>
              </w:rPr>
              <w:t>ISSUANCE OF SHARES</w:t>
            </w:r>
          </w:p>
        </w:tc>
        <w:tc>
          <w:tcPr>
            <w:tcW w:w="13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3,910,514</w:t>
            </w:r>
          </w:p>
        </w:tc>
        <w:tc>
          <w:tcPr>
            <w:tcW w:w="4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842</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5,130</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5,972</w:t>
            </w:r>
          </w:p>
        </w:tc>
      </w:tr>
      <w:tr>
        <w:trPr>
          <w:trHeight w:val="142"/>
        </w:trPr>
        <w:tc>
          <w:tcPr>
            <w:tcW w:w="3520" w:type="dxa"/>
            <w:vAlign w:val="bottom"/>
          </w:tcPr>
          <w:p>
            <w:pPr>
              <w:spacing w:after="0"/>
              <w:rPr>
                <w:sz w:val="20"/>
                <w:szCs w:val="20"/>
                <w:color w:val="auto"/>
              </w:rPr>
            </w:pPr>
            <w:r>
              <w:rPr>
                <w:rFonts w:ascii="Courier New" w:cs="Courier New" w:eastAsia="Courier New" w:hAnsi="Courier New"/>
                <w:sz w:val="12"/>
                <w:szCs w:val="12"/>
                <w:color w:val="auto"/>
              </w:rPr>
              <w:t>EQUITY COMPONENT OF CONVERTIBLE DEBENTURES</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27,985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27,985</w:t>
            </w:r>
          </w:p>
        </w:tc>
      </w:tr>
      <w:tr>
        <w:trPr>
          <w:trHeight w:val="142"/>
        </w:trPr>
        <w:tc>
          <w:tcPr>
            <w:tcW w:w="3520" w:type="dxa"/>
            <w:vAlign w:val="bottom"/>
          </w:tcPr>
          <w:p>
            <w:pPr>
              <w:spacing w:after="0"/>
              <w:rPr>
                <w:sz w:val="20"/>
                <w:szCs w:val="20"/>
                <w:color w:val="auto"/>
              </w:rPr>
            </w:pPr>
            <w:r>
              <w:rPr>
                <w:rFonts w:ascii="Courier New" w:cs="Courier New" w:eastAsia="Courier New" w:hAnsi="Courier New"/>
                <w:sz w:val="12"/>
                <w:szCs w:val="12"/>
                <w:color w:val="auto"/>
              </w:rPr>
              <w:t>CONVERSION OF CONVERTIBLE</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ind w:left="220"/>
              <w:spacing w:after="0"/>
              <w:rPr>
                <w:sz w:val="20"/>
                <w:szCs w:val="20"/>
                <w:color w:val="auto"/>
              </w:rPr>
            </w:pPr>
            <w:r>
              <w:rPr>
                <w:rFonts w:ascii="Courier New" w:cs="Courier New" w:eastAsia="Courier New" w:hAnsi="Courier New"/>
                <w:sz w:val="12"/>
                <w:szCs w:val="12"/>
                <w:color w:val="auto"/>
              </w:rPr>
              <w:t>DEBENTURES INTO SHARES</w:t>
            </w:r>
          </w:p>
        </w:tc>
        <w:tc>
          <w:tcPr>
            <w:tcW w:w="13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14,931,280</w:t>
            </w:r>
          </w:p>
        </w:tc>
        <w:tc>
          <w:tcPr>
            <w:tcW w:w="4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3,273</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13,039</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(6,920)</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9,392</w:t>
            </w:r>
          </w:p>
        </w:tc>
      </w:tr>
      <w:tr>
        <w:trPr>
          <w:trHeight w:val="142"/>
        </w:trPr>
        <w:tc>
          <w:tcPr>
            <w:tcW w:w="3520" w:type="dxa"/>
            <w:vAlign w:val="bottom"/>
          </w:tcPr>
          <w:p>
            <w:pPr>
              <w:spacing w:after="0"/>
              <w:rPr>
                <w:sz w:val="20"/>
                <w:szCs w:val="20"/>
                <w:color w:val="auto"/>
              </w:rPr>
            </w:pPr>
            <w:r>
              <w:rPr>
                <w:rFonts w:ascii="Courier New" w:cs="Courier New" w:eastAsia="Courier New" w:hAnsi="Courier New"/>
                <w:sz w:val="12"/>
                <w:szCs w:val="12"/>
                <w:color w:val="auto"/>
              </w:rPr>
              <w:t>ISSUANCE OF WARRANTS</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1,803</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1,803</w:t>
            </w:r>
          </w:p>
        </w:tc>
      </w:tr>
      <w:tr>
        <w:trPr>
          <w:trHeight w:val="142"/>
        </w:trPr>
        <w:tc>
          <w:tcPr>
            <w:tcW w:w="352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2,355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2,355</w:t>
            </w:r>
          </w:p>
        </w:tc>
      </w:tr>
      <w:tr>
        <w:trPr>
          <w:trHeight w:val="142"/>
        </w:trPr>
        <w:tc>
          <w:tcPr>
            <w:tcW w:w="3520" w:type="dxa"/>
            <w:vAlign w:val="bottom"/>
          </w:tcPr>
          <w:p>
            <w:pPr>
              <w:spacing w:after="0"/>
              <w:rPr>
                <w:sz w:val="20"/>
                <w:szCs w:val="20"/>
                <w:color w:val="auto"/>
              </w:rPr>
            </w:pPr>
            <w:r>
              <w:rPr>
                <w:rFonts w:ascii="Courier New" w:cs="Courier New" w:eastAsia="Courier New" w:hAnsi="Courier New"/>
                <w:sz w:val="12"/>
                <w:szCs w:val="12"/>
                <w:color w:val="auto"/>
              </w:rPr>
              <w:t>EXERCISE OF WARRANTS</w:t>
            </w:r>
          </w:p>
        </w:tc>
        <w:tc>
          <w:tcPr>
            <w:tcW w:w="7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350,000</w:t>
            </w:r>
          </w:p>
        </w:tc>
        <w:tc>
          <w:tcPr>
            <w:tcW w:w="4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81</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469</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550</w:t>
            </w:r>
          </w:p>
        </w:tc>
      </w:tr>
      <w:tr>
        <w:trPr>
          <w:trHeight w:val="142"/>
        </w:trPr>
        <w:tc>
          <w:tcPr>
            <w:tcW w:w="352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520" w:type="dxa"/>
            <w:vAlign w:val="bottom"/>
          </w:tcPr>
          <w:p>
            <w:pPr>
              <w:ind w:left="220"/>
              <w:spacing w:after="0"/>
              <w:rPr>
                <w:sz w:val="20"/>
                <w:szCs w:val="20"/>
                <w:color w:val="auto"/>
              </w:rPr>
            </w:pPr>
            <w:r>
              <w:rPr>
                <w:rFonts w:ascii="Courier New" w:cs="Courier New" w:eastAsia="Courier New" w:hAnsi="Courier New"/>
                <w:sz w:val="12"/>
                <w:szCs w:val="12"/>
                <w:color w:val="auto"/>
              </w:rPr>
              <w:t>THE FACILITY AGREEMENT WITH THE BANKS</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4,146</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4,146</w:t>
            </w:r>
          </w:p>
        </w:tc>
      </w:tr>
      <w:tr>
        <w:trPr>
          <w:trHeight w:val="142"/>
        </w:trPr>
        <w:tc>
          <w:tcPr>
            <w:tcW w:w="3520" w:type="dxa"/>
            <w:vAlign w:val="bottom"/>
          </w:tcPr>
          <w:p>
            <w:pPr>
              <w:spacing w:after="0"/>
              <w:rPr>
                <w:sz w:val="20"/>
                <w:szCs w:val="20"/>
                <w:color w:val="auto"/>
              </w:rPr>
            </w:pPr>
            <w:r>
              <w:rPr>
                <w:rFonts w:ascii="Courier New" w:cs="Courier New" w:eastAsia="Courier New" w:hAnsi="Courier New"/>
                <w:sz w:val="12"/>
                <w:szCs w:val="12"/>
                <w:color w:val="auto"/>
              </w:rPr>
              <w:t>CAPITAL NOTES</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176,401</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176,401</w:t>
            </w:r>
          </w:p>
        </w:tc>
      </w:tr>
      <w:tr>
        <w:trPr>
          <w:trHeight w:val="142"/>
        </w:trPr>
        <w:tc>
          <w:tcPr>
            <w:tcW w:w="3520" w:type="dxa"/>
            <w:vAlign w:val="bottom"/>
          </w:tcPr>
          <w:p>
            <w:pPr>
              <w:spacing w:after="0"/>
              <w:rPr>
                <w:sz w:val="20"/>
                <w:szCs w:val="20"/>
                <w:color w:val="auto"/>
              </w:rPr>
            </w:pPr>
            <w:r>
              <w:rPr>
                <w:rFonts w:ascii="Courier New" w:cs="Courier New" w:eastAsia="Courier New" w:hAnsi="Courier New"/>
                <w:sz w:val="12"/>
                <w:szCs w:val="12"/>
                <w:color w:val="auto"/>
              </w:rPr>
              <w:t>LOSS FOR THE PERIOD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(49,235)</w:t>
            </w:r>
          </w:p>
        </w:tc>
        <w:tc>
          <w:tcPr>
            <w:tcW w:w="9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(49,235)</w:t>
            </w:r>
          </w:p>
        </w:tc>
      </w:tr>
      <w:tr>
        <w:trPr>
          <w:trHeight w:val="142"/>
        </w:trPr>
        <w:tc>
          <w:tcPr>
            <w:tcW w:w="352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3520" w:type="dxa"/>
            <w:vAlign w:val="bottom"/>
          </w:tcPr>
          <w:p>
            <w:pPr>
              <w:ind w:left="300"/>
              <w:spacing w:after="0"/>
              <w:rPr>
                <w:sz w:val="20"/>
                <w:szCs w:val="20"/>
                <w:color w:val="auto"/>
              </w:rPr>
            </w:pPr>
            <w:r>
              <w:rPr>
                <w:rFonts w:ascii="Courier New" w:cs="Courier New" w:eastAsia="Courier New" w:hAnsi="Courier New"/>
                <w:sz w:val="12"/>
                <w:szCs w:val="12"/>
                <w:color w:val="auto"/>
              </w:rPr>
              <w:t>BALANCE - SEPTEMBER 30, 2006 (UNAUDITED)</w:t>
            </w:r>
          </w:p>
        </w:tc>
        <w:tc>
          <w:tcPr>
            <w:tcW w:w="13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87,423,850</w:t>
            </w:r>
          </w:p>
        </w:tc>
        <w:tc>
          <w:tcPr>
            <w:tcW w:w="4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20,744</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$ 546,824</w:t>
            </w:r>
          </w:p>
        </w:tc>
        <w:tc>
          <w:tcPr>
            <w:tcW w:w="120" w:type="dxa"/>
            <w:vAlign w:val="bottom"/>
          </w:tcPr>
          <w:p>
            <w:pPr>
              <w:spacing w:after="0"/>
              <w:rPr>
                <w:sz w:val="12"/>
                <w:szCs w:val="12"/>
                <w:color w:val="auto"/>
              </w:rPr>
            </w:pP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$ 176,401</w:t>
            </w:r>
          </w:p>
        </w:tc>
        <w:tc>
          <w:tcPr>
            <w:tcW w:w="300" w:type="dxa"/>
            <w:vAlign w:val="bottom"/>
          </w:tcPr>
          <w:p>
            <w:pPr>
              <w:ind w:left="220"/>
              <w:spacing w:after="0"/>
              <w:rPr>
                <w:sz w:val="20"/>
                <w:szCs w:val="20"/>
                <w:color w:val="auto"/>
              </w:rPr>
            </w:pPr>
            <w:r>
              <w:rPr>
                <w:rFonts w:ascii="Courier New" w:cs="Courier New" w:eastAsia="Courier New" w:hAnsi="Courier New"/>
                <w:sz w:val="12"/>
                <w:szCs w:val="12"/>
                <w:color w:val="auto"/>
                <w:w w:val="82"/>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23,394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(608,989)</w:t>
            </w:r>
          </w:p>
        </w:tc>
        <w:tc>
          <w:tcPr>
            <w:tcW w:w="900" w:type="dxa"/>
            <w:vAlign w:val="bottom"/>
          </w:tcPr>
          <w:p>
            <w:pPr>
              <w:ind w:left="220"/>
              <w:spacing w:after="0"/>
              <w:rPr>
                <w:sz w:val="20"/>
                <w:szCs w:val="20"/>
                <w:color w:val="auto"/>
              </w:rPr>
            </w:pPr>
            <w:r>
              <w:rPr>
                <w:rFonts w:ascii="Courier New" w:cs="Courier New" w:eastAsia="Courier New" w:hAnsi="Courier New"/>
                <w:sz w:val="12"/>
                <w:szCs w:val="12"/>
                <w:color w:val="auto"/>
              </w:rPr>
              <w:t>(9,072)</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$ 149,302</w:t>
            </w:r>
          </w:p>
        </w:tc>
      </w:tr>
    </w:tbl>
    <w:p>
      <w:pPr>
        <w:sectPr>
          <w:pgSz w:w="11900" w:h="16865" w:orient="portrait"/>
          <w:cols w:equalWidth="0" w:num="1">
            <w:col w:w="11540"/>
          </w:cols>
          <w:pgMar w:left="220" w:top="283" w:right="139" w:bottom="0" w:gutter="0" w:footer="0" w:header="0"/>
        </w:sectPr>
      </w:pPr>
    </w:p>
    <w:bookmarkStart w:id="5" w:name="page6"/>
    <w:bookmarkEnd w:id="5"/>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80" w:type="dxa"/>
            <w:vAlign w:val="bottom"/>
          </w:tcPr>
          <w:p>
            <w:pPr>
              <w:spacing w:after="0"/>
              <w:rPr>
                <w:sz w:val="12"/>
                <w:szCs w:val="12"/>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w w:val="99"/>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3980" w:type="dxa"/>
            <w:vAlign w:val="bottom"/>
          </w:tcPr>
          <w:p>
            <w:pPr>
              <w:ind w:left="300"/>
              <w:spacing w:after="0"/>
              <w:rPr>
                <w:sz w:val="20"/>
                <w:szCs w:val="20"/>
                <w:color w:val="auto"/>
              </w:rPr>
            </w:pPr>
            <w:r>
              <w:rPr>
                <w:rFonts w:ascii="Courier New" w:cs="Courier New" w:eastAsia="Courier New" w:hAnsi="Courier New"/>
                <w:sz w:val="12"/>
                <w:szCs w:val="12"/>
                <w:color w:val="auto"/>
              </w:rPr>
              <w:t>BALANCE - JANUARY 1, 2005</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66,999,796</w:t>
            </w:r>
          </w:p>
        </w:tc>
        <w:tc>
          <w:tcPr>
            <w:tcW w:w="16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16,274</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$ 517,476</w:t>
            </w:r>
          </w:p>
        </w:tc>
        <w:tc>
          <w:tcPr>
            <w:tcW w:w="7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ind w:right="99"/>
              <w:spacing w:after="0"/>
              <w:rPr>
                <w:sz w:val="20"/>
                <w:szCs w:val="20"/>
                <w:color w:val="auto"/>
              </w:rPr>
            </w:pPr>
            <w:r>
              <w:rPr>
                <w:rFonts w:ascii="Courier New" w:cs="Courier New" w:eastAsia="Courier New" w:hAnsi="Courier New"/>
                <w:sz w:val="12"/>
                <w:szCs w:val="12"/>
                <w:color w:val="auto"/>
                <w:w w:val="82"/>
              </w:rPr>
              <w:t>--</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(26)</w:t>
            </w:r>
          </w:p>
        </w:tc>
        <w:tc>
          <w:tcPr>
            <w:tcW w:w="1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(356,672)</w:t>
            </w:r>
          </w:p>
        </w:tc>
        <w:tc>
          <w:tcPr>
            <w:tcW w:w="580" w:type="dxa"/>
            <w:vAlign w:val="bottom"/>
          </w:tcPr>
          <w:p>
            <w:pPr>
              <w:ind w:left="60"/>
              <w:spacing w:after="0"/>
              <w:rPr>
                <w:sz w:val="20"/>
                <w:szCs w:val="20"/>
                <w:color w:val="auto"/>
              </w:rPr>
            </w:pPr>
            <w:r>
              <w:rPr>
                <w:rFonts w:ascii="Courier New" w:cs="Courier New" w:eastAsia="Courier New" w:hAnsi="Courier New"/>
                <w:sz w:val="12"/>
                <w:szCs w:val="12"/>
                <w:color w:val="auto"/>
                <w:w w:val="99"/>
              </w:rPr>
              <w:t>(9,072)</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$ 167,980</w:t>
            </w:r>
          </w:p>
        </w:tc>
      </w:tr>
      <w:tr>
        <w:trPr>
          <w:trHeight w:val="283"/>
        </w:trPr>
        <w:tc>
          <w:tcPr>
            <w:tcW w:w="3980" w:type="dxa"/>
            <w:vAlign w:val="bottom"/>
          </w:tcPr>
          <w:p>
            <w:pPr>
              <w:spacing w:after="0"/>
              <w:rPr>
                <w:sz w:val="20"/>
                <w:szCs w:val="20"/>
                <w:color w:val="auto"/>
              </w:rPr>
            </w:pPr>
            <w:r>
              <w:rPr>
                <w:rFonts w:ascii="Courier New" w:cs="Courier New" w:eastAsia="Courier New" w:hAnsi="Courier New"/>
                <w:sz w:val="12"/>
                <w:szCs w:val="12"/>
                <w:color w:val="auto"/>
              </w:rPr>
              <w:t>CHANGES DURING NINE-MONTH PERIOD (UNAUDITED):</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3"/>
        </w:trPr>
        <w:tc>
          <w:tcPr>
            <w:tcW w:w="3980" w:type="dxa"/>
            <w:vAlign w:val="bottom"/>
          </w:tcPr>
          <w:p>
            <w:pPr>
              <w:spacing w:after="0"/>
              <w:rPr>
                <w:sz w:val="20"/>
                <w:szCs w:val="20"/>
                <w:color w:val="auto"/>
              </w:rPr>
            </w:pPr>
            <w:r>
              <w:rPr>
                <w:rFonts w:ascii="Courier New" w:cs="Courier New" w:eastAsia="Courier New" w:hAnsi="Courier New"/>
                <w:sz w:val="12"/>
                <w:szCs w:val="12"/>
                <w:color w:val="auto"/>
              </w:rPr>
              <w:t>ISSUANCE OF SHARES</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1,007,813</w:t>
            </w: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225</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1,220</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1,445</w:t>
            </w:r>
          </w:p>
        </w:tc>
      </w:tr>
      <w:tr>
        <w:trPr>
          <w:trHeight w:val="142"/>
        </w:trPr>
        <w:tc>
          <w:tcPr>
            <w:tcW w:w="398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2"/>
        </w:trPr>
        <w:tc>
          <w:tcPr>
            <w:tcW w:w="3980" w:type="dxa"/>
            <w:vAlign w:val="bottom"/>
          </w:tcPr>
          <w:p>
            <w:pPr>
              <w:ind w:left="220"/>
              <w:spacing w:after="0"/>
              <w:rPr>
                <w:sz w:val="20"/>
                <w:szCs w:val="20"/>
                <w:color w:val="auto"/>
              </w:rPr>
            </w:pPr>
            <w:r>
              <w:rPr>
                <w:rFonts w:ascii="Courier New" w:cs="Courier New" w:eastAsia="Courier New" w:hAnsi="Courier New"/>
                <w:sz w:val="12"/>
                <w:szCs w:val="12"/>
                <w:color w:val="auto"/>
              </w:rPr>
              <w:t>THE FACILITY AGREEMENT WITH THE BANKS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2,793</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2,793</w:t>
            </w:r>
          </w:p>
        </w:tc>
      </w:tr>
      <w:tr>
        <w:trPr>
          <w:trHeight w:val="142"/>
        </w:trPr>
        <w:tc>
          <w:tcPr>
            <w:tcW w:w="3980" w:type="dxa"/>
            <w:vAlign w:val="bottom"/>
          </w:tcPr>
          <w:p>
            <w:pPr>
              <w:spacing w:after="0"/>
              <w:rPr>
                <w:sz w:val="20"/>
                <w:szCs w:val="20"/>
                <w:color w:val="auto"/>
              </w:rPr>
            </w:pPr>
            <w:r>
              <w:rPr>
                <w:rFonts w:ascii="Courier New" w:cs="Courier New" w:eastAsia="Courier New" w:hAnsi="Courier New"/>
                <w:sz w:val="12"/>
                <w:szCs w:val="12"/>
                <w:color w:val="auto"/>
              </w:rPr>
              <w:t>LOSS FOR THE PERIOD</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(157,910)</w:t>
            </w:r>
          </w:p>
        </w:tc>
        <w:tc>
          <w:tcPr>
            <w:tcW w:w="58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(157,910)</w:t>
            </w:r>
          </w:p>
        </w:tc>
      </w:tr>
      <w:tr>
        <w:trPr>
          <w:trHeight w:val="142"/>
        </w:trPr>
        <w:tc>
          <w:tcPr>
            <w:tcW w:w="3980" w:type="dxa"/>
            <w:vAlign w:val="bottom"/>
          </w:tcPr>
          <w:p>
            <w:pPr>
              <w:spacing w:after="0"/>
              <w:rPr>
                <w:sz w:val="12"/>
                <w:szCs w:val="12"/>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w w:val="99"/>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3980" w:type="dxa"/>
            <w:vAlign w:val="bottom"/>
          </w:tcPr>
          <w:p>
            <w:pPr>
              <w:ind w:left="300"/>
              <w:spacing w:after="0"/>
              <w:rPr>
                <w:sz w:val="20"/>
                <w:szCs w:val="20"/>
                <w:color w:val="auto"/>
              </w:rPr>
            </w:pPr>
            <w:r>
              <w:rPr>
                <w:rFonts w:ascii="Courier New" w:cs="Courier New" w:eastAsia="Courier New" w:hAnsi="Courier New"/>
                <w:sz w:val="12"/>
                <w:szCs w:val="12"/>
                <w:color w:val="auto"/>
              </w:rPr>
              <w:t>BALANCE - SEPTEMBER 30, 2005 (UNAUDITED)</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68,007,609</w:t>
            </w:r>
          </w:p>
        </w:tc>
        <w:tc>
          <w:tcPr>
            <w:tcW w:w="16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16,499</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$ 521,489</w:t>
            </w:r>
          </w:p>
        </w:tc>
        <w:tc>
          <w:tcPr>
            <w:tcW w:w="7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ind w:right="99"/>
              <w:spacing w:after="0"/>
              <w:rPr>
                <w:sz w:val="20"/>
                <w:szCs w:val="20"/>
                <w:color w:val="auto"/>
              </w:rPr>
            </w:pPr>
            <w:r>
              <w:rPr>
                <w:rFonts w:ascii="Courier New" w:cs="Courier New" w:eastAsia="Courier New" w:hAnsi="Courier New"/>
                <w:sz w:val="12"/>
                <w:szCs w:val="12"/>
                <w:color w:val="auto"/>
                <w:w w:val="82"/>
              </w:rPr>
              <w:t>--</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(26)</w:t>
            </w:r>
          </w:p>
        </w:tc>
        <w:tc>
          <w:tcPr>
            <w:tcW w:w="1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(514,582)</w:t>
            </w:r>
          </w:p>
        </w:tc>
        <w:tc>
          <w:tcPr>
            <w:tcW w:w="580" w:type="dxa"/>
            <w:vAlign w:val="bottom"/>
          </w:tcPr>
          <w:p>
            <w:pPr>
              <w:ind w:left="60"/>
              <w:spacing w:after="0"/>
              <w:rPr>
                <w:sz w:val="20"/>
                <w:szCs w:val="20"/>
                <w:color w:val="auto"/>
              </w:rPr>
            </w:pPr>
            <w:r>
              <w:rPr>
                <w:rFonts w:ascii="Courier New" w:cs="Courier New" w:eastAsia="Courier New" w:hAnsi="Courier New"/>
                <w:sz w:val="12"/>
                <w:szCs w:val="12"/>
                <w:color w:val="auto"/>
                <w:w w:val="99"/>
              </w:rPr>
              <w:t>(9,072)</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14,308</w:t>
            </w:r>
          </w:p>
        </w:tc>
      </w:tr>
      <w:tr>
        <w:trPr>
          <w:trHeight w:val="142"/>
        </w:trPr>
        <w:tc>
          <w:tcPr>
            <w:tcW w:w="3980" w:type="dxa"/>
            <w:vAlign w:val="bottom"/>
          </w:tcPr>
          <w:p>
            <w:pPr>
              <w:spacing w:after="0"/>
              <w:rPr>
                <w:sz w:val="12"/>
                <w:szCs w:val="12"/>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w w:val="99"/>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3980" w:type="dxa"/>
            <w:vAlign w:val="bottom"/>
          </w:tcPr>
          <w:p>
            <w:pPr>
              <w:ind w:left="300"/>
              <w:spacing w:after="0"/>
              <w:rPr>
                <w:sz w:val="20"/>
                <w:szCs w:val="20"/>
                <w:color w:val="auto"/>
              </w:rPr>
            </w:pPr>
            <w:r>
              <w:rPr>
                <w:rFonts w:ascii="Courier New" w:cs="Courier New" w:eastAsia="Courier New" w:hAnsi="Courier New"/>
                <w:sz w:val="12"/>
                <w:szCs w:val="12"/>
                <w:color w:val="auto"/>
              </w:rPr>
              <w:t>BALANCE - JULY 1, 2006</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85,768,622</w:t>
            </w:r>
          </w:p>
        </w:tc>
        <w:tc>
          <w:tcPr>
            <w:tcW w:w="16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20,366</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$ 540,885</w:t>
            </w:r>
          </w:p>
        </w:tc>
        <w:tc>
          <w:tcPr>
            <w:tcW w:w="7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ind w:right="99"/>
              <w:spacing w:after="0"/>
              <w:rPr>
                <w:sz w:val="20"/>
                <w:szCs w:val="20"/>
                <w:color w:val="auto"/>
              </w:rPr>
            </w:pPr>
            <w:r>
              <w:rPr>
                <w:rFonts w:ascii="Courier New" w:cs="Courier New" w:eastAsia="Courier New" w:hAnsi="Courier New"/>
                <w:sz w:val="12"/>
                <w:szCs w:val="12"/>
                <w:color w:val="auto"/>
                <w:w w:val="82"/>
              </w:rPr>
              <w:t>--</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20,381</w:t>
            </w:r>
          </w:p>
        </w:tc>
        <w:tc>
          <w:tcPr>
            <w:tcW w:w="1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(648,456)</w:t>
            </w:r>
          </w:p>
        </w:tc>
        <w:tc>
          <w:tcPr>
            <w:tcW w:w="580" w:type="dxa"/>
            <w:vAlign w:val="bottom"/>
          </w:tcPr>
          <w:p>
            <w:pPr>
              <w:ind w:left="60"/>
              <w:spacing w:after="0"/>
              <w:rPr>
                <w:sz w:val="20"/>
                <w:szCs w:val="20"/>
                <w:color w:val="auto"/>
              </w:rPr>
            </w:pPr>
            <w:r>
              <w:rPr>
                <w:rFonts w:ascii="Courier New" w:cs="Courier New" w:eastAsia="Courier New" w:hAnsi="Courier New"/>
                <w:sz w:val="12"/>
                <w:szCs w:val="12"/>
                <w:color w:val="auto"/>
                <w:w w:val="99"/>
              </w:rPr>
              <w:t>(9,072)</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(75,896)</w:t>
            </w:r>
          </w:p>
        </w:tc>
      </w:tr>
      <w:tr>
        <w:trPr>
          <w:trHeight w:val="283"/>
        </w:trPr>
        <w:tc>
          <w:tcPr>
            <w:tcW w:w="3980" w:type="dxa"/>
            <w:vAlign w:val="bottom"/>
          </w:tcPr>
          <w:p>
            <w:pPr>
              <w:spacing w:after="0"/>
              <w:rPr>
                <w:sz w:val="20"/>
                <w:szCs w:val="20"/>
                <w:color w:val="auto"/>
              </w:rPr>
            </w:pPr>
            <w:r>
              <w:rPr>
                <w:rFonts w:ascii="Courier New" w:cs="Courier New" w:eastAsia="Courier New" w:hAnsi="Courier New"/>
                <w:sz w:val="12"/>
                <w:szCs w:val="12"/>
                <w:color w:val="auto"/>
              </w:rPr>
              <w:t>CHANGES DURING THREE-MONTH PERIOD (UNAUDITED):</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3"/>
        </w:trPr>
        <w:tc>
          <w:tcPr>
            <w:tcW w:w="3980" w:type="dxa"/>
            <w:vAlign w:val="bottom"/>
          </w:tcPr>
          <w:p>
            <w:pPr>
              <w:spacing w:after="0"/>
              <w:rPr>
                <w:sz w:val="20"/>
                <w:szCs w:val="20"/>
                <w:color w:val="auto"/>
              </w:rPr>
            </w:pPr>
            <w:r>
              <w:rPr>
                <w:rFonts w:ascii="Courier New" w:cs="Courier New" w:eastAsia="Courier New" w:hAnsi="Courier New"/>
                <w:sz w:val="12"/>
                <w:szCs w:val="12"/>
                <w:color w:val="auto"/>
              </w:rPr>
              <w:t>ISSUANCE OF SHARES</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472,438</w:t>
            </w: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105</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580</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685</w:t>
            </w:r>
          </w:p>
        </w:tc>
      </w:tr>
      <w:tr>
        <w:trPr>
          <w:trHeight w:val="142"/>
        </w:trPr>
        <w:tc>
          <w:tcPr>
            <w:tcW w:w="3980" w:type="dxa"/>
            <w:vAlign w:val="bottom"/>
          </w:tcPr>
          <w:p>
            <w:pPr>
              <w:spacing w:after="0"/>
              <w:rPr>
                <w:sz w:val="20"/>
                <w:szCs w:val="20"/>
                <w:color w:val="auto"/>
              </w:rPr>
            </w:pPr>
            <w:r>
              <w:rPr>
                <w:rFonts w:ascii="Courier New" w:cs="Courier New" w:eastAsia="Courier New" w:hAnsi="Courier New"/>
                <w:sz w:val="12"/>
                <w:szCs w:val="12"/>
                <w:color w:val="auto"/>
              </w:rPr>
              <w:t>EQUITY COMPONENT OF CONVERTIBLE DEBENTURES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1,624</w:t>
            </w: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1,624</w:t>
            </w:r>
          </w:p>
        </w:tc>
      </w:tr>
      <w:tr>
        <w:trPr>
          <w:trHeight w:val="142"/>
        </w:trPr>
        <w:tc>
          <w:tcPr>
            <w:tcW w:w="3980" w:type="dxa"/>
            <w:vAlign w:val="bottom"/>
          </w:tcPr>
          <w:p>
            <w:pPr>
              <w:spacing w:after="0"/>
              <w:rPr>
                <w:sz w:val="20"/>
                <w:szCs w:val="20"/>
                <w:color w:val="auto"/>
              </w:rPr>
            </w:pPr>
            <w:r>
              <w:rPr>
                <w:rFonts w:ascii="Courier New" w:cs="Courier New" w:eastAsia="Courier New" w:hAnsi="Courier New"/>
                <w:sz w:val="12"/>
                <w:szCs w:val="12"/>
                <w:color w:val="auto"/>
              </w:rPr>
              <w:t>CONVERSION OF CONVERTIBLE</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2"/>
        </w:trPr>
        <w:tc>
          <w:tcPr>
            <w:tcW w:w="3980" w:type="dxa"/>
            <w:vAlign w:val="bottom"/>
          </w:tcPr>
          <w:p>
            <w:pPr>
              <w:ind w:left="220"/>
              <w:spacing w:after="0"/>
              <w:rPr>
                <w:sz w:val="20"/>
                <w:szCs w:val="20"/>
                <w:color w:val="auto"/>
              </w:rPr>
            </w:pPr>
            <w:r>
              <w:rPr>
                <w:rFonts w:ascii="Courier New" w:cs="Courier New" w:eastAsia="Courier New" w:hAnsi="Courier New"/>
                <w:sz w:val="12"/>
                <w:szCs w:val="12"/>
                <w:color w:val="auto"/>
              </w:rPr>
              <w:t>DEBENTURES INTO SHARES</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832,790</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192</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744</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(385)</w:t>
            </w: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551</w:t>
            </w:r>
          </w:p>
        </w:tc>
      </w:tr>
      <w:tr>
        <w:trPr>
          <w:trHeight w:val="142"/>
        </w:trPr>
        <w:tc>
          <w:tcPr>
            <w:tcW w:w="398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1,774</w:t>
            </w: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1,774</w:t>
            </w:r>
          </w:p>
        </w:tc>
      </w:tr>
      <w:tr>
        <w:trPr>
          <w:trHeight w:val="142"/>
        </w:trPr>
        <w:tc>
          <w:tcPr>
            <w:tcW w:w="3980" w:type="dxa"/>
            <w:vAlign w:val="bottom"/>
          </w:tcPr>
          <w:p>
            <w:pPr>
              <w:spacing w:after="0"/>
              <w:rPr>
                <w:sz w:val="20"/>
                <w:szCs w:val="20"/>
                <w:color w:val="auto"/>
              </w:rPr>
            </w:pPr>
            <w:r>
              <w:rPr>
                <w:rFonts w:ascii="Courier New" w:cs="Courier New" w:eastAsia="Courier New" w:hAnsi="Courier New"/>
                <w:sz w:val="12"/>
                <w:szCs w:val="12"/>
                <w:color w:val="auto"/>
              </w:rPr>
              <w:t>EXERCISE OF WARRANTS</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350,000</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81</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469</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550</w:t>
            </w:r>
          </w:p>
        </w:tc>
      </w:tr>
      <w:tr>
        <w:trPr>
          <w:trHeight w:val="142"/>
        </w:trPr>
        <w:tc>
          <w:tcPr>
            <w:tcW w:w="398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2"/>
        </w:trPr>
        <w:tc>
          <w:tcPr>
            <w:tcW w:w="3980" w:type="dxa"/>
            <w:vAlign w:val="bottom"/>
          </w:tcPr>
          <w:p>
            <w:pPr>
              <w:ind w:left="220"/>
              <w:spacing w:after="0"/>
              <w:rPr>
                <w:sz w:val="20"/>
                <w:szCs w:val="20"/>
                <w:color w:val="auto"/>
              </w:rPr>
            </w:pPr>
            <w:r>
              <w:rPr>
                <w:rFonts w:ascii="Courier New" w:cs="Courier New" w:eastAsia="Courier New" w:hAnsi="Courier New"/>
                <w:sz w:val="12"/>
                <w:szCs w:val="12"/>
                <w:color w:val="auto"/>
              </w:rPr>
              <w:t>THE FACILITY AGREEMENT WITH THE BANKS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4,146</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4,146</w:t>
            </w:r>
          </w:p>
        </w:tc>
      </w:tr>
      <w:tr>
        <w:trPr>
          <w:trHeight w:val="142"/>
        </w:trPr>
        <w:tc>
          <w:tcPr>
            <w:tcW w:w="3980" w:type="dxa"/>
            <w:vAlign w:val="bottom"/>
          </w:tcPr>
          <w:p>
            <w:pPr>
              <w:spacing w:after="0"/>
              <w:rPr>
                <w:sz w:val="20"/>
                <w:szCs w:val="20"/>
                <w:color w:val="auto"/>
              </w:rPr>
            </w:pPr>
            <w:r>
              <w:rPr>
                <w:rFonts w:ascii="Courier New" w:cs="Courier New" w:eastAsia="Courier New" w:hAnsi="Courier New"/>
                <w:sz w:val="12"/>
                <w:szCs w:val="12"/>
                <w:color w:val="auto"/>
              </w:rPr>
              <w:t>CAPITAL NOTES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176,401</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w w:val="99"/>
              </w:rPr>
              <w:t>176,401</w:t>
            </w:r>
          </w:p>
        </w:tc>
      </w:tr>
      <w:tr>
        <w:trPr>
          <w:trHeight w:val="142"/>
        </w:trPr>
        <w:tc>
          <w:tcPr>
            <w:tcW w:w="3980" w:type="dxa"/>
            <w:vAlign w:val="bottom"/>
          </w:tcPr>
          <w:p>
            <w:pPr>
              <w:spacing w:after="0"/>
              <w:rPr>
                <w:sz w:val="20"/>
                <w:szCs w:val="20"/>
                <w:color w:val="auto"/>
              </w:rPr>
            </w:pPr>
            <w:r>
              <w:rPr>
                <w:rFonts w:ascii="Courier New" w:cs="Courier New" w:eastAsia="Courier New" w:hAnsi="Courier New"/>
                <w:sz w:val="12"/>
                <w:szCs w:val="12"/>
                <w:color w:val="auto"/>
              </w:rPr>
              <w:t>INCOME FOR THE PERIOD</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39,467</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39,467</w:t>
            </w:r>
          </w:p>
        </w:tc>
      </w:tr>
      <w:tr>
        <w:trPr>
          <w:trHeight w:val="142"/>
        </w:trPr>
        <w:tc>
          <w:tcPr>
            <w:tcW w:w="3980" w:type="dxa"/>
            <w:vAlign w:val="bottom"/>
          </w:tcPr>
          <w:p>
            <w:pPr>
              <w:spacing w:after="0"/>
              <w:rPr>
                <w:sz w:val="12"/>
                <w:szCs w:val="12"/>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w w:val="99"/>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3980" w:type="dxa"/>
            <w:vAlign w:val="bottom"/>
          </w:tcPr>
          <w:p>
            <w:pPr>
              <w:ind w:left="300"/>
              <w:spacing w:after="0"/>
              <w:rPr>
                <w:sz w:val="20"/>
                <w:szCs w:val="20"/>
                <w:color w:val="auto"/>
              </w:rPr>
            </w:pPr>
            <w:r>
              <w:rPr>
                <w:rFonts w:ascii="Courier New" w:cs="Courier New" w:eastAsia="Courier New" w:hAnsi="Courier New"/>
                <w:sz w:val="12"/>
                <w:szCs w:val="12"/>
                <w:color w:val="auto"/>
              </w:rPr>
              <w:t>BALANCE - SEPTEMBER 30, 2006 (UNAUDITED)</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87,423,850</w:t>
            </w:r>
          </w:p>
        </w:tc>
        <w:tc>
          <w:tcPr>
            <w:tcW w:w="16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20,744</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$ 546,824</w:t>
            </w:r>
          </w:p>
        </w:tc>
        <w:tc>
          <w:tcPr>
            <w:tcW w:w="10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$ 176,401</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23,394</w:t>
            </w:r>
          </w:p>
        </w:tc>
        <w:tc>
          <w:tcPr>
            <w:tcW w:w="1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(608,989)</w:t>
            </w:r>
          </w:p>
        </w:tc>
        <w:tc>
          <w:tcPr>
            <w:tcW w:w="580" w:type="dxa"/>
            <w:vAlign w:val="bottom"/>
          </w:tcPr>
          <w:p>
            <w:pPr>
              <w:ind w:left="60"/>
              <w:spacing w:after="0"/>
              <w:rPr>
                <w:sz w:val="20"/>
                <w:szCs w:val="20"/>
                <w:color w:val="auto"/>
              </w:rPr>
            </w:pPr>
            <w:r>
              <w:rPr>
                <w:rFonts w:ascii="Courier New" w:cs="Courier New" w:eastAsia="Courier New" w:hAnsi="Courier New"/>
                <w:sz w:val="12"/>
                <w:szCs w:val="12"/>
                <w:color w:val="auto"/>
                <w:w w:val="99"/>
              </w:rPr>
              <w:t>(9,072)</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$ 149,302</w:t>
            </w:r>
          </w:p>
        </w:tc>
      </w:tr>
      <w:tr>
        <w:trPr>
          <w:trHeight w:val="142"/>
        </w:trPr>
        <w:tc>
          <w:tcPr>
            <w:tcW w:w="3980" w:type="dxa"/>
            <w:vAlign w:val="bottom"/>
          </w:tcPr>
          <w:p>
            <w:pPr>
              <w:spacing w:after="0"/>
              <w:rPr>
                <w:sz w:val="12"/>
                <w:szCs w:val="12"/>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w w:val="99"/>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3980" w:type="dxa"/>
            <w:vAlign w:val="bottom"/>
          </w:tcPr>
          <w:p>
            <w:pPr>
              <w:ind w:left="300"/>
              <w:spacing w:after="0"/>
              <w:rPr>
                <w:sz w:val="20"/>
                <w:szCs w:val="20"/>
                <w:color w:val="auto"/>
              </w:rPr>
            </w:pPr>
            <w:r>
              <w:rPr>
                <w:rFonts w:ascii="Courier New" w:cs="Courier New" w:eastAsia="Courier New" w:hAnsi="Courier New"/>
                <w:sz w:val="12"/>
                <w:szCs w:val="12"/>
                <w:color w:val="auto"/>
              </w:rPr>
              <w:t>BALANCE - JULY 1, 2005</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67,586,187</w:t>
            </w:r>
          </w:p>
        </w:tc>
        <w:tc>
          <w:tcPr>
            <w:tcW w:w="16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16,408</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$ 518,286</w:t>
            </w:r>
          </w:p>
        </w:tc>
        <w:tc>
          <w:tcPr>
            <w:tcW w:w="7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ind w:right="99"/>
              <w:spacing w:after="0"/>
              <w:rPr>
                <w:sz w:val="20"/>
                <w:szCs w:val="20"/>
                <w:color w:val="auto"/>
              </w:rPr>
            </w:pPr>
            <w:r>
              <w:rPr>
                <w:rFonts w:ascii="Courier New" w:cs="Courier New" w:eastAsia="Courier New" w:hAnsi="Courier New"/>
                <w:sz w:val="12"/>
                <w:szCs w:val="12"/>
                <w:color w:val="auto"/>
                <w:w w:val="82"/>
              </w:rPr>
              <w:t>--</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(26)</w:t>
            </w:r>
          </w:p>
        </w:tc>
        <w:tc>
          <w:tcPr>
            <w:tcW w:w="1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(459,232)</w:t>
            </w:r>
          </w:p>
        </w:tc>
        <w:tc>
          <w:tcPr>
            <w:tcW w:w="580" w:type="dxa"/>
            <w:vAlign w:val="bottom"/>
          </w:tcPr>
          <w:p>
            <w:pPr>
              <w:ind w:left="60"/>
              <w:spacing w:after="0"/>
              <w:rPr>
                <w:sz w:val="20"/>
                <w:szCs w:val="20"/>
                <w:color w:val="auto"/>
              </w:rPr>
            </w:pPr>
            <w:r>
              <w:rPr>
                <w:rFonts w:ascii="Courier New" w:cs="Courier New" w:eastAsia="Courier New" w:hAnsi="Courier New"/>
                <w:sz w:val="12"/>
                <w:szCs w:val="12"/>
                <w:color w:val="auto"/>
                <w:w w:val="99"/>
              </w:rPr>
              <w:t>(9,072)</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66,364</w:t>
            </w:r>
          </w:p>
        </w:tc>
      </w:tr>
      <w:tr>
        <w:trPr>
          <w:trHeight w:val="283"/>
        </w:trPr>
        <w:tc>
          <w:tcPr>
            <w:tcW w:w="3980" w:type="dxa"/>
            <w:vAlign w:val="bottom"/>
          </w:tcPr>
          <w:p>
            <w:pPr>
              <w:spacing w:after="0"/>
              <w:rPr>
                <w:sz w:val="20"/>
                <w:szCs w:val="20"/>
                <w:color w:val="auto"/>
              </w:rPr>
            </w:pPr>
            <w:r>
              <w:rPr>
                <w:rFonts w:ascii="Courier New" w:cs="Courier New" w:eastAsia="Courier New" w:hAnsi="Courier New"/>
                <w:sz w:val="12"/>
                <w:szCs w:val="12"/>
                <w:color w:val="auto"/>
              </w:rPr>
              <w:t>CHANGES DURING THREE-MONTH PERIOD (UNAUDITED):</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3"/>
        </w:trPr>
        <w:tc>
          <w:tcPr>
            <w:tcW w:w="3980" w:type="dxa"/>
            <w:vAlign w:val="bottom"/>
          </w:tcPr>
          <w:p>
            <w:pPr>
              <w:spacing w:after="0"/>
              <w:rPr>
                <w:sz w:val="20"/>
                <w:szCs w:val="20"/>
                <w:color w:val="auto"/>
              </w:rPr>
            </w:pPr>
            <w:r>
              <w:rPr>
                <w:rFonts w:ascii="Courier New" w:cs="Courier New" w:eastAsia="Courier New" w:hAnsi="Courier New"/>
                <w:sz w:val="12"/>
                <w:szCs w:val="12"/>
                <w:color w:val="auto"/>
              </w:rPr>
              <w:t>ISSUANCE OF SHARES</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421,422</w:t>
            </w: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91</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410</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501</w:t>
            </w:r>
          </w:p>
        </w:tc>
      </w:tr>
      <w:tr>
        <w:trPr>
          <w:trHeight w:val="142"/>
        </w:trPr>
        <w:tc>
          <w:tcPr>
            <w:tcW w:w="398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2"/>
        </w:trPr>
        <w:tc>
          <w:tcPr>
            <w:tcW w:w="3980" w:type="dxa"/>
            <w:vAlign w:val="bottom"/>
          </w:tcPr>
          <w:p>
            <w:pPr>
              <w:ind w:left="220"/>
              <w:spacing w:after="0"/>
              <w:rPr>
                <w:sz w:val="20"/>
                <w:szCs w:val="20"/>
                <w:color w:val="auto"/>
              </w:rPr>
            </w:pPr>
            <w:r>
              <w:rPr>
                <w:rFonts w:ascii="Courier New" w:cs="Courier New" w:eastAsia="Courier New" w:hAnsi="Courier New"/>
                <w:sz w:val="12"/>
                <w:szCs w:val="12"/>
                <w:color w:val="auto"/>
              </w:rPr>
              <w:t>THE FACILITY AGREEMENT WITH THE BANKS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2,793</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2,793</w:t>
            </w:r>
          </w:p>
        </w:tc>
      </w:tr>
      <w:tr>
        <w:trPr>
          <w:trHeight w:val="142"/>
        </w:trPr>
        <w:tc>
          <w:tcPr>
            <w:tcW w:w="3980" w:type="dxa"/>
            <w:vAlign w:val="bottom"/>
          </w:tcPr>
          <w:p>
            <w:pPr>
              <w:spacing w:after="0"/>
              <w:rPr>
                <w:sz w:val="20"/>
                <w:szCs w:val="20"/>
                <w:color w:val="auto"/>
              </w:rPr>
            </w:pPr>
            <w:r>
              <w:rPr>
                <w:rFonts w:ascii="Courier New" w:cs="Courier New" w:eastAsia="Courier New" w:hAnsi="Courier New"/>
                <w:sz w:val="12"/>
                <w:szCs w:val="12"/>
                <w:color w:val="auto"/>
              </w:rPr>
              <w:t>LOSS FOR THE PERIOD</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(55,350)</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w w:val="97"/>
              </w:rPr>
              <w:t>(55,350)</w:t>
            </w:r>
          </w:p>
        </w:tc>
      </w:tr>
      <w:tr>
        <w:trPr>
          <w:trHeight w:val="142"/>
        </w:trPr>
        <w:tc>
          <w:tcPr>
            <w:tcW w:w="3980" w:type="dxa"/>
            <w:vAlign w:val="bottom"/>
          </w:tcPr>
          <w:p>
            <w:pPr>
              <w:spacing w:after="0"/>
              <w:rPr>
                <w:sz w:val="12"/>
                <w:szCs w:val="12"/>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w w:val="99"/>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3980" w:type="dxa"/>
            <w:vAlign w:val="bottom"/>
          </w:tcPr>
          <w:p>
            <w:pPr>
              <w:ind w:left="300"/>
              <w:spacing w:after="0"/>
              <w:rPr>
                <w:sz w:val="20"/>
                <w:szCs w:val="20"/>
                <w:color w:val="auto"/>
              </w:rPr>
            </w:pPr>
            <w:r>
              <w:rPr>
                <w:rFonts w:ascii="Courier New" w:cs="Courier New" w:eastAsia="Courier New" w:hAnsi="Courier New"/>
                <w:sz w:val="12"/>
                <w:szCs w:val="12"/>
                <w:color w:val="auto"/>
              </w:rPr>
              <w:t>BALANCE - SEPTEMBER 30, 2005 (UNAUDITED)</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68,007,609</w:t>
            </w:r>
          </w:p>
        </w:tc>
        <w:tc>
          <w:tcPr>
            <w:tcW w:w="16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16,499</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$ 521,489</w:t>
            </w:r>
          </w:p>
        </w:tc>
        <w:tc>
          <w:tcPr>
            <w:tcW w:w="7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ind w:right="99"/>
              <w:spacing w:after="0"/>
              <w:rPr>
                <w:sz w:val="20"/>
                <w:szCs w:val="20"/>
                <w:color w:val="auto"/>
              </w:rPr>
            </w:pPr>
            <w:r>
              <w:rPr>
                <w:rFonts w:ascii="Courier New" w:cs="Courier New" w:eastAsia="Courier New" w:hAnsi="Courier New"/>
                <w:sz w:val="12"/>
                <w:szCs w:val="12"/>
                <w:color w:val="auto"/>
                <w:w w:val="82"/>
              </w:rPr>
              <w:t>--</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(26)</w:t>
            </w:r>
          </w:p>
        </w:tc>
        <w:tc>
          <w:tcPr>
            <w:tcW w:w="1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(514,582)</w:t>
            </w:r>
          </w:p>
        </w:tc>
        <w:tc>
          <w:tcPr>
            <w:tcW w:w="580" w:type="dxa"/>
            <w:vAlign w:val="bottom"/>
          </w:tcPr>
          <w:p>
            <w:pPr>
              <w:ind w:left="60"/>
              <w:spacing w:after="0"/>
              <w:rPr>
                <w:sz w:val="20"/>
                <w:szCs w:val="20"/>
                <w:color w:val="auto"/>
              </w:rPr>
            </w:pPr>
            <w:r>
              <w:rPr>
                <w:rFonts w:ascii="Courier New" w:cs="Courier New" w:eastAsia="Courier New" w:hAnsi="Courier New"/>
                <w:sz w:val="12"/>
                <w:szCs w:val="12"/>
                <w:color w:val="auto"/>
                <w:w w:val="99"/>
              </w:rPr>
              <w:t>(9,072)</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14,308</w:t>
            </w:r>
          </w:p>
        </w:tc>
      </w:tr>
      <w:tr>
        <w:trPr>
          <w:trHeight w:val="142"/>
        </w:trPr>
        <w:tc>
          <w:tcPr>
            <w:tcW w:w="3980" w:type="dxa"/>
            <w:vAlign w:val="bottom"/>
          </w:tcPr>
          <w:p>
            <w:pPr>
              <w:spacing w:after="0"/>
              <w:rPr>
                <w:sz w:val="12"/>
                <w:szCs w:val="12"/>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w w:val="99"/>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3980" w:type="dxa"/>
            <w:vAlign w:val="bottom"/>
          </w:tcPr>
          <w:p>
            <w:pPr>
              <w:ind w:left="300"/>
              <w:spacing w:after="0"/>
              <w:rPr>
                <w:sz w:val="20"/>
                <w:szCs w:val="20"/>
                <w:color w:val="auto"/>
              </w:rPr>
            </w:pPr>
            <w:r>
              <w:rPr>
                <w:rFonts w:ascii="Courier New" w:cs="Courier New" w:eastAsia="Courier New" w:hAnsi="Courier New"/>
                <w:sz w:val="12"/>
                <w:szCs w:val="12"/>
                <w:color w:val="auto"/>
              </w:rPr>
              <w:t>BALANCE - JANUARY 1, 2005</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66,999,796</w:t>
            </w:r>
          </w:p>
        </w:tc>
        <w:tc>
          <w:tcPr>
            <w:tcW w:w="16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16,274</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$ 517,476</w:t>
            </w:r>
          </w:p>
        </w:tc>
        <w:tc>
          <w:tcPr>
            <w:tcW w:w="7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ind w:right="99"/>
              <w:spacing w:after="0"/>
              <w:rPr>
                <w:sz w:val="20"/>
                <w:szCs w:val="20"/>
                <w:color w:val="auto"/>
              </w:rPr>
            </w:pPr>
            <w:r>
              <w:rPr>
                <w:rFonts w:ascii="Courier New" w:cs="Courier New" w:eastAsia="Courier New" w:hAnsi="Courier New"/>
                <w:sz w:val="12"/>
                <w:szCs w:val="12"/>
                <w:color w:val="auto"/>
                <w:w w:val="82"/>
              </w:rPr>
              <w:t>--</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(26)</w:t>
            </w:r>
          </w:p>
        </w:tc>
        <w:tc>
          <w:tcPr>
            <w:tcW w:w="1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(356,672)</w:t>
            </w:r>
          </w:p>
        </w:tc>
        <w:tc>
          <w:tcPr>
            <w:tcW w:w="580" w:type="dxa"/>
            <w:vAlign w:val="bottom"/>
          </w:tcPr>
          <w:p>
            <w:pPr>
              <w:ind w:left="60"/>
              <w:spacing w:after="0"/>
              <w:rPr>
                <w:sz w:val="20"/>
                <w:szCs w:val="20"/>
                <w:color w:val="auto"/>
              </w:rPr>
            </w:pPr>
            <w:r>
              <w:rPr>
                <w:rFonts w:ascii="Courier New" w:cs="Courier New" w:eastAsia="Courier New" w:hAnsi="Courier New"/>
                <w:sz w:val="12"/>
                <w:szCs w:val="12"/>
                <w:color w:val="auto"/>
                <w:w w:val="99"/>
              </w:rPr>
              <w:t>(9,072)</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$ 167,980</w:t>
            </w:r>
          </w:p>
        </w:tc>
      </w:tr>
      <w:tr>
        <w:trPr>
          <w:trHeight w:val="283"/>
        </w:trPr>
        <w:tc>
          <w:tcPr>
            <w:tcW w:w="3980" w:type="dxa"/>
            <w:vAlign w:val="bottom"/>
          </w:tcPr>
          <w:p>
            <w:pPr>
              <w:spacing w:after="0"/>
              <w:rPr>
                <w:sz w:val="20"/>
                <w:szCs w:val="20"/>
                <w:color w:val="auto"/>
              </w:rPr>
            </w:pPr>
            <w:r>
              <w:rPr>
                <w:rFonts w:ascii="Courier New" w:cs="Courier New" w:eastAsia="Courier New" w:hAnsi="Courier New"/>
                <w:sz w:val="12"/>
                <w:szCs w:val="12"/>
                <w:color w:val="auto"/>
              </w:rPr>
              <w:t>CHANGES DURING 2005:</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3"/>
        </w:trPr>
        <w:tc>
          <w:tcPr>
            <w:tcW w:w="3980" w:type="dxa"/>
            <w:vAlign w:val="bottom"/>
          </w:tcPr>
          <w:p>
            <w:pPr>
              <w:spacing w:after="0"/>
              <w:rPr>
                <w:sz w:val="20"/>
                <w:szCs w:val="20"/>
                <w:color w:val="auto"/>
              </w:rPr>
            </w:pPr>
            <w:r>
              <w:rPr>
                <w:rFonts w:ascii="Courier New" w:cs="Courier New" w:eastAsia="Courier New" w:hAnsi="Courier New"/>
                <w:sz w:val="12"/>
                <w:szCs w:val="12"/>
                <w:color w:val="auto"/>
              </w:rPr>
              <w:t>ISSUANCE OF SHARES</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1,232,260</w:t>
            </w: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274</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1,520</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1,794</w:t>
            </w:r>
          </w:p>
        </w:tc>
      </w:tr>
      <w:tr>
        <w:trPr>
          <w:trHeight w:val="142"/>
        </w:trPr>
        <w:tc>
          <w:tcPr>
            <w:tcW w:w="398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2"/>
        </w:trPr>
        <w:tc>
          <w:tcPr>
            <w:tcW w:w="3980" w:type="dxa"/>
            <w:vAlign w:val="bottom"/>
          </w:tcPr>
          <w:p>
            <w:pPr>
              <w:ind w:left="220"/>
              <w:spacing w:after="0"/>
              <w:rPr>
                <w:sz w:val="20"/>
                <w:szCs w:val="20"/>
                <w:color w:val="auto"/>
              </w:rPr>
            </w:pPr>
            <w:r>
              <w:rPr>
                <w:rFonts w:ascii="Courier New" w:cs="Courier New" w:eastAsia="Courier New" w:hAnsi="Courier New"/>
                <w:sz w:val="12"/>
                <w:szCs w:val="12"/>
                <w:color w:val="auto"/>
              </w:rPr>
              <w:t>THE FACILITY AGREEMENT WITH THE BANKS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2,793</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2,793</w:t>
            </w:r>
          </w:p>
        </w:tc>
      </w:tr>
      <w:tr>
        <w:trPr>
          <w:trHeight w:val="142"/>
        </w:trPr>
        <w:tc>
          <w:tcPr>
            <w:tcW w:w="398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 RIGHTS OFFERED</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2"/>
        </w:trPr>
        <w:tc>
          <w:tcPr>
            <w:tcW w:w="3980" w:type="dxa"/>
            <w:vAlign w:val="bottom"/>
          </w:tcPr>
          <w:p>
            <w:pPr>
              <w:ind w:left="220"/>
              <w:spacing w:after="0"/>
              <w:rPr>
                <w:sz w:val="20"/>
                <w:szCs w:val="20"/>
                <w:color w:val="auto"/>
              </w:rPr>
            </w:pPr>
            <w:r>
              <w:rPr>
                <w:rFonts w:ascii="Courier New" w:cs="Courier New" w:eastAsia="Courier New" w:hAnsi="Courier New"/>
                <w:sz w:val="12"/>
                <w:szCs w:val="12"/>
                <w:color w:val="auto"/>
              </w:rPr>
              <w:t>TO EMPLOYEES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448</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448</w:t>
            </w:r>
          </w:p>
        </w:tc>
      </w:tr>
      <w:tr>
        <w:trPr>
          <w:trHeight w:val="142"/>
        </w:trPr>
        <w:tc>
          <w:tcPr>
            <w:tcW w:w="398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(203,082)</w:t>
            </w:r>
          </w:p>
        </w:tc>
        <w:tc>
          <w:tcPr>
            <w:tcW w:w="58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(203,082)</w:t>
            </w:r>
          </w:p>
        </w:tc>
      </w:tr>
      <w:tr>
        <w:trPr>
          <w:trHeight w:val="142"/>
        </w:trPr>
        <w:tc>
          <w:tcPr>
            <w:tcW w:w="3980" w:type="dxa"/>
            <w:vAlign w:val="bottom"/>
          </w:tcPr>
          <w:p>
            <w:pPr>
              <w:spacing w:after="0"/>
              <w:rPr>
                <w:sz w:val="12"/>
                <w:szCs w:val="12"/>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w w:val="99"/>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3980" w:type="dxa"/>
            <w:vAlign w:val="bottom"/>
          </w:tcPr>
          <w:p>
            <w:pPr>
              <w:ind w:left="300"/>
              <w:spacing w:after="0"/>
              <w:rPr>
                <w:sz w:val="20"/>
                <w:szCs w:val="20"/>
                <w:color w:val="auto"/>
              </w:rPr>
            </w:pPr>
            <w:r>
              <w:rPr>
                <w:rFonts w:ascii="Courier New" w:cs="Courier New" w:eastAsia="Courier New" w:hAnsi="Courier New"/>
                <w:sz w:val="12"/>
                <w:szCs w:val="12"/>
                <w:color w:val="auto"/>
              </w:rPr>
              <w:t>BALANCE - DECEMBER 31, 2005</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68,232,056</w:t>
            </w:r>
          </w:p>
        </w:tc>
        <w:tc>
          <w:tcPr>
            <w:tcW w:w="16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16,548</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$ 522,237</w:t>
            </w:r>
          </w:p>
        </w:tc>
        <w:tc>
          <w:tcPr>
            <w:tcW w:w="7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ind w:right="99"/>
              <w:spacing w:after="0"/>
              <w:rPr>
                <w:sz w:val="20"/>
                <w:szCs w:val="20"/>
                <w:color w:val="auto"/>
              </w:rPr>
            </w:pPr>
            <w:r>
              <w:rPr>
                <w:rFonts w:ascii="Courier New" w:cs="Courier New" w:eastAsia="Courier New" w:hAnsi="Courier New"/>
                <w:sz w:val="12"/>
                <w:szCs w:val="12"/>
                <w:color w:val="auto"/>
                <w:w w:val="82"/>
              </w:rPr>
              <w:t>--</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(26)</w:t>
            </w:r>
          </w:p>
        </w:tc>
        <w:tc>
          <w:tcPr>
            <w:tcW w:w="1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(559,754)</w:t>
            </w:r>
          </w:p>
        </w:tc>
        <w:tc>
          <w:tcPr>
            <w:tcW w:w="580" w:type="dxa"/>
            <w:vAlign w:val="bottom"/>
          </w:tcPr>
          <w:p>
            <w:pPr>
              <w:ind w:left="60"/>
              <w:spacing w:after="0"/>
              <w:rPr>
                <w:sz w:val="20"/>
                <w:szCs w:val="20"/>
                <w:color w:val="auto"/>
              </w:rPr>
            </w:pPr>
            <w:r>
              <w:rPr>
                <w:rFonts w:ascii="Courier New" w:cs="Courier New" w:eastAsia="Courier New" w:hAnsi="Courier New"/>
                <w:sz w:val="12"/>
                <w:szCs w:val="12"/>
                <w:color w:val="auto"/>
                <w:w w:val="99"/>
              </w:rPr>
              <w:t>(9,072)</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(30,067)</w:t>
            </w:r>
          </w:p>
        </w:tc>
      </w:tr>
      <w:tr>
        <w:trPr>
          <w:trHeight w:val="142"/>
        </w:trPr>
        <w:tc>
          <w:tcPr>
            <w:tcW w:w="3980" w:type="dxa"/>
            <w:vAlign w:val="bottom"/>
          </w:tcPr>
          <w:p>
            <w:pPr>
              <w:spacing w:after="0"/>
              <w:rPr>
                <w:sz w:val="12"/>
                <w:szCs w:val="12"/>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w w:val="99"/>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5140" w:type="dxa"/>
            <w:vAlign w:val="bottom"/>
            <w:gridSpan w:val="2"/>
          </w:tcPr>
          <w:p>
            <w:pPr>
              <w:spacing w:after="0"/>
              <w:rPr>
                <w:sz w:val="20"/>
                <w:szCs w:val="20"/>
                <w:color w:val="auto"/>
              </w:rPr>
            </w:pPr>
            <w:r>
              <w:rPr>
                <w:rFonts w:ascii="Courier New" w:cs="Courier New" w:eastAsia="Courier New" w:hAnsi="Courier New"/>
                <w:sz w:val="12"/>
                <w:szCs w:val="12"/>
                <w:color w:val="auto"/>
              </w:rPr>
              <w:t>SEE NOTES TO CONDENSED INTERIM CONSOLIDATED FINANCIAL STATEMENTS.</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3"/>
        </w:trPr>
        <w:tc>
          <w:tcPr>
            <w:tcW w:w="3980" w:type="dxa"/>
            <w:vAlign w:val="bottom"/>
          </w:tcPr>
          <w:p>
            <w:pPr>
              <w:ind w:left="2720"/>
              <w:spacing w:after="0"/>
              <w:rPr>
                <w:sz w:val="20"/>
                <w:szCs w:val="20"/>
                <w:color w:val="auto"/>
              </w:rPr>
            </w:pPr>
            <w:r>
              <w:rPr>
                <w:rFonts w:ascii="Courier New" w:cs="Courier New" w:eastAsia="Courier New" w:hAnsi="Courier New"/>
                <w:sz w:val="12"/>
                <w:szCs w:val="12"/>
                <w:color w:val="auto"/>
              </w:rPr>
              <w:t>- 3 -</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47"/>
        </w:trPr>
        <w:tc>
          <w:tcPr>
            <w:tcW w:w="5140" w:type="dxa"/>
            <w:vAlign w:val="bottom"/>
            <w:gridSpan w:val="2"/>
          </w:tcPr>
          <w:p>
            <w:pPr>
              <w:ind w:left="1540"/>
              <w:spacing w:after="0"/>
              <w:rPr>
                <w:sz w:val="20"/>
                <w:szCs w:val="20"/>
                <w:color w:val="auto"/>
              </w:rPr>
            </w:pPr>
            <w:r>
              <w:rPr>
                <w:rFonts w:ascii="Courier New" w:cs="Courier New" w:eastAsia="Courier New" w:hAnsi="Courier New"/>
                <w:sz w:val="12"/>
                <w:szCs w:val="12"/>
                <w:color w:val="auto"/>
              </w:rPr>
              <w:t>TOWER SEMICONDUCTOR LTD. AND SUBSIDIARY</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42"/>
        </w:trPr>
        <w:tc>
          <w:tcPr>
            <w:tcW w:w="5140" w:type="dxa"/>
            <w:vAlign w:val="bottom"/>
            <w:gridSpan w:val="2"/>
          </w:tcPr>
          <w:p>
            <w:pPr>
              <w:ind w:left="1620"/>
              <w:spacing w:after="0"/>
              <w:rPr>
                <w:sz w:val="20"/>
                <w:szCs w:val="20"/>
                <w:color w:val="auto"/>
              </w:rPr>
            </w:pPr>
            <w:r>
              <w:rPr>
                <w:rFonts w:ascii="Courier New" w:cs="Courier New" w:eastAsia="Courier New" w:hAnsi="Courier New"/>
                <w:sz w:val="12"/>
                <w:szCs w:val="12"/>
                <w:color w:val="auto"/>
              </w:rPr>
              <w:t>CONSOLIDATED STATEMENTS OF CASH FLOWS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2"/>
        </w:trPr>
        <w:tc>
          <w:tcPr>
            <w:tcW w:w="5140" w:type="dxa"/>
            <w:vAlign w:val="bottom"/>
            <w:gridSpan w:val="2"/>
          </w:tcPr>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83"/>
        </w:trPr>
        <w:tc>
          <w:tcPr>
            <w:tcW w:w="3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NINE MONTHS ENDED</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THREE MONTHS ENDED</w:t>
            </w:r>
          </w:p>
        </w:tc>
        <w:tc>
          <w:tcPr>
            <w:tcW w:w="10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YEAR ENDED</w:t>
            </w:r>
          </w:p>
        </w:tc>
        <w:tc>
          <w:tcPr>
            <w:tcW w:w="580" w:type="dxa"/>
            <w:vAlign w:val="bottom"/>
          </w:tcPr>
          <w:p>
            <w:pPr>
              <w:spacing w:after="0"/>
              <w:rPr>
                <w:sz w:val="24"/>
                <w:szCs w:val="24"/>
                <w:color w:val="auto"/>
              </w:rPr>
            </w:pPr>
          </w:p>
        </w:tc>
      </w:tr>
      <w:tr>
        <w:trPr>
          <w:trHeight w:val="142"/>
        </w:trPr>
        <w:tc>
          <w:tcPr>
            <w:tcW w:w="3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6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rPr>
              <w:t>SEPTEMBER 30,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2"/>
          </w:tcPr>
          <w:p>
            <w:pPr>
              <w:jc w:val="right"/>
              <w:ind w:right="459"/>
              <w:spacing w:after="0"/>
              <w:rPr>
                <w:sz w:val="20"/>
                <w:szCs w:val="20"/>
                <w:color w:val="auto"/>
              </w:rPr>
            </w:pPr>
            <w:r>
              <w:rPr>
                <w:rFonts w:ascii="Courier New" w:cs="Courier New" w:eastAsia="Courier New" w:hAnsi="Courier New"/>
                <w:sz w:val="12"/>
                <w:szCs w:val="12"/>
                <w:color w:val="auto"/>
              </w:rPr>
              <w:t>SEPTEMBER 30,</w:t>
            </w:r>
          </w:p>
        </w:tc>
        <w:tc>
          <w:tcPr>
            <w:tcW w:w="1600" w:type="dxa"/>
            <w:vAlign w:val="bottom"/>
            <w:gridSpan w:val="3"/>
          </w:tcPr>
          <w:p>
            <w:pPr>
              <w:ind w:left="220"/>
              <w:spacing w:after="0"/>
              <w:rPr>
                <w:sz w:val="20"/>
                <w:szCs w:val="20"/>
                <w:color w:val="auto"/>
              </w:rPr>
            </w:pPr>
            <w:r>
              <w:rPr>
                <w:rFonts w:ascii="Courier New" w:cs="Courier New" w:eastAsia="Courier New" w:hAnsi="Courier New"/>
                <w:sz w:val="12"/>
                <w:szCs w:val="12"/>
                <w:color w:val="auto"/>
              </w:rPr>
              <w:t>DECEMBER 31,</w:t>
            </w:r>
          </w:p>
        </w:tc>
      </w:tr>
      <w:tr>
        <w:trPr>
          <w:trHeight w:val="142"/>
        </w:trPr>
        <w:tc>
          <w:tcPr>
            <w:tcW w:w="3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2"/>
                <w:szCs w:val="12"/>
                <w:color w:val="auto"/>
              </w:rPr>
            </w:pPr>
          </w:p>
        </w:tc>
        <w:tc>
          <w:tcPr>
            <w:tcW w:w="2060" w:type="dxa"/>
            <w:vAlign w:val="bottom"/>
            <w:gridSpan w:val="3"/>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2006</w:t>
            </w: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2005</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ind w:left="20"/>
              <w:spacing w:after="0"/>
              <w:rPr>
                <w:sz w:val="20"/>
                <w:szCs w:val="20"/>
                <w:color w:val="auto"/>
              </w:rPr>
            </w:pPr>
            <w:r>
              <w:rPr>
                <w:rFonts w:ascii="Courier New" w:cs="Courier New" w:eastAsia="Courier New" w:hAnsi="Courier New"/>
                <w:sz w:val="12"/>
                <w:szCs w:val="12"/>
                <w:color w:val="auto"/>
              </w:rPr>
              <w:t>2006</w:t>
            </w:r>
          </w:p>
        </w:tc>
        <w:tc>
          <w:tcPr>
            <w:tcW w:w="1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2005</w:t>
            </w: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2005</w:t>
            </w:r>
          </w:p>
        </w:tc>
        <w:tc>
          <w:tcPr>
            <w:tcW w:w="58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2"/>
                <w:szCs w:val="12"/>
                <w:color w:val="auto"/>
              </w:rPr>
            </w:pP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6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(UNAUDITED)</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2"/>
          </w:tcPr>
          <w:p>
            <w:pPr>
              <w:jc w:val="right"/>
              <w:ind w:right="539"/>
              <w:spacing w:after="0"/>
              <w:rPr>
                <w:sz w:val="20"/>
                <w:szCs w:val="20"/>
                <w:color w:val="auto"/>
              </w:rPr>
            </w:pPr>
            <w:r>
              <w:rPr>
                <w:rFonts w:ascii="Courier New" w:cs="Courier New" w:eastAsia="Courier New" w:hAnsi="Courier New"/>
                <w:sz w:val="12"/>
                <w:szCs w:val="12"/>
                <w:color w:val="auto"/>
              </w:rPr>
              <w:t>(UNAUDITED)</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2"/>
                <w:szCs w:val="12"/>
                <w:color w:val="auto"/>
              </w:rPr>
            </w:pPr>
          </w:p>
        </w:tc>
        <w:tc>
          <w:tcPr>
            <w:tcW w:w="2060" w:type="dxa"/>
            <w:vAlign w:val="bottom"/>
            <w:gridSpan w:val="3"/>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2"/>
        </w:trPr>
        <w:tc>
          <w:tcPr>
            <w:tcW w:w="3980" w:type="dxa"/>
            <w:vAlign w:val="bottom"/>
          </w:tcPr>
          <w:p>
            <w:pPr>
              <w:spacing w:after="0"/>
              <w:rPr>
                <w:sz w:val="20"/>
                <w:szCs w:val="20"/>
                <w:color w:val="auto"/>
              </w:rPr>
            </w:pPr>
            <w:r>
              <w:rPr>
                <w:rFonts w:ascii="Courier New" w:cs="Courier New" w:eastAsia="Courier New" w:hAnsi="Courier New"/>
                <w:sz w:val="12"/>
                <w:szCs w:val="12"/>
                <w:color w:val="auto"/>
              </w:rPr>
              <w:t>CASH FLOWS - OPERATING ACTIVITIES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83"/>
        </w:trPr>
        <w:tc>
          <w:tcPr>
            <w:tcW w:w="3980" w:type="dxa"/>
            <w:vAlign w:val="bottom"/>
          </w:tcPr>
          <w:p>
            <w:pPr>
              <w:ind w:left="220"/>
              <w:spacing w:after="0"/>
              <w:rPr>
                <w:sz w:val="20"/>
                <w:szCs w:val="20"/>
                <w:color w:val="auto"/>
              </w:rPr>
            </w:pPr>
            <w:r>
              <w:rPr>
                <w:rFonts w:ascii="Courier New" w:cs="Courier New" w:eastAsia="Courier New" w:hAnsi="Courier New"/>
                <w:sz w:val="12"/>
                <w:szCs w:val="12"/>
                <w:color w:val="auto"/>
              </w:rPr>
              <w:t>INCOME (LOSS) FOR THE PERIOD</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w w:val="97"/>
              </w:rPr>
              <w:t>$ (49,235)</w:t>
            </w:r>
          </w:p>
        </w:tc>
        <w:tc>
          <w:tcPr>
            <w:tcW w:w="10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$(157,910)</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39,467</w:t>
            </w:r>
          </w:p>
        </w:tc>
        <w:tc>
          <w:tcPr>
            <w:tcW w:w="10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(55,350)</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$(203,082)</w:t>
            </w:r>
          </w:p>
        </w:tc>
        <w:tc>
          <w:tcPr>
            <w:tcW w:w="580" w:type="dxa"/>
            <w:vAlign w:val="bottom"/>
          </w:tcPr>
          <w:p>
            <w:pPr>
              <w:spacing w:after="0"/>
              <w:rPr>
                <w:sz w:val="24"/>
                <w:szCs w:val="24"/>
                <w:color w:val="auto"/>
              </w:rPr>
            </w:pPr>
          </w:p>
        </w:tc>
      </w:tr>
      <w:tr>
        <w:trPr>
          <w:trHeight w:val="142"/>
        </w:trPr>
        <w:tc>
          <w:tcPr>
            <w:tcW w:w="514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ADJUSTMENTS TO RECONCILE INCOME (LOSS) FOR THE PERIOD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2"/>
        </w:trPr>
        <w:tc>
          <w:tcPr>
            <w:tcW w:w="3980" w:type="dxa"/>
            <w:vAlign w:val="bottom"/>
          </w:tcPr>
          <w:p>
            <w:pPr>
              <w:ind w:left="360"/>
              <w:spacing w:after="0"/>
              <w:rPr>
                <w:sz w:val="20"/>
                <w:szCs w:val="20"/>
                <w:color w:val="auto"/>
              </w:rPr>
            </w:pPr>
            <w:r>
              <w:rPr>
                <w:rFonts w:ascii="Courier New" w:cs="Courier New" w:eastAsia="Courier New" w:hAnsi="Courier New"/>
                <w:sz w:val="12"/>
                <w:szCs w:val="12"/>
                <w:color w:val="auto"/>
              </w:rPr>
              <w:t>TO NET CASH USED IN OPERATING ACTIVITIES: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2"/>
        </w:trPr>
        <w:tc>
          <w:tcPr>
            <w:tcW w:w="5140" w:type="dxa"/>
            <w:vAlign w:val="bottom"/>
            <w:gridSpan w:val="2"/>
          </w:tcPr>
          <w:p>
            <w:pPr>
              <w:ind w:left="520"/>
              <w:spacing w:after="0"/>
              <w:rPr>
                <w:sz w:val="20"/>
                <w:szCs w:val="20"/>
                <w:color w:val="auto"/>
              </w:rPr>
            </w:pPr>
            <w:r>
              <w:rPr>
                <w:rFonts w:ascii="Courier New" w:cs="Courier New" w:eastAsia="Courier New" w:hAnsi="Courier New"/>
                <w:sz w:val="12"/>
                <w:szCs w:val="12"/>
                <w:color w:val="auto"/>
              </w:rPr>
              <w:t>INCOME AND EXPENSE ITEMS NOT INVOLVING CASH FLOWS: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2"/>
        </w:trPr>
        <w:tc>
          <w:tcPr>
            <w:tcW w:w="3980" w:type="dxa"/>
            <w:vAlign w:val="bottom"/>
          </w:tcPr>
          <w:p>
            <w:pPr>
              <w:ind w:left="660"/>
              <w:spacing w:after="0"/>
              <w:rPr>
                <w:sz w:val="20"/>
                <w:szCs w:val="20"/>
                <w:color w:val="auto"/>
              </w:rPr>
            </w:pPr>
            <w:r>
              <w:rPr>
                <w:rFonts w:ascii="Courier New" w:cs="Courier New" w:eastAsia="Courier New" w:hAnsi="Courier New"/>
                <w:sz w:val="12"/>
                <w:szCs w:val="12"/>
                <w:color w:val="auto"/>
              </w:rPr>
              <w:t>DEPRECIATION AND AMORTIZATION</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113,821</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108,008</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38,182</w:t>
            </w: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36,855</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144,852</w:t>
            </w:r>
          </w:p>
        </w:tc>
        <w:tc>
          <w:tcPr>
            <w:tcW w:w="580" w:type="dxa"/>
            <w:vAlign w:val="bottom"/>
          </w:tcPr>
          <w:p>
            <w:pPr>
              <w:spacing w:after="0"/>
              <w:rPr>
                <w:sz w:val="12"/>
                <w:szCs w:val="12"/>
                <w:color w:val="auto"/>
              </w:rPr>
            </w:pPr>
          </w:p>
        </w:tc>
      </w:tr>
      <w:tr>
        <w:trPr>
          <w:trHeight w:val="142"/>
        </w:trPr>
        <w:tc>
          <w:tcPr>
            <w:tcW w:w="3980" w:type="dxa"/>
            <w:vAlign w:val="bottom"/>
          </w:tcPr>
          <w:p>
            <w:pPr>
              <w:ind w:left="660"/>
              <w:spacing w:after="0"/>
              <w:rPr>
                <w:sz w:val="20"/>
                <w:szCs w:val="20"/>
                <w:color w:val="auto"/>
              </w:rPr>
            </w:pPr>
            <w:r>
              <w:rPr>
                <w:rFonts w:ascii="Courier New" w:cs="Courier New" w:eastAsia="Courier New" w:hAnsi="Courier New"/>
                <w:sz w:val="12"/>
                <w:szCs w:val="12"/>
                <w:color w:val="auto"/>
              </w:rPr>
              <w:t>EFFECT OF INDEXATION AND TRANSLATION ON</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2"/>
        </w:trPr>
        <w:tc>
          <w:tcPr>
            <w:tcW w:w="3980" w:type="dxa"/>
            <w:vAlign w:val="bottom"/>
          </w:tcPr>
          <w:p>
            <w:pPr>
              <w:ind w:left="740"/>
              <w:spacing w:after="0"/>
              <w:rPr>
                <w:sz w:val="20"/>
                <w:szCs w:val="20"/>
                <w:color w:val="auto"/>
              </w:rPr>
            </w:pPr>
            <w:r>
              <w:rPr>
                <w:rFonts w:ascii="Courier New" w:cs="Courier New" w:eastAsia="Courier New" w:hAnsi="Courier New"/>
                <w:sz w:val="12"/>
                <w:szCs w:val="12"/>
                <w:color w:val="auto"/>
              </w:rPr>
              <w:t>CONVERTIBLE DEBENTURES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2,500</w:t>
            </w:r>
          </w:p>
        </w:tc>
        <w:tc>
          <w:tcPr>
            <w:tcW w:w="10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(1,205)</w:t>
            </w:r>
          </w:p>
        </w:tc>
        <w:tc>
          <w:tcPr>
            <w:tcW w:w="26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1,404</w:t>
            </w: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222</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(1,031)</w:t>
            </w:r>
          </w:p>
        </w:tc>
        <w:tc>
          <w:tcPr>
            <w:tcW w:w="580" w:type="dxa"/>
            <w:vAlign w:val="bottom"/>
          </w:tcPr>
          <w:p>
            <w:pPr>
              <w:spacing w:after="0"/>
              <w:rPr>
                <w:sz w:val="12"/>
                <w:szCs w:val="12"/>
                <w:color w:val="auto"/>
              </w:rPr>
            </w:pPr>
          </w:p>
        </w:tc>
      </w:tr>
      <w:tr>
        <w:trPr>
          <w:trHeight w:val="142"/>
        </w:trPr>
        <w:tc>
          <w:tcPr>
            <w:tcW w:w="3980" w:type="dxa"/>
            <w:vAlign w:val="bottom"/>
          </w:tcPr>
          <w:p>
            <w:pPr>
              <w:ind w:left="660"/>
              <w:spacing w:after="0"/>
              <w:rPr>
                <w:sz w:val="20"/>
                <w:szCs w:val="20"/>
                <w:color w:val="auto"/>
              </w:rPr>
            </w:pPr>
            <w:r>
              <w:rPr>
                <w:rFonts w:ascii="Courier New" w:cs="Courier New" w:eastAsia="Courier New" w:hAnsi="Courier New"/>
                <w:sz w:val="12"/>
                <w:szCs w:val="12"/>
                <w:color w:val="auto"/>
              </w:rPr>
              <w:t>OTHER INCOME, NET</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(597)</w:t>
            </w:r>
          </w:p>
        </w:tc>
        <w:tc>
          <w:tcPr>
            <w:tcW w:w="10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(2,518)</w:t>
            </w:r>
          </w:p>
        </w:tc>
        <w:tc>
          <w:tcPr>
            <w:tcW w:w="260" w:type="dxa"/>
            <w:vAlign w:val="bottom"/>
          </w:tcPr>
          <w:p>
            <w:pPr>
              <w:spacing w:after="0"/>
              <w:rPr>
                <w:sz w:val="12"/>
                <w:szCs w:val="12"/>
                <w:color w:val="auto"/>
              </w:rPr>
            </w:pP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w:t>
            </w:r>
          </w:p>
        </w:tc>
        <w:tc>
          <w:tcPr>
            <w:tcW w:w="10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(42)</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(2,383)</w:t>
            </w:r>
          </w:p>
        </w:tc>
        <w:tc>
          <w:tcPr>
            <w:tcW w:w="580" w:type="dxa"/>
            <w:vAlign w:val="bottom"/>
          </w:tcPr>
          <w:p>
            <w:pPr>
              <w:spacing w:after="0"/>
              <w:rPr>
                <w:sz w:val="12"/>
                <w:szCs w:val="12"/>
                <w:color w:val="auto"/>
              </w:rPr>
            </w:pPr>
          </w:p>
        </w:tc>
      </w:tr>
      <w:tr>
        <w:trPr>
          <w:trHeight w:val="142"/>
        </w:trPr>
        <w:tc>
          <w:tcPr>
            <w:tcW w:w="3980" w:type="dxa"/>
            <w:vAlign w:val="bottom"/>
          </w:tcPr>
          <w:p>
            <w:pPr>
              <w:ind w:left="520"/>
              <w:spacing w:after="0"/>
              <w:rPr>
                <w:sz w:val="20"/>
                <w:szCs w:val="20"/>
                <w:color w:val="auto"/>
              </w:rPr>
            </w:pPr>
            <w:r>
              <w:rPr>
                <w:rFonts w:ascii="Courier New" w:cs="Courier New" w:eastAsia="Courier New" w:hAnsi="Courier New"/>
                <w:sz w:val="12"/>
                <w:szCs w:val="12"/>
                <w:color w:val="auto"/>
              </w:rPr>
              <w:t>CHANGES IN ASSETS AND LIABILITIES: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2"/>
        </w:trPr>
        <w:tc>
          <w:tcPr>
            <w:tcW w:w="5140" w:type="dxa"/>
            <w:vAlign w:val="bottom"/>
            <w:gridSpan w:val="2"/>
          </w:tcPr>
          <w:p>
            <w:pPr>
              <w:ind w:left="660"/>
              <w:spacing w:after="0"/>
              <w:rPr>
                <w:sz w:val="20"/>
                <w:szCs w:val="20"/>
                <w:color w:val="auto"/>
              </w:rPr>
            </w:pPr>
            <w:r>
              <w:rPr>
                <w:rFonts w:ascii="Courier New" w:cs="Courier New" w:eastAsia="Courier New" w:hAnsi="Courier New"/>
                <w:sz w:val="12"/>
                <w:szCs w:val="12"/>
                <w:color w:val="auto"/>
              </w:rPr>
              <w:t>DECREASE (INCREASE) IN TRADE ACCOUNTS RECEIVABLE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(8,860)</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9,654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(4,010)</w:t>
            </w: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1,221</w:t>
            </w:r>
          </w:p>
        </w:tc>
        <w:tc>
          <w:tcPr>
            <w:tcW w:w="5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w w:val="99"/>
              </w:rPr>
              <w:t>2,510</w:t>
            </w:r>
          </w:p>
        </w:tc>
        <w:tc>
          <w:tcPr>
            <w:tcW w:w="580" w:type="dxa"/>
            <w:vAlign w:val="bottom"/>
          </w:tcPr>
          <w:p>
            <w:pPr>
              <w:spacing w:after="0"/>
              <w:rPr>
                <w:sz w:val="12"/>
                <w:szCs w:val="12"/>
                <w:color w:val="auto"/>
              </w:rPr>
            </w:pPr>
          </w:p>
        </w:tc>
      </w:tr>
      <w:tr>
        <w:trPr>
          <w:trHeight w:val="142"/>
        </w:trPr>
        <w:tc>
          <w:tcPr>
            <w:tcW w:w="5820" w:type="dxa"/>
            <w:vAlign w:val="bottom"/>
            <w:gridSpan w:val="4"/>
          </w:tcPr>
          <w:p>
            <w:pPr>
              <w:ind w:left="660"/>
              <w:spacing w:after="0"/>
              <w:rPr>
                <w:sz w:val="20"/>
                <w:szCs w:val="20"/>
                <w:color w:val="auto"/>
              </w:rPr>
            </w:pPr>
            <w:r>
              <w:rPr>
                <w:rFonts w:ascii="Courier New" w:cs="Courier New" w:eastAsia="Courier New" w:hAnsi="Courier New"/>
                <w:sz w:val="12"/>
                <w:szCs w:val="12"/>
                <w:color w:val="auto"/>
              </w:rPr>
              <w:t>DECREASE (INCREASE) IN OTHER RECEIVABLES AND OTHER CURRENT ASSETS</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(9,496)</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720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(7,640)</w:t>
            </w:r>
          </w:p>
        </w:tc>
        <w:tc>
          <w:tcPr>
            <w:tcW w:w="10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(1,940)</w:t>
            </w:r>
          </w:p>
        </w:tc>
        <w:tc>
          <w:tcPr>
            <w:tcW w:w="5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w w:val="99"/>
              </w:rPr>
              <w:t>1,988</w:t>
            </w:r>
          </w:p>
        </w:tc>
        <w:tc>
          <w:tcPr>
            <w:tcW w:w="580" w:type="dxa"/>
            <w:vAlign w:val="bottom"/>
          </w:tcPr>
          <w:p>
            <w:pPr>
              <w:spacing w:after="0"/>
              <w:rPr>
                <w:sz w:val="12"/>
                <w:szCs w:val="12"/>
                <w:color w:val="auto"/>
              </w:rPr>
            </w:pPr>
          </w:p>
        </w:tc>
      </w:tr>
      <w:tr>
        <w:trPr>
          <w:trHeight w:val="142"/>
        </w:trPr>
        <w:tc>
          <w:tcPr>
            <w:tcW w:w="3980" w:type="dxa"/>
            <w:vAlign w:val="bottom"/>
          </w:tcPr>
          <w:p>
            <w:pPr>
              <w:ind w:left="660"/>
              <w:spacing w:after="0"/>
              <w:rPr>
                <w:sz w:val="20"/>
                <w:szCs w:val="20"/>
                <w:color w:val="auto"/>
              </w:rPr>
            </w:pPr>
            <w:r>
              <w:rPr>
                <w:rFonts w:ascii="Courier New" w:cs="Courier New" w:eastAsia="Courier New" w:hAnsi="Courier New"/>
                <w:sz w:val="12"/>
                <w:szCs w:val="12"/>
                <w:color w:val="auto"/>
              </w:rPr>
              <w:t>DECREASE (INCREASE) IN INVENTORIES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(14,143)</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4,767</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(4,118)</w:t>
            </w:r>
          </w:p>
        </w:tc>
        <w:tc>
          <w:tcPr>
            <w:tcW w:w="10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(3,844)</w:t>
            </w:r>
          </w:p>
        </w:tc>
        <w:tc>
          <w:tcPr>
            <w:tcW w:w="5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w w:val="99"/>
              </w:rPr>
              <w:t>1,293</w:t>
            </w:r>
          </w:p>
        </w:tc>
        <w:tc>
          <w:tcPr>
            <w:tcW w:w="580" w:type="dxa"/>
            <w:vAlign w:val="bottom"/>
          </w:tcPr>
          <w:p>
            <w:pPr>
              <w:spacing w:after="0"/>
              <w:rPr>
                <w:sz w:val="12"/>
                <w:szCs w:val="12"/>
                <w:color w:val="auto"/>
              </w:rPr>
            </w:pPr>
          </w:p>
        </w:tc>
      </w:tr>
      <w:tr>
        <w:trPr>
          <w:trHeight w:val="142"/>
        </w:trPr>
        <w:tc>
          <w:tcPr>
            <w:tcW w:w="3980" w:type="dxa"/>
            <w:vAlign w:val="bottom"/>
          </w:tcPr>
          <w:p>
            <w:pPr>
              <w:ind w:left="660"/>
              <w:spacing w:after="0"/>
              <w:rPr>
                <w:sz w:val="20"/>
                <w:szCs w:val="20"/>
                <w:color w:val="auto"/>
              </w:rPr>
            </w:pPr>
            <w:r>
              <w:rPr>
                <w:rFonts w:ascii="Courier New" w:cs="Courier New" w:eastAsia="Courier New" w:hAnsi="Courier New"/>
                <w:sz w:val="12"/>
                <w:szCs w:val="12"/>
                <w:color w:val="auto"/>
              </w:rPr>
              <w:t>INCREASE (DECREASE) IN TRADE ACCOUNTS PAYABLE</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(1,889)</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5,320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(5,472)</w:t>
            </w: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5,480</w:t>
            </w:r>
          </w:p>
        </w:tc>
        <w:tc>
          <w:tcPr>
            <w:tcW w:w="5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w w:val="99"/>
              </w:rPr>
              <w:t>3,082</w:t>
            </w:r>
          </w:p>
        </w:tc>
        <w:tc>
          <w:tcPr>
            <w:tcW w:w="580" w:type="dxa"/>
            <w:vAlign w:val="bottom"/>
          </w:tcPr>
          <w:p>
            <w:pPr>
              <w:spacing w:after="0"/>
              <w:rPr>
                <w:sz w:val="12"/>
                <w:szCs w:val="12"/>
                <w:color w:val="auto"/>
              </w:rPr>
            </w:pPr>
          </w:p>
        </w:tc>
      </w:tr>
      <w:tr>
        <w:trPr>
          <w:trHeight w:val="142"/>
        </w:trPr>
        <w:tc>
          <w:tcPr>
            <w:tcW w:w="3980" w:type="dxa"/>
            <w:vAlign w:val="bottom"/>
          </w:tcPr>
          <w:p>
            <w:pPr>
              <w:ind w:left="660"/>
              <w:spacing w:after="0"/>
              <w:rPr>
                <w:sz w:val="20"/>
                <w:szCs w:val="20"/>
                <w:color w:val="auto"/>
              </w:rPr>
            </w:pPr>
            <w:r>
              <w:rPr>
                <w:rFonts w:ascii="Courier New" w:cs="Courier New" w:eastAsia="Courier New" w:hAnsi="Courier New"/>
                <w:sz w:val="12"/>
                <w:szCs w:val="12"/>
                <w:color w:val="auto"/>
              </w:rPr>
              <w:t>GAIN ON DEBT RESTRUCTURING</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(80,071)</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(80,071)</w:t>
            </w: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spacing w:after="0"/>
              <w:rPr>
                <w:sz w:val="12"/>
                <w:szCs w:val="12"/>
                <w:color w:val="auto"/>
              </w:rPr>
            </w:pPr>
          </w:p>
        </w:tc>
      </w:tr>
      <w:tr>
        <w:trPr>
          <w:trHeight w:val="142"/>
        </w:trPr>
        <w:tc>
          <w:tcPr>
            <w:tcW w:w="5140" w:type="dxa"/>
            <w:vAlign w:val="bottom"/>
            <w:gridSpan w:val="2"/>
          </w:tcPr>
          <w:p>
            <w:pPr>
              <w:ind w:left="660"/>
              <w:spacing w:after="0"/>
              <w:rPr>
                <w:sz w:val="20"/>
                <w:szCs w:val="20"/>
                <w:color w:val="auto"/>
              </w:rPr>
            </w:pPr>
            <w:r>
              <w:rPr>
                <w:rFonts w:ascii="Courier New" w:cs="Courier New" w:eastAsia="Courier New" w:hAnsi="Courier New"/>
                <w:sz w:val="12"/>
                <w:szCs w:val="12"/>
                <w:color w:val="auto"/>
              </w:rPr>
              <w:t>INCREASE (DECREASE) IN OTHER CURRENT LIABILITIES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3,736</w:t>
            </w:r>
          </w:p>
        </w:tc>
        <w:tc>
          <w:tcPr>
            <w:tcW w:w="10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(1,459)</w:t>
            </w:r>
          </w:p>
        </w:tc>
        <w:tc>
          <w:tcPr>
            <w:tcW w:w="26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1,623</w:t>
            </w: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6</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(1,839)</w:t>
            </w:r>
          </w:p>
        </w:tc>
        <w:tc>
          <w:tcPr>
            <w:tcW w:w="580" w:type="dxa"/>
            <w:vAlign w:val="bottom"/>
          </w:tcPr>
          <w:p>
            <w:pPr>
              <w:spacing w:after="0"/>
              <w:rPr>
                <w:sz w:val="12"/>
                <w:szCs w:val="12"/>
                <w:color w:val="auto"/>
              </w:rPr>
            </w:pPr>
          </w:p>
        </w:tc>
      </w:tr>
      <w:tr>
        <w:trPr>
          <w:trHeight w:val="142"/>
        </w:trPr>
        <w:tc>
          <w:tcPr>
            <w:tcW w:w="3980" w:type="dxa"/>
            <w:vAlign w:val="bottom"/>
          </w:tcPr>
          <w:p>
            <w:pPr>
              <w:ind w:left="660"/>
              <w:spacing w:after="0"/>
              <w:rPr>
                <w:sz w:val="20"/>
                <w:szCs w:val="20"/>
                <w:color w:val="auto"/>
              </w:rPr>
            </w:pPr>
            <w:r>
              <w:rPr>
                <w:rFonts w:ascii="Courier New" w:cs="Courier New" w:eastAsia="Courier New" w:hAnsi="Courier New"/>
                <w:sz w:val="12"/>
                <w:szCs w:val="12"/>
                <w:color w:val="auto"/>
              </w:rPr>
              <w:t>DECREASE IN OTHER LONG-TERM LIABILITIES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(1,752)</w:t>
            </w:r>
          </w:p>
        </w:tc>
        <w:tc>
          <w:tcPr>
            <w:tcW w:w="10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(7,379)</w:t>
            </w:r>
          </w:p>
        </w:tc>
        <w:tc>
          <w:tcPr>
            <w:tcW w:w="260" w:type="dxa"/>
            <w:vAlign w:val="bottom"/>
          </w:tcPr>
          <w:p>
            <w:pPr>
              <w:spacing w:after="0"/>
              <w:rPr>
                <w:sz w:val="12"/>
                <w:szCs w:val="12"/>
                <w:color w:val="auto"/>
              </w:rPr>
            </w:pP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(73)</w:t>
            </w:r>
          </w:p>
        </w:tc>
        <w:tc>
          <w:tcPr>
            <w:tcW w:w="10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(302)</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(5,368)</w:t>
            </w:r>
          </w:p>
        </w:tc>
        <w:tc>
          <w:tcPr>
            <w:tcW w:w="58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2"/>
                <w:szCs w:val="12"/>
                <w:color w:val="auto"/>
              </w:rPr>
            </w:pP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(45,986)</w:t>
            </w:r>
          </w:p>
        </w:tc>
        <w:tc>
          <w:tcPr>
            <w:tcW w:w="10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(42,002)</w:t>
            </w:r>
          </w:p>
        </w:tc>
        <w:tc>
          <w:tcPr>
            <w:tcW w:w="260" w:type="dxa"/>
            <w:vAlign w:val="bottom"/>
          </w:tcPr>
          <w:p>
            <w:pPr>
              <w:spacing w:after="0"/>
              <w:rPr>
                <w:sz w:val="12"/>
                <w:szCs w:val="12"/>
                <w:color w:val="auto"/>
              </w:rPr>
            </w:pP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(20,714)</w:t>
            </w:r>
          </w:p>
        </w:tc>
        <w:tc>
          <w:tcPr>
            <w:tcW w:w="10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(17,694)</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(59,978)</w:t>
            </w:r>
          </w:p>
        </w:tc>
        <w:tc>
          <w:tcPr>
            <w:tcW w:w="580" w:type="dxa"/>
            <w:vAlign w:val="bottom"/>
          </w:tcPr>
          <w:p>
            <w:pPr>
              <w:spacing w:after="0"/>
              <w:rPr>
                <w:sz w:val="12"/>
                <w:szCs w:val="12"/>
                <w:color w:val="auto"/>
              </w:rPr>
            </w:pPr>
          </w:p>
        </w:tc>
      </w:tr>
      <w:tr>
        <w:trPr>
          <w:trHeight w:val="142"/>
        </w:trPr>
        <w:tc>
          <w:tcPr>
            <w:tcW w:w="3980" w:type="dxa"/>
            <w:vAlign w:val="bottom"/>
          </w:tcPr>
          <w:p>
            <w:pPr>
              <w:ind w:left="660"/>
              <w:spacing w:after="0"/>
              <w:rPr>
                <w:sz w:val="20"/>
                <w:szCs w:val="20"/>
                <w:color w:val="auto"/>
              </w:rPr>
            </w:pPr>
            <w:r>
              <w:rPr>
                <w:rFonts w:ascii="Courier New" w:cs="Courier New" w:eastAsia="Courier New" w:hAnsi="Courier New"/>
                <w:sz w:val="12"/>
                <w:szCs w:val="12"/>
                <w:color w:val="auto"/>
              </w:rPr>
              <w:t>DECREASE IN LONG-TERM LIABILITY</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2"/>
        </w:trPr>
        <w:tc>
          <w:tcPr>
            <w:tcW w:w="3980" w:type="dxa"/>
            <w:vAlign w:val="bottom"/>
          </w:tcPr>
          <w:p>
            <w:pPr>
              <w:ind w:left="740"/>
              <w:spacing w:after="0"/>
              <w:rPr>
                <w:sz w:val="20"/>
                <w:szCs w:val="20"/>
                <w:color w:val="auto"/>
              </w:rPr>
            </w:pPr>
            <w:r>
              <w:rPr>
                <w:rFonts w:ascii="Courier New" w:cs="Courier New" w:eastAsia="Courier New" w:hAnsi="Courier New"/>
                <w:sz w:val="12"/>
                <w:szCs w:val="12"/>
                <w:color w:val="auto"/>
              </w:rPr>
              <w:t>IN RESPECT OF CUSTOMERS' ADVANCES, NET</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(1,504)</w:t>
            </w:r>
          </w:p>
        </w:tc>
        <w:tc>
          <w:tcPr>
            <w:tcW w:w="10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(396)</w:t>
            </w:r>
          </w:p>
        </w:tc>
        <w:tc>
          <w:tcPr>
            <w:tcW w:w="260" w:type="dxa"/>
            <w:vAlign w:val="bottom"/>
          </w:tcPr>
          <w:p>
            <w:pPr>
              <w:spacing w:after="0"/>
              <w:rPr>
                <w:sz w:val="12"/>
                <w:szCs w:val="12"/>
                <w:color w:val="auto"/>
              </w:rPr>
            </w:pP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(690)</w:t>
            </w:r>
          </w:p>
        </w:tc>
        <w:tc>
          <w:tcPr>
            <w:tcW w:w="10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(164)</w:t>
            </w:r>
          </w:p>
        </w:tc>
        <w:tc>
          <w:tcPr>
            <w:tcW w:w="5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(760)</w:t>
            </w:r>
          </w:p>
        </w:tc>
        <w:tc>
          <w:tcPr>
            <w:tcW w:w="58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2"/>
                <w:szCs w:val="12"/>
                <w:color w:val="auto"/>
              </w:rPr>
            </w:pP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spacing w:after="0"/>
              <w:rPr>
                <w:sz w:val="12"/>
                <w:szCs w:val="12"/>
                <w:color w:val="auto"/>
              </w:rPr>
            </w:pPr>
          </w:p>
        </w:tc>
      </w:tr>
      <w:tr>
        <w:trPr>
          <w:trHeight w:val="142"/>
        </w:trPr>
        <w:tc>
          <w:tcPr>
            <w:tcW w:w="3980" w:type="dxa"/>
            <w:vAlign w:val="bottom"/>
          </w:tcPr>
          <w:p>
            <w:pPr>
              <w:ind w:left="740"/>
              <w:spacing w:after="0"/>
              <w:rPr>
                <w:sz w:val="20"/>
                <w:szCs w:val="20"/>
                <w:color w:val="auto"/>
              </w:rPr>
            </w:pPr>
            <w:r>
              <w:rPr>
                <w:rFonts w:ascii="Courier New" w:cs="Courier New" w:eastAsia="Courier New" w:hAnsi="Courier New"/>
                <w:sz w:val="12"/>
                <w:szCs w:val="12"/>
                <w:color w:val="auto"/>
              </w:rPr>
              <w:t>NET CASH USED IN OPERATING ACTIVITIES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(47,490)</w:t>
            </w:r>
          </w:p>
        </w:tc>
        <w:tc>
          <w:tcPr>
            <w:tcW w:w="10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(42,398)</w:t>
            </w:r>
          </w:p>
        </w:tc>
        <w:tc>
          <w:tcPr>
            <w:tcW w:w="260" w:type="dxa"/>
            <w:vAlign w:val="bottom"/>
          </w:tcPr>
          <w:p>
            <w:pPr>
              <w:spacing w:after="0"/>
              <w:rPr>
                <w:sz w:val="12"/>
                <w:szCs w:val="12"/>
                <w:color w:val="auto"/>
              </w:rPr>
            </w:pP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(21,404)</w:t>
            </w:r>
          </w:p>
        </w:tc>
        <w:tc>
          <w:tcPr>
            <w:tcW w:w="10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(17,858)</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(60,738)</w:t>
            </w:r>
          </w:p>
        </w:tc>
        <w:tc>
          <w:tcPr>
            <w:tcW w:w="58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2"/>
                <w:szCs w:val="12"/>
                <w:color w:val="auto"/>
              </w:rPr>
            </w:pP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spacing w:after="0"/>
              <w:rPr>
                <w:sz w:val="12"/>
                <w:szCs w:val="12"/>
                <w:color w:val="auto"/>
              </w:rPr>
            </w:pPr>
          </w:p>
        </w:tc>
      </w:tr>
      <w:tr>
        <w:trPr>
          <w:trHeight w:val="283"/>
        </w:trPr>
        <w:tc>
          <w:tcPr>
            <w:tcW w:w="3980" w:type="dxa"/>
            <w:vAlign w:val="bottom"/>
          </w:tcPr>
          <w:p>
            <w:pPr>
              <w:spacing w:after="0"/>
              <w:rPr>
                <w:sz w:val="20"/>
                <w:szCs w:val="20"/>
                <w:color w:val="auto"/>
              </w:rPr>
            </w:pPr>
            <w:r>
              <w:rPr>
                <w:rFonts w:ascii="Courier New" w:cs="Courier New" w:eastAsia="Courier New" w:hAnsi="Courier New"/>
                <w:sz w:val="12"/>
                <w:szCs w:val="12"/>
                <w:color w:val="auto"/>
              </w:rPr>
              <w:t>CASH FLOWS - INVESTING ACTIVITIES</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3"/>
        </w:trPr>
        <w:tc>
          <w:tcPr>
            <w:tcW w:w="514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DECREASE (INCREASE) IN DESIGNATED CASH, SHORT-TERM AND LONG-TERM</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42"/>
        </w:trPr>
        <w:tc>
          <w:tcPr>
            <w:tcW w:w="3980" w:type="dxa"/>
            <w:vAlign w:val="bottom"/>
          </w:tcPr>
          <w:p>
            <w:pPr>
              <w:ind w:left="360"/>
              <w:spacing w:after="0"/>
              <w:rPr>
                <w:sz w:val="20"/>
                <w:szCs w:val="20"/>
                <w:color w:val="auto"/>
              </w:rPr>
            </w:pPr>
            <w:r>
              <w:rPr>
                <w:rFonts w:ascii="Courier New" w:cs="Courier New" w:eastAsia="Courier New" w:hAnsi="Courier New"/>
                <w:sz w:val="12"/>
                <w:szCs w:val="12"/>
                <w:color w:val="auto"/>
              </w:rPr>
              <w:t>INTEREST-BEARING DEPOSITS, NET</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31,661</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40,955</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2,909</w:t>
            </w:r>
          </w:p>
        </w:tc>
        <w:tc>
          <w:tcPr>
            <w:tcW w:w="10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(1,019)</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27,266</w:t>
            </w:r>
          </w:p>
        </w:tc>
        <w:tc>
          <w:tcPr>
            <w:tcW w:w="580" w:type="dxa"/>
            <w:vAlign w:val="bottom"/>
          </w:tcPr>
          <w:p>
            <w:pPr>
              <w:spacing w:after="0"/>
              <w:rPr>
                <w:sz w:val="12"/>
                <w:szCs w:val="12"/>
                <w:color w:val="auto"/>
              </w:rPr>
            </w:pPr>
          </w:p>
        </w:tc>
      </w:tr>
      <w:tr>
        <w:trPr>
          <w:trHeight w:val="142"/>
        </w:trPr>
        <w:tc>
          <w:tcPr>
            <w:tcW w:w="3980" w:type="dxa"/>
            <w:vAlign w:val="bottom"/>
          </w:tcPr>
          <w:p>
            <w:pPr>
              <w:ind w:left="220"/>
              <w:spacing w:after="0"/>
              <w:rPr>
                <w:sz w:val="20"/>
                <w:szCs w:val="20"/>
                <w:color w:val="auto"/>
              </w:rPr>
            </w:pPr>
            <w:r>
              <w:rPr>
                <w:rFonts w:ascii="Courier New" w:cs="Courier New" w:eastAsia="Courier New" w:hAnsi="Courier New"/>
                <w:sz w:val="12"/>
                <w:szCs w:val="12"/>
                <w:color w:val="auto"/>
              </w:rPr>
              <w:t>INVESTMENTS IN PROPERTY AND EQUIPMENT</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(98,938)</w:t>
            </w:r>
          </w:p>
        </w:tc>
        <w:tc>
          <w:tcPr>
            <w:tcW w:w="10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(32,251)</w:t>
            </w:r>
          </w:p>
        </w:tc>
        <w:tc>
          <w:tcPr>
            <w:tcW w:w="260" w:type="dxa"/>
            <w:vAlign w:val="bottom"/>
          </w:tcPr>
          <w:p>
            <w:pPr>
              <w:spacing w:after="0"/>
              <w:rPr>
                <w:sz w:val="12"/>
                <w:szCs w:val="12"/>
                <w:color w:val="auto"/>
              </w:rPr>
            </w:pP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(73,203)</w:t>
            </w:r>
          </w:p>
        </w:tc>
        <w:tc>
          <w:tcPr>
            <w:tcW w:w="10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(8,146)</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(38,878)</w:t>
            </w:r>
          </w:p>
        </w:tc>
        <w:tc>
          <w:tcPr>
            <w:tcW w:w="580" w:type="dxa"/>
            <w:vAlign w:val="bottom"/>
          </w:tcPr>
          <w:p>
            <w:pPr>
              <w:spacing w:after="0"/>
              <w:rPr>
                <w:sz w:val="12"/>
                <w:szCs w:val="12"/>
                <w:color w:val="auto"/>
              </w:rPr>
            </w:pPr>
          </w:p>
        </w:tc>
      </w:tr>
      <w:tr>
        <w:trPr>
          <w:trHeight w:val="142"/>
        </w:trPr>
        <w:tc>
          <w:tcPr>
            <w:tcW w:w="3980" w:type="dxa"/>
            <w:vAlign w:val="bottom"/>
          </w:tcPr>
          <w:p>
            <w:pPr>
              <w:ind w:left="220"/>
              <w:spacing w:after="0"/>
              <w:rPr>
                <w:sz w:val="20"/>
                <w:szCs w:val="20"/>
                <w:color w:val="auto"/>
              </w:rPr>
            </w:pPr>
            <w:r>
              <w:rPr>
                <w:rFonts w:ascii="Courier New" w:cs="Courier New" w:eastAsia="Courier New" w:hAnsi="Courier New"/>
                <w:sz w:val="12"/>
                <w:szCs w:val="12"/>
                <w:color w:val="auto"/>
              </w:rPr>
              <w:t>INVESTMENT GRANTS RECEIVED</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4,489</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6,015</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1,191</w:t>
            </w: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1,657</w:t>
            </w:r>
          </w:p>
        </w:tc>
        <w:tc>
          <w:tcPr>
            <w:tcW w:w="5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w w:val="99"/>
              </w:rPr>
              <w:t>7,496</w:t>
            </w:r>
          </w:p>
        </w:tc>
        <w:tc>
          <w:tcPr>
            <w:tcW w:w="580" w:type="dxa"/>
            <w:vAlign w:val="bottom"/>
          </w:tcPr>
          <w:p>
            <w:pPr>
              <w:spacing w:after="0"/>
              <w:rPr>
                <w:sz w:val="12"/>
                <w:szCs w:val="12"/>
                <w:color w:val="auto"/>
              </w:rPr>
            </w:pPr>
          </w:p>
        </w:tc>
      </w:tr>
      <w:tr>
        <w:trPr>
          <w:trHeight w:val="142"/>
        </w:trPr>
        <w:tc>
          <w:tcPr>
            <w:tcW w:w="514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PROCEEDS RELATED TO SALE AND DISPOSAL OF PROPERTY AND EQUIPMENT</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600</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2,106</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w:t>
            </w: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398</w:t>
            </w:r>
          </w:p>
        </w:tc>
        <w:tc>
          <w:tcPr>
            <w:tcW w:w="5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w w:val="99"/>
              </w:rPr>
              <w:t>2,179</w:t>
            </w:r>
          </w:p>
        </w:tc>
        <w:tc>
          <w:tcPr>
            <w:tcW w:w="580" w:type="dxa"/>
            <w:vAlign w:val="bottom"/>
          </w:tcPr>
          <w:p>
            <w:pPr>
              <w:spacing w:after="0"/>
              <w:rPr>
                <w:sz w:val="12"/>
                <w:szCs w:val="12"/>
                <w:color w:val="auto"/>
              </w:rPr>
            </w:pPr>
          </w:p>
        </w:tc>
      </w:tr>
      <w:tr>
        <w:trPr>
          <w:trHeight w:val="142"/>
        </w:trPr>
        <w:tc>
          <w:tcPr>
            <w:tcW w:w="3980" w:type="dxa"/>
            <w:vAlign w:val="bottom"/>
          </w:tcPr>
          <w:p>
            <w:pPr>
              <w:ind w:left="220"/>
              <w:spacing w:after="0"/>
              <w:rPr>
                <w:sz w:val="20"/>
                <w:szCs w:val="20"/>
                <w:color w:val="auto"/>
              </w:rPr>
            </w:pPr>
            <w:r>
              <w:rPr>
                <w:rFonts w:ascii="Courier New" w:cs="Courier New" w:eastAsia="Courier New" w:hAnsi="Courier New"/>
                <w:sz w:val="12"/>
                <w:szCs w:val="12"/>
                <w:color w:val="auto"/>
              </w:rPr>
              <w:t>INVESTMENTS IN OTHER ASSETS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(4,168)</w:t>
            </w:r>
          </w:p>
        </w:tc>
        <w:tc>
          <w:tcPr>
            <w:tcW w:w="10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(3,732)</w:t>
            </w:r>
          </w:p>
        </w:tc>
        <w:tc>
          <w:tcPr>
            <w:tcW w:w="260" w:type="dxa"/>
            <w:vAlign w:val="bottom"/>
          </w:tcPr>
          <w:p>
            <w:pPr>
              <w:spacing w:after="0"/>
              <w:rPr>
                <w:sz w:val="12"/>
                <w:szCs w:val="12"/>
                <w:color w:val="auto"/>
              </w:rPr>
            </w:pP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(618)</w:t>
            </w:r>
          </w:p>
        </w:tc>
        <w:tc>
          <w:tcPr>
            <w:tcW w:w="10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(132)</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(3,841)</w:t>
            </w:r>
          </w:p>
        </w:tc>
        <w:tc>
          <w:tcPr>
            <w:tcW w:w="58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2"/>
                <w:szCs w:val="12"/>
                <w:color w:val="auto"/>
              </w:rPr>
            </w:pP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spacing w:after="0"/>
              <w:rPr>
                <w:sz w:val="12"/>
                <w:szCs w:val="12"/>
                <w:color w:val="auto"/>
              </w:rPr>
            </w:pPr>
          </w:p>
        </w:tc>
      </w:tr>
      <w:tr>
        <w:trPr>
          <w:trHeight w:val="142"/>
        </w:trPr>
        <w:tc>
          <w:tcPr>
            <w:tcW w:w="5140" w:type="dxa"/>
            <w:vAlign w:val="bottom"/>
            <w:gridSpan w:val="2"/>
          </w:tcPr>
          <w:p>
            <w:pPr>
              <w:ind w:left="740"/>
              <w:spacing w:after="0"/>
              <w:rPr>
                <w:sz w:val="20"/>
                <w:szCs w:val="20"/>
                <w:color w:val="auto"/>
              </w:rPr>
            </w:pPr>
            <w:r>
              <w:rPr>
                <w:rFonts w:ascii="Courier New" w:cs="Courier New" w:eastAsia="Courier New" w:hAnsi="Courier New"/>
                <w:sz w:val="12"/>
                <w:szCs w:val="12"/>
                <w:color w:val="auto"/>
              </w:rPr>
              <w:t>NET CASH PROVIDED BY (USED IN) INVESTING ACTIVITIES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(66,356)</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13,093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(69,712)</w:t>
            </w:r>
          </w:p>
        </w:tc>
        <w:tc>
          <w:tcPr>
            <w:tcW w:w="10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(7,242)</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(5,778)</w:t>
            </w:r>
          </w:p>
        </w:tc>
        <w:tc>
          <w:tcPr>
            <w:tcW w:w="58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99"/>
              <w:spacing w:after="0"/>
              <w:rPr>
                <w:sz w:val="20"/>
                <w:szCs w:val="20"/>
                <w:color w:val="auto"/>
              </w:rPr>
            </w:pPr>
            <w:r>
              <w:rPr>
                <w:rFonts w:ascii="Courier New" w:cs="Courier New" w:eastAsia="Courier New" w:hAnsi="Courier New"/>
                <w:sz w:val="12"/>
                <w:szCs w:val="12"/>
                <w:color w:val="auto"/>
                <w:w w:val="98"/>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2"/>
                <w:szCs w:val="12"/>
                <w:color w:val="auto"/>
              </w:rPr>
            </w:pP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spacing w:after="0"/>
              <w:rPr>
                <w:sz w:val="12"/>
                <w:szCs w:val="12"/>
                <w:color w:val="auto"/>
              </w:rPr>
            </w:pPr>
          </w:p>
        </w:tc>
      </w:tr>
      <w:tr>
        <w:trPr>
          <w:trHeight w:val="283"/>
        </w:trPr>
        <w:tc>
          <w:tcPr>
            <w:tcW w:w="3980" w:type="dxa"/>
            <w:vAlign w:val="bottom"/>
          </w:tcPr>
          <w:p>
            <w:pPr>
              <w:spacing w:after="0"/>
              <w:rPr>
                <w:sz w:val="20"/>
                <w:szCs w:val="20"/>
                <w:color w:val="auto"/>
              </w:rPr>
            </w:pPr>
            <w:r>
              <w:rPr>
                <w:rFonts w:ascii="Courier New" w:cs="Courier New" w:eastAsia="Courier New" w:hAnsi="Courier New"/>
                <w:sz w:val="12"/>
                <w:szCs w:val="12"/>
                <w:color w:val="auto"/>
              </w:rPr>
              <w:t>CASH FLOWS - FINANCING ACTIVITIES</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3"/>
        </w:trPr>
        <w:tc>
          <w:tcPr>
            <w:tcW w:w="3980" w:type="dxa"/>
            <w:vAlign w:val="bottom"/>
          </w:tcPr>
          <w:p>
            <w:pPr>
              <w:ind w:left="220"/>
              <w:spacing w:after="0"/>
              <w:rPr>
                <w:sz w:val="20"/>
                <w:szCs w:val="20"/>
                <w:color w:val="auto"/>
              </w:rPr>
            </w:pPr>
            <w:r>
              <w:rPr>
                <w:rFonts w:ascii="Courier New" w:cs="Courier New" w:eastAsia="Courier New" w:hAnsi="Courier New"/>
                <w:sz w:val="12"/>
                <w:szCs w:val="12"/>
                <w:color w:val="auto"/>
              </w:rPr>
              <w:t>Proceeds on account of share capital</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100,000</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100,000</w:t>
            </w: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spacing w:after="0"/>
              <w:rPr>
                <w:sz w:val="24"/>
                <w:szCs w:val="24"/>
                <w:color w:val="auto"/>
              </w:rPr>
            </w:pPr>
          </w:p>
        </w:tc>
      </w:tr>
      <w:tr>
        <w:trPr>
          <w:trHeight w:val="142"/>
        </w:trPr>
        <w:tc>
          <w:tcPr>
            <w:tcW w:w="514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PROCEEDS FROM ISSUANCE OF CONVERTIBLE DEBENTURE, NET</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58,797</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36,937</w:t>
            </w: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25,086</w:t>
            </w:r>
          </w:p>
        </w:tc>
        <w:tc>
          <w:tcPr>
            <w:tcW w:w="580" w:type="dxa"/>
            <w:vAlign w:val="bottom"/>
          </w:tcPr>
          <w:p>
            <w:pPr>
              <w:spacing w:after="0"/>
              <w:rPr>
                <w:sz w:val="12"/>
                <w:szCs w:val="12"/>
                <w:color w:val="auto"/>
              </w:rPr>
            </w:pPr>
          </w:p>
        </w:tc>
      </w:tr>
    </w:tbl>
    <w:p>
      <w:pPr>
        <w:sectPr>
          <w:pgSz w:w="11900" w:h="16884" w:orient="portrait"/>
          <w:cols w:equalWidth="0" w:num="1">
            <w:col w:w="11540"/>
          </w:cols>
          <w:pgMar w:left="220" w:top="141" w:right="1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80" w:type="dxa"/>
            <w:vAlign w:val="bottom"/>
          </w:tcPr>
          <w:p>
            <w:pPr>
              <w:ind w:left="220"/>
              <w:spacing w:after="0"/>
              <w:rPr>
                <w:sz w:val="20"/>
                <w:szCs w:val="20"/>
                <w:color w:val="auto"/>
              </w:rPr>
            </w:pPr>
            <w:r>
              <w:rPr>
                <w:rFonts w:ascii="Courier New" w:cs="Courier New" w:eastAsia="Courier New" w:hAnsi="Courier New"/>
                <w:sz w:val="12"/>
                <w:szCs w:val="12"/>
                <w:color w:val="auto"/>
              </w:rPr>
              <w:t>PROCEEDS FROM EXERCISE OF WARRANTS</w:t>
            </w:r>
          </w:p>
        </w:tc>
        <w:tc>
          <w:tcPr>
            <w:tcW w:w="4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550</w:t>
            </w:r>
          </w:p>
        </w:tc>
      </w:tr>
      <w:tr>
        <w:trPr>
          <w:trHeight w:val="142"/>
        </w:trPr>
        <w:tc>
          <w:tcPr>
            <w:tcW w:w="5480" w:type="dxa"/>
            <w:vAlign w:val="bottom"/>
          </w:tcPr>
          <w:p>
            <w:pPr>
              <w:ind w:left="220"/>
              <w:spacing w:after="0"/>
              <w:rPr>
                <w:sz w:val="20"/>
                <w:szCs w:val="20"/>
                <w:color w:val="auto"/>
              </w:rPr>
            </w:pPr>
            <w:r>
              <w:rPr>
                <w:rFonts w:ascii="Courier New" w:cs="Courier New" w:eastAsia="Courier New" w:hAnsi="Courier New"/>
                <w:sz w:val="12"/>
                <w:szCs w:val="12"/>
                <w:color w:val="auto"/>
              </w:rPr>
              <w:t>PROCEEDS FROM LONG-TERM DEBT</w:t>
            </w:r>
          </w:p>
        </w:tc>
        <w:tc>
          <w:tcPr>
            <w:tcW w:w="4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15,384</w:t>
            </w:r>
          </w:p>
        </w:tc>
      </w:tr>
      <w:tr>
        <w:trPr>
          <w:trHeight w:val="142"/>
        </w:trPr>
        <w:tc>
          <w:tcPr>
            <w:tcW w:w="5480" w:type="dxa"/>
            <w:vAlign w:val="bottom"/>
          </w:tcPr>
          <w:p>
            <w:pPr>
              <w:ind w:left="220"/>
              <w:spacing w:after="0"/>
              <w:rPr>
                <w:sz w:val="20"/>
                <w:szCs w:val="20"/>
                <w:color w:val="auto"/>
              </w:rPr>
            </w:pPr>
            <w:r>
              <w:rPr>
                <w:rFonts w:ascii="Courier New" w:cs="Courier New" w:eastAsia="Courier New" w:hAnsi="Courier New"/>
                <w:sz w:val="12"/>
                <w:szCs w:val="12"/>
                <w:color w:val="auto"/>
              </w:rPr>
              <w:t>REPAYMENT OF CONVERTIBLE DEBENTURES</w:t>
            </w:r>
          </w:p>
        </w:tc>
        <w:tc>
          <w:tcPr>
            <w:tcW w:w="4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(6,476)</w:t>
            </w:r>
          </w:p>
        </w:tc>
      </w:tr>
      <w:tr>
        <w:trPr>
          <w:trHeight w:val="142"/>
        </w:trPr>
        <w:tc>
          <w:tcPr>
            <w:tcW w:w="548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5480" w:type="dxa"/>
            <w:vAlign w:val="bottom"/>
          </w:tcPr>
          <w:p>
            <w:pPr>
              <w:ind w:left="740"/>
              <w:spacing w:after="0"/>
              <w:rPr>
                <w:sz w:val="20"/>
                <w:szCs w:val="20"/>
                <w:color w:val="auto"/>
              </w:rPr>
            </w:pPr>
            <w:r>
              <w:rPr>
                <w:rFonts w:ascii="Courier New" w:cs="Courier New" w:eastAsia="Courier New" w:hAnsi="Courier New"/>
                <w:sz w:val="12"/>
                <w:szCs w:val="12"/>
                <w:color w:val="auto"/>
              </w:rPr>
              <w:t>NET CASH PROVIDED BY FINANCING ACTIVITIES</w:t>
            </w:r>
          </w:p>
        </w:tc>
        <w:tc>
          <w:tcPr>
            <w:tcW w:w="4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168,255</w:t>
            </w:r>
          </w:p>
        </w:tc>
      </w:tr>
      <w:tr>
        <w:trPr>
          <w:trHeight w:val="142"/>
        </w:trPr>
        <w:tc>
          <w:tcPr>
            <w:tcW w:w="548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5480" w:type="dxa"/>
            <w:vAlign w:val="bottom"/>
          </w:tcPr>
          <w:p>
            <w:pPr>
              <w:ind w:left="520"/>
              <w:spacing w:after="0"/>
              <w:rPr>
                <w:sz w:val="20"/>
                <w:szCs w:val="20"/>
                <w:color w:val="auto"/>
              </w:rPr>
            </w:pPr>
            <w:r>
              <w:rPr>
                <w:rFonts w:ascii="Courier New" w:cs="Courier New" w:eastAsia="Courier New" w:hAnsi="Courier New"/>
                <w:sz w:val="12"/>
                <w:szCs w:val="12"/>
                <w:color w:val="auto"/>
              </w:rPr>
              <w:t>INCREASE (DECREASE) IN CASH AND CASH EQUIVALENTS</w:t>
            </w:r>
          </w:p>
        </w:tc>
        <w:tc>
          <w:tcPr>
            <w:tcW w:w="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54,409</w:t>
            </w:r>
          </w:p>
        </w:tc>
      </w:tr>
      <w:tr>
        <w:trPr>
          <w:trHeight w:val="142"/>
        </w:trPr>
        <w:tc>
          <w:tcPr>
            <w:tcW w:w="5480" w:type="dxa"/>
            <w:vAlign w:val="bottom"/>
          </w:tcPr>
          <w:p>
            <w:pPr>
              <w:spacing w:after="0"/>
              <w:rPr>
                <w:sz w:val="20"/>
                <w:szCs w:val="20"/>
                <w:color w:val="auto"/>
              </w:rPr>
            </w:pPr>
            <w:r>
              <w:rPr>
                <w:rFonts w:ascii="Courier New" w:cs="Courier New" w:eastAsia="Courier New" w:hAnsi="Courier New"/>
                <w:sz w:val="12"/>
                <w:szCs w:val="12"/>
                <w:color w:val="auto"/>
              </w:rPr>
              <w:t>CASH AND CASH EQUIVALENTS - BEGINNING OF PERIOD</w:t>
            </w:r>
          </w:p>
        </w:tc>
        <w:tc>
          <w:tcPr>
            <w:tcW w:w="4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7,337</w:t>
            </w:r>
          </w:p>
        </w:tc>
      </w:tr>
      <w:tr>
        <w:trPr>
          <w:trHeight w:val="142"/>
        </w:trPr>
        <w:tc>
          <w:tcPr>
            <w:tcW w:w="548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5480" w:type="dxa"/>
            <w:vAlign w:val="bottom"/>
          </w:tcPr>
          <w:p>
            <w:pPr>
              <w:ind w:left="520"/>
              <w:spacing w:after="0"/>
              <w:rPr>
                <w:sz w:val="20"/>
                <w:szCs w:val="20"/>
                <w:color w:val="auto"/>
              </w:rPr>
            </w:pPr>
            <w:r>
              <w:rPr>
                <w:rFonts w:ascii="Courier New" w:cs="Courier New" w:eastAsia="Courier New" w:hAnsi="Courier New"/>
                <w:sz w:val="12"/>
                <w:szCs w:val="12"/>
                <w:color w:val="auto"/>
              </w:rPr>
              <w:t>CASH AND CASH EQUIVALENTS - END OF PERIOD</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61,746</w:t>
            </w:r>
          </w:p>
        </w:tc>
      </w:tr>
      <w:tr>
        <w:trPr>
          <w:trHeight w:val="142"/>
        </w:trPr>
        <w:tc>
          <w:tcPr>
            <w:tcW w:w="548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5480" w:type="dxa"/>
            <w:vAlign w:val="bottom"/>
          </w:tcPr>
          <w:p>
            <w:pPr>
              <w:spacing w:after="0"/>
              <w:rPr>
                <w:sz w:val="20"/>
                <w:szCs w:val="20"/>
                <w:color w:val="auto"/>
              </w:rPr>
            </w:pPr>
            <w:r>
              <w:rPr>
                <w:rFonts w:ascii="Courier New" w:cs="Courier New" w:eastAsia="Courier New" w:hAnsi="Courier New"/>
                <w:sz w:val="12"/>
                <w:szCs w:val="12"/>
                <w:color w:val="auto"/>
              </w:rPr>
              <w:t>NON-CASH ACTIVITIES</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83"/>
        </w:trPr>
        <w:tc>
          <w:tcPr>
            <w:tcW w:w="5480" w:type="dxa"/>
            <w:vAlign w:val="bottom"/>
          </w:tcPr>
          <w:p>
            <w:pPr>
              <w:ind w:left="220"/>
              <w:spacing w:after="0"/>
              <w:rPr>
                <w:sz w:val="20"/>
                <w:szCs w:val="20"/>
                <w:color w:val="auto"/>
              </w:rPr>
            </w:pPr>
            <w:r>
              <w:rPr>
                <w:rFonts w:ascii="Courier New" w:cs="Courier New" w:eastAsia="Courier New" w:hAnsi="Courier New"/>
                <w:sz w:val="12"/>
                <w:szCs w:val="12"/>
                <w:color w:val="auto"/>
              </w:rPr>
              <w:t>INVESTMENTS IN PROPERTY AND EQUIPMENT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31,258</w:t>
            </w:r>
          </w:p>
        </w:tc>
      </w:tr>
      <w:tr>
        <w:trPr>
          <w:trHeight w:val="142"/>
        </w:trPr>
        <w:tc>
          <w:tcPr>
            <w:tcW w:w="548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5480" w:type="dxa"/>
            <w:vAlign w:val="bottom"/>
          </w:tcPr>
          <w:p>
            <w:pPr>
              <w:ind w:left="220"/>
              <w:spacing w:after="0"/>
              <w:rPr>
                <w:sz w:val="20"/>
                <w:szCs w:val="20"/>
                <w:color w:val="auto"/>
              </w:rPr>
            </w:pPr>
            <w:r>
              <w:rPr>
                <w:rFonts w:ascii="Courier New" w:cs="Courier New" w:eastAsia="Courier New" w:hAnsi="Courier New"/>
                <w:sz w:val="12"/>
                <w:szCs w:val="12"/>
                <w:color w:val="auto"/>
              </w:rPr>
              <w:t>STOCK-BASED COMPENSATION RELATED TO</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2"/>
        </w:trPr>
        <w:tc>
          <w:tcPr>
            <w:tcW w:w="5480" w:type="dxa"/>
            <w:vAlign w:val="bottom"/>
          </w:tcPr>
          <w:p>
            <w:pPr>
              <w:ind w:left="360"/>
              <w:spacing w:after="0"/>
              <w:rPr>
                <w:sz w:val="20"/>
                <w:szCs w:val="20"/>
                <w:color w:val="auto"/>
              </w:rPr>
            </w:pPr>
            <w:r>
              <w:rPr>
                <w:rFonts w:ascii="Courier New" w:cs="Courier New" w:eastAsia="Courier New" w:hAnsi="Courier New"/>
                <w:sz w:val="12"/>
                <w:szCs w:val="12"/>
                <w:color w:val="auto"/>
              </w:rPr>
              <w:t>THE FACILITY AGREEMENT WITH THE BANKS</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4,146</w:t>
            </w:r>
          </w:p>
        </w:tc>
      </w:tr>
      <w:tr>
        <w:trPr>
          <w:trHeight w:val="142"/>
        </w:trPr>
        <w:tc>
          <w:tcPr>
            <w:tcW w:w="548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5480" w:type="dxa"/>
            <w:vAlign w:val="bottom"/>
          </w:tcPr>
          <w:p>
            <w:pPr>
              <w:ind w:left="220"/>
              <w:spacing w:after="0"/>
              <w:rPr>
                <w:sz w:val="20"/>
                <w:szCs w:val="20"/>
                <w:color w:val="auto"/>
              </w:rPr>
            </w:pPr>
            <w:r>
              <w:rPr>
                <w:rFonts w:ascii="Courier New" w:cs="Courier New" w:eastAsia="Courier New" w:hAnsi="Courier New"/>
                <w:sz w:val="12"/>
                <w:szCs w:val="12"/>
                <w:color w:val="auto"/>
              </w:rPr>
              <w:t>STOCK-BASED COMPENSATION RELATED TO RIGHTS OFFERED</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2"/>
        </w:trPr>
        <w:tc>
          <w:tcPr>
            <w:tcW w:w="5480" w:type="dxa"/>
            <w:vAlign w:val="bottom"/>
          </w:tcPr>
          <w:p>
            <w:pPr>
              <w:ind w:left="360"/>
              <w:spacing w:after="0"/>
              <w:rPr>
                <w:sz w:val="20"/>
                <w:szCs w:val="20"/>
                <w:color w:val="auto"/>
              </w:rPr>
            </w:pPr>
            <w:r>
              <w:rPr>
                <w:rFonts w:ascii="Courier New" w:cs="Courier New" w:eastAsia="Courier New" w:hAnsi="Courier New"/>
                <w:sz w:val="12"/>
                <w:szCs w:val="12"/>
                <w:color w:val="auto"/>
              </w:rPr>
              <w:t>TO EMPLOYEES</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548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5480" w:type="dxa"/>
            <w:vAlign w:val="bottom"/>
          </w:tcPr>
          <w:p>
            <w:pPr>
              <w:ind w:left="220"/>
              <w:spacing w:after="0"/>
              <w:rPr>
                <w:sz w:val="20"/>
                <w:szCs w:val="20"/>
                <w:color w:val="auto"/>
              </w:rPr>
            </w:pPr>
            <w:r>
              <w:rPr>
                <w:rFonts w:ascii="Courier New" w:cs="Courier New" w:eastAsia="Courier New" w:hAnsi="Courier New"/>
                <w:sz w:val="12"/>
                <w:szCs w:val="12"/>
                <w:color w:val="auto"/>
              </w:rPr>
              <w:t>INVESTMENTS IN OTHER ASSETS</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548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5480" w:type="dxa"/>
            <w:vAlign w:val="bottom"/>
          </w:tcPr>
          <w:p>
            <w:pPr>
              <w:ind w:left="220"/>
              <w:spacing w:after="0"/>
              <w:rPr>
                <w:sz w:val="20"/>
                <w:szCs w:val="20"/>
                <w:color w:val="auto"/>
              </w:rPr>
            </w:pPr>
            <w:r>
              <w:rPr>
                <w:rFonts w:ascii="Courier New" w:cs="Courier New" w:eastAsia="Courier New" w:hAnsi="Courier New"/>
                <w:sz w:val="12"/>
                <w:szCs w:val="12"/>
                <w:color w:val="auto"/>
              </w:rPr>
              <w:t>CONVERSION OF LONG-TERM LIABILITY IN RESPECT OF CUSTOMERS' ADVANCES</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2"/>
        </w:trPr>
        <w:tc>
          <w:tcPr>
            <w:tcW w:w="5480" w:type="dxa"/>
            <w:vAlign w:val="bottom"/>
          </w:tcPr>
          <w:p>
            <w:pPr>
              <w:ind w:left="360"/>
              <w:spacing w:after="0"/>
              <w:rPr>
                <w:sz w:val="20"/>
                <w:szCs w:val="20"/>
                <w:color w:val="auto"/>
              </w:rPr>
            </w:pPr>
            <w:r>
              <w:rPr>
                <w:rFonts w:ascii="Courier New" w:cs="Courier New" w:eastAsia="Courier New" w:hAnsi="Courier New"/>
                <w:sz w:val="12"/>
                <w:szCs w:val="12"/>
                <w:color w:val="auto"/>
              </w:rPr>
              <w:t>TO SHARE CAPITAL</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5,972</w:t>
            </w:r>
          </w:p>
        </w:tc>
      </w:tr>
      <w:tr>
        <w:trPr>
          <w:trHeight w:val="142"/>
        </w:trPr>
        <w:tc>
          <w:tcPr>
            <w:tcW w:w="548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5480" w:type="dxa"/>
            <w:vAlign w:val="bottom"/>
          </w:tcPr>
          <w:p>
            <w:pPr>
              <w:ind w:left="220"/>
              <w:spacing w:after="0"/>
              <w:rPr>
                <w:sz w:val="20"/>
                <w:szCs w:val="20"/>
                <w:color w:val="auto"/>
              </w:rPr>
            </w:pPr>
            <w:r>
              <w:rPr>
                <w:rFonts w:ascii="Courier New" w:cs="Courier New" w:eastAsia="Courier New" w:hAnsi="Courier New"/>
                <w:sz w:val="12"/>
                <w:szCs w:val="12"/>
                <w:color w:val="auto"/>
              </w:rPr>
              <w:t>CONVERSION OF CONVERTIBLE DEBENTURES TO SHARES</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9,392</w:t>
            </w:r>
          </w:p>
        </w:tc>
      </w:tr>
      <w:tr>
        <w:trPr>
          <w:trHeight w:val="142"/>
        </w:trPr>
        <w:tc>
          <w:tcPr>
            <w:tcW w:w="548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5480" w:type="dxa"/>
            <w:vAlign w:val="bottom"/>
          </w:tcPr>
          <w:p>
            <w:pPr>
              <w:ind w:left="220"/>
              <w:spacing w:after="0"/>
              <w:rPr>
                <w:sz w:val="20"/>
                <w:szCs w:val="20"/>
                <w:color w:val="auto"/>
              </w:rPr>
            </w:pPr>
            <w:r>
              <w:rPr>
                <w:rFonts w:ascii="Courier New" w:cs="Courier New" w:eastAsia="Courier New" w:hAnsi="Courier New"/>
                <w:sz w:val="12"/>
                <w:szCs w:val="12"/>
                <w:color w:val="auto"/>
              </w:rPr>
              <w:t>CONVERSION OF LONG-TERM DEBT TO CAPITAL NOTES</w:t>
            </w:r>
          </w:p>
        </w:tc>
        <w:tc>
          <w:tcPr>
            <w:tcW w:w="4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76,401</w:t>
            </w:r>
          </w:p>
        </w:tc>
      </w:tr>
      <w:tr>
        <w:trPr>
          <w:trHeight w:val="142"/>
        </w:trPr>
        <w:tc>
          <w:tcPr>
            <w:tcW w:w="548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5480" w:type="dxa"/>
            <w:vAlign w:val="bottom"/>
          </w:tcPr>
          <w:p>
            <w:pPr>
              <w:ind w:left="220"/>
              <w:spacing w:after="0"/>
              <w:rPr>
                <w:sz w:val="20"/>
                <w:szCs w:val="20"/>
                <w:color w:val="auto"/>
              </w:rPr>
            </w:pPr>
            <w:r>
              <w:rPr>
                <w:rFonts w:ascii="Courier New" w:cs="Courier New" w:eastAsia="Courier New" w:hAnsi="Courier New"/>
                <w:sz w:val="12"/>
                <w:szCs w:val="12"/>
                <w:color w:val="auto"/>
              </w:rPr>
              <w:t>PROCEEDS RECEIVABLES RELATED PUBLIC OFFERING</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548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5480" w:type="dxa"/>
            <w:vAlign w:val="bottom"/>
          </w:tcPr>
          <w:p>
            <w:pPr>
              <w:spacing w:after="0"/>
              <w:rPr>
                <w:sz w:val="20"/>
                <w:szCs w:val="20"/>
                <w:color w:val="auto"/>
              </w:rPr>
            </w:pPr>
            <w:r>
              <w:rPr>
                <w:rFonts w:ascii="Courier New" w:cs="Courier New" w:eastAsia="Courier New" w:hAnsi="Courier New"/>
                <w:sz w:val="12"/>
                <w:szCs w:val="12"/>
                <w:color w:val="auto"/>
              </w:rPr>
              <w:t>SUPPLEMENTAL DISCLOSURE OF CASH FLOW INFORMATION</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83"/>
        </w:trPr>
        <w:tc>
          <w:tcPr>
            <w:tcW w:w="5480" w:type="dxa"/>
            <w:vAlign w:val="bottom"/>
          </w:tcPr>
          <w:p>
            <w:pPr>
              <w:ind w:left="220"/>
              <w:spacing w:after="0"/>
              <w:rPr>
                <w:sz w:val="20"/>
                <w:szCs w:val="20"/>
                <w:color w:val="auto"/>
              </w:rPr>
            </w:pPr>
            <w:r>
              <w:rPr>
                <w:rFonts w:ascii="Courier New" w:cs="Courier New" w:eastAsia="Courier New" w:hAnsi="Courier New"/>
                <w:sz w:val="12"/>
                <w:szCs w:val="12"/>
                <w:color w:val="auto"/>
              </w:rPr>
              <w:t>CASH PAID DURING THE PERIOD FOR INTEREST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28,611</w:t>
            </w:r>
          </w:p>
        </w:tc>
      </w:tr>
      <w:tr>
        <w:trPr>
          <w:trHeight w:val="142"/>
        </w:trPr>
        <w:tc>
          <w:tcPr>
            <w:tcW w:w="548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5480" w:type="dxa"/>
            <w:vAlign w:val="bottom"/>
          </w:tcPr>
          <w:p>
            <w:pPr>
              <w:ind w:left="220"/>
              <w:spacing w:after="0"/>
              <w:rPr>
                <w:sz w:val="20"/>
                <w:szCs w:val="20"/>
                <w:color w:val="auto"/>
              </w:rPr>
            </w:pPr>
            <w:r>
              <w:rPr>
                <w:rFonts w:ascii="Courier New" w:cs="Courier New" w:eastAsia="Courier New" w:hAnsi="Courier New"/>
                <w:sz w:val="12"/>
                <w:szCs w:val="12"/>
                <w:color w:val="auto"/>
              </w:rPr>
              <w:t>CASH PAID DURING THE PERIOD FOR INCOME TAXES</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126</w:t>
            </w:r>
          </w:p>
        </w:tc>
      </w:tr>
    </w:tbl>
    <w:p>
      <w:pPr>
        <w:spacing w:after="0" w:line="3" w:lineRule="exact"/>
        <w:rPr>
          <w:sz w:val="20"/>
          <w:szCs w:val="20"/>
          <w:color w:val="auto"/>
        </w:rPr>
      </w:pPr>
    </w:p>
    <w:p>
      <w:pPr>
        <w:ind w:left="5820"/>
        <w:spacing w:after="0"/>
        <w:rPr>
          <w:sz w:val="20"/>
          <w:szCs w:val="20"/>
          <w:color w:val="auto"/>
        </w:rPr>
      </w:pPr>
      <w:r>
        <w:rPr>
          <w:rFonts w:ascii="Courier New" w:cs="Courier New" w:eastAsia="Courier New" w:hAnsi="Courier New"/>
          <w:sz w:val="12"/>
          <w:szCs w:val="12"/>
          <w:color w:val="auto"/>
        </w:rPr>
        <w: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CONDENSED INTERIM CONSOLIDATED FINANCIAL STATEMENTS.</w:t>
      </w:r>
    </w:p>
    <w:p>
      <w:pPr>
        <w:spacing w:after="0" w:line="200" w:lineRule="exact"/>
        <w:rPr>
          <w:sz w:val="20"/>
          <w:szCs w:val="20"/>
          <w:color w:val="auto"/>
        </w:rPr>
      </w:pPr>
    </w:p>
    <w:p>
      <w:pPr>
        <w:spacing w:after="0" w:line="230"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- 4 -</w:t>
      </w:r>
    </w:p>
    <w:p>
      <w:pPr>
        <w:spacing w:after="0" w:line="200" w:lineRule="exact"/>
        <w:rPr>
          <w:sz w:val="20"/>
          <w:szCs w:val="20"/>
          <w:color w:val="auto"/>
        </w:rPr>
      </w:pPr>
    </w:p>
    <w:p>
      <w:pPr>
        <w:spacing w:after="0" w:line="211" w:lineRule="exact"/>
        <w:rPr>
          <w:sz w:val="20"/>
          <w:szCs w:val="20"/>
          <w:color w:val="auto"/>
        </w:rPr>
      </w:pPr>
    </w:p>
    <w:p>
      <w:pPr>
        <w:jc w:val="center"/>
        <w:ind w:right="72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720"/>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740" w:right="1400" w:firstLine="515"/>
        <w:spacing w:after="0" w:line="253" w:lineRule="auto"/>
        <w:rPr>
          <w:sz w:val="20"/>
          <w:szCs w:val="20"/>
          <w:color w:val="auto"/>
        </w:rPr>
      </w:pPr>
      <w:r>
        <w:rPr>
          <w:rFonts w:ascii="Courier New" w:cs="Courier New" w:eastAsia="Courier New" w:hAnsi="Courier New"/>
          <w:sz w:val="12"/>
          <w:szCs w:val="12"/>
          <w:color w:val="auto"/>
        </w:rPr>
        <w:t>FINANCIAL STATEMENTS AS OF SEPTEMBER 30, 2006 (dollars in thousands, except share data and per share data)</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w:t>
      </w:r>
    </w:p>
    <w:p>
      <w:pPr>
        <w:spacing w:after="0" w:line="147" w:lineRule="exact"/>
        <w:rPr>
          <w:sz w:val="20"/>
          <w:szCs w:val="20"/>
          <w:color w:val="auto"/>
        </w:rPr>
      </w:pPr>
    </w:p>
    <w:p>
      <w:pPr>
        <w:ind w:left="740" w:hanging="376"/>
        <w:spacing w:after="0"/>
        <w:tabs>
          <w:tab w:leader="none" w:pos="74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w:t>
      </w:r>
    </w:p>
    <w:p>
      <w:pPr>
        <w:spacing w:after="0" w:line="147" w:lineRule="exact"/>
        <w:rPr>
          <w:rFonts w:ascii="Courier New" w:cs="Courier New" w:eastAsia="Courier New" w:hAnsi="Courier New"/>
          <w:sz w:val="12"/>
          <w:szCs w:val="12"/>
          <w:color w:val="auto"/>
        </w:rPr>
      </w:pPr>
    </w:p>
    <w:p>
      <w:pPr>
        <w:ind w:left="1100" w:right="660" w:hanging="368"/>
        <w:spacing w:after="0" w:line="250" w:lineRule="auto"/>
        <w:tabs>
          <w:tab w:leader="none" w:pos="1100" w:val="left"/>
        </w:tabs>
        <w:numPr>
          <w:ilvl w:val="1"/>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unaudited condensed interim consolidated financial statements as of September 30, 2006 and for the nine months and three months then ended ("interim financial statements") of Tower Semiconductor Ltd. and subsidiary ("the Company") should be read in conjunction with the audited consolidated financial statements of the Company as of December 31, 2005 and for the year then ended, including the notes thereto. In the opinion of management, the interim financial statements include all adjustments necessary for a fair presentation of the financial position and results of operations as of the date and for the interim periods presented. The results of operations for the interim periods are not necessarily indicative of the results to be expected on a full-year basis.</w:t>
      </w:r>
    </w:p>
    <w:p>
      <w:pPr>
        <w:spacing w:after="0" w:line="282" w:lineRule="exact"/>
        <w:rPr>
          <w:rFonts w:ascii="Courier New" w:cs="Courier New" w:eastAsia="Courier New" w:hAnsi="Courier New"/>
          <w:sz w:val="12"/>
          <w:szCs w:val="12"/>
          <w:color w:val="auto"/>
        </w:rPr>
      </w:pPr>
    </w:p>
    <w:p>
      <w:pPr>
        <w:ind w:left="1100" w:right="660" w:hanging="368"/>
        <w:spacing w:after="0" w:line="250" w:lineRule="auto"/>
        <w:tabs>
          <w:tab w:leader="none" w:pos="1100" w:val="left"/>
        </w:tabs>
        <w:numPr>
          <w:ilvl w:val="1"/>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interim financial statements have been prepared in conformity with generally accepted accounting principles ("GAAP") in Israel ("Israeli GAAP"), for interim financial statement, which differ in certain respects from GAAP in the United States of America ("U.S. GAAP"), as indicated in Note 5.</w:t>
      </w:r>
    </w:p>
    <w:p>
      <w:pPr>
        <w:spacing w:after="0" w:line="141" w:lineRule="exact"/>
        <w:rPr>
          <w:rFonts w:ascii="Courier New" w:cs="Courier New" w:eastAsia="Courier New" w:hAnsi="Courier New"/>
          <w:sz w:val="12"/>
          <w:szCs w:val="12"/>
          <w:color w:val="auto"/>
        </w:rPr>
      </w:pPr>
    </w:p>
    <w:p>
      <w:pPr>
        <w:ind w:left="1100" w:right="660"/>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accounting principles applied in the preparation of these interim financial statements are consistent with those principles applied in the preparation of the most recent annual audited financial statements, except for the accounting principles detailed in paragraph 3 below.</w:t>
      </w:r>
    </w:p>
    <w:p>
      <w:pPr>
        <w:spacing w:after="0" w:line="141" w:lineRule="exact"/>
        <w:rPr>
          <w:rFonts w:ascii="Courier New" w:cs="Courier New" w:eastAsia="Courier New" w:hAnsi="Courier New"/>
          <w:sz w:val="12"/>
          <w:szCs w:val="12"/>
          <w:color w:val="auto"/>
        </w:rPr>
      </w:pPr>
    </w:p>
    <w:p>
      <w:pPr>
        <w:ind w:left="1100" w:right="1180" w:hanging="368"/>
        <w:spacing w:after="0" w:line="253" w:lineRule="auto"/>
        <w:tabs>
          <w:tab w:leader="none" w:pos="1100" w:val="left"/>
        </w:tabs>
        <w:numPr>
          <w:ilvl w:val="1"/>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w:t>
      </w:r>
    </w:p>
    <w:p>
      <w:pPr>
        <w:spacing w:after="0" w:line="138" w:lineRule="exact"/>
        <w:rPr>
          <w:rFonts w:ascii="Courier New" w:cs="Courier New" w:eastAsia="Courier New" w:hAnsi="Courier New"/>
          <w:sz w:val="12"/>
          <w:szCs w:val="12"/>
          <w:color w:val="auto"/>
        </w:rPr>
      </w:pPr>
    </w:p>
    <w:p>
      <w:pPr>
        <w:ind w:left="1460" w:hanging="360"/>
        <w:spacing w:after="0"/>
        <w:tabs>
          <w:tab w:leader="none" w:pos="1460" w:val="left"/>
        </w:tabs>
        <w:numPr>
          <w:ilvl w:val="2"/>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21 "EARNINGS PER SHARE"</w:t>
      </w:r>
    </w:p>
    <w:p>
      <w:pPr>
        <w:spacing w:after="0" w:line="147" w:lineRule="exact"/>
        <w:rPr>
          <w:rFonts w:ascii="Courier New" w:cs="Courier New" w:eastAsia="Courier New" w:hAnsi="Courier New"/>
          <w:sz w:val="12"/>
          <w:szCs w:val="12"/>
          <w:color w:val="auto"/>
        </w:rPr>
      </w:pPr>
    </w:p>
    <w:p>
      <w:pPr>
        <w:ind w:left="1460" w:right="940"/>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February 2006, the Israeli Accounting Standards Board approved for publication Accounting Standard No. 21, "Earnings Per Share" ("Standard No. 21").</w:t>
      </w:r>
    </w:p>
    <w:p>
      <w:pPr>
        <w:spacing w:after="0" w:line="139" w:lineRule="exact"/>
        <w:rPr>
          <w:rFonts w:ascii="Courier New" w:cs="Courier New" w:eastAsia="Courier New" w:hAnsi="Courier New"/>
          <w:sz w:val="12"/>
          <w:szCs w:val="12"/>
          <w:color w:val="auto"/>
        </w:rPr>
      </w:pPr>
    </w:p>
    <w:p>
      <w:pPr>
        <w:jc w:val="both"/>
        <w:ind w:left="1460" w:right="660"/>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With the initial adoption of Standard No. 21, Opinion No. 55 of the Institute of Certified Public Accountants in Israel - Earnings per share is cancelled.</w:t>
      </w:r>
    </w:p>
    <w:p>
      <w:pPr>
        <w:spacing w:after="0" w:line="139" w:lineRule="exact"/>
        <w:rPr>
          <w:rFonts w:ascii="Courier New" w:cs="Courier New" w:eastAsia="Courier New" w:hAnsi="Courier New"/>
          <w:sz w:val="12"/>
          <w:szCs w:val="12"/>
          <w:color w:val="auto"/>
        </w:rPr>
      </w:pPr>
    </w:p>
    <w:p>
      <w:pPr>
        <w:ind w:left="1460" w:right="660"/>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Standard No. 21 prescribes that an entity shall calculate basic earnings per share amounts for profit or loss attributable to ordinary equity holders of the entity. The basic earnings per share shall be calculated by dividing profit or loss attributable to ordinary equity holders of the entity (the numerator) by the weighted average number of ordinary shares outstanding (the denominator) during the reported period. For the purpose of calculating diluted earnings per share, an entity shall adjust profit or loss attributable to ordinary equity holders of the entity, and the weighted average number of shares outstanding, for the effects of all dilutive potential ordinary shares.</w:t>
      </w:r>
    </w:p>
    <w:p>
      <w:pPr>
        <w:spacing w:after="0" w:line="282" w:lineRule="exact"/>
        <w:rPr>
          <w:rFonts w:ascii="Courier New" w:cs="Courier New" w:eastAsia="Courier New" w:hAnsi="Courier New"/>
          <w:sz w:val="12"/>
          <w:szCs w:val="12"/>
          <w:color w:val="auto"/>
        </w:rPr>
      </w:pPr>
    </w:p>
    <w:p>
      <w:pPr>
        <w:ind w:left="2860" w:hanging="141"/>
        <w:spacing w:after="0"/>
        <w:tabs>
          <w:tab w:leader="none" w:pos="2860" w:val="left"/>
        </w:tabs>
        <w:numPr>
          <w:ilvl w:val="3"/>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5 -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2"/>
                <w:szCs w:val="12"/>
                <w:color w:val="auto"/>
              </w:rPr>
            </w:pP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550</w:t>
            </w:r>
          </w:p>
        </w:tc>
        <w:tc>
          <w:tcPr>
            <w:tcW w:w="300" w:type="dxa"/>
            <w:vAlign w:val="bottom"/>
          </w:tcPr>
          <w:p>
            <w:pPr>
              <w:spacing w:after="0"/>
              <w:rPr>
                <w:sz w:val="12"/>
                <w:szCs w:val="12"/>
                <w:color w:val="auto"/>
              </w:rPr>
            </w:pP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10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13,360</w:t>
            </w:r>
          </w:p>
        </w:tc>
        <w:tc>
          <w:tcPr>
            <w:tcW w:w="300" w:type="dxa"/>
            <w:vAlign w:val="bottom"/>
          </w:tcPr>
          <w:p>
            <w:pPr>
              <w:spacing w:after="0"/>
              <w:rPr>
                <w:sz w:val="12"/>
                <w:szCs w:val="12"/>
                <w:color w:val="auto"/>
              </w:rPr>
            </w:pP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6,794</w:t>
            </w:r>
          </w:p>
        </w:tc>
        <w:tc>
          <w:tcPr>
            <w:tcW w:w="300" w:type="dxa"/>
            <w:vAlign w:val="bottom"/>
          </w:tcPr>
          <w:p>
            <w:pPr>
              <w:spacing w:after="0"/>
              <w:rPr>
                <w:sz w:val="12"/>
                <w:szCs w:val="12"/>
                <w:color w:val="auto"/>
              </w:rPr>
            </w:pP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13,360</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21,103</w:t>
            </w:r>
          </w:p>
        </w:tc>
      </w:tr>
      <w:tr>
        <w:trPr>
          <w:trHeight w:val="142"/>
        </w:trPr>
        <w:tc>
          <w:tcPr>
            <w:tcW w:w="10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2"/>
                <w:szCs w:val="12"/>
                <w:color w:val="auto"/>
              </w:rPr>
            </w:pP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2"/>
                <w:szCs w:val="12"/>
                <w:color w:val="auto"/>
              </w:rPr>
            </w:pP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92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w w:val="98"/>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10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13,360</w:t>
            </w:r>
          </w:p>
        </w:tc>
        <w:tc>
          <w:tcPr>
            <w:tcW w:w="300" w:type="dxa"/>
            <w:vAlign w:val="bottom"/>
          </w:tcPr>
          <w:p>
            <w:pPr>
              <w:spacing w:after="0"/>
              <w:rPr>
                <w:sz w:val="12"/>
                <w:szCs w:val="12"/>
                <w:color w:val="auto"/>
              </w:rPr>
            </w:pP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144,281</w:t>
            </w:r>
          </w:p>
        </w:tc>
        <w:tc>
          <w:tcPr>
            <w:tcW w:w="300" w:type="dxa"/>
            <w:vAlign w:val="bottom"/>
          </w:tcPr>
          <w:p>
            <w:pPr>
              <w:spacing w:after="0"/>
              <w:rPr>
                <w:sz w:val="12"/>
                <w:szCs w:val="12"/>
                <w:color w:val="auto"/>
              </w:rPr>
            </w:pP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13,360</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46,189</w:t>
            </w:r>
          </w:p>
        </w:tc>
      </w:tr>
      <w:tr>
        <w:trPr>
          <w:trHeight w:val="142"/>
        </w:trPr>
        <w:tc>
          <w:tcPr>
            <w:tcW w:w="92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w w:val="98"/>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100" w:type="dxa"/>
            <w:vAlign w:val="bottom"/>
          </w:tcPr>
          <w:p>
            <w:pPr>
              <w:spacing w:after="0"/>
              <w:rPr>
                <w:sz w:val="24"/>
                <w:szCs w:val="24"/>
                <w:color w:val="auto"/>
              </w:rPr>
            </w:pPr>
          </w:p>
        </w:tc>
        <w:tc>
          <w:tcPr>
            <w:tcW w:w="8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(15,945)</w:t>
            </w:r>
          </w:p>
        </w:tc>
        <w:tc>
          <w:tcPr>
            <w:tcW w:w="300" w:type="dxa"/>
            <w:vAlign w:val="bottom"/>
          </w:tcPr>
          <w:p>
            <w:pPr>
              <w:spacing w:after="0"/>
              <w:rPr>
                <w:sz w:val="24"/>
                <w:szCs w:val="24"/>
                <w:color w:val="auto"/>
              </w:rPr>
            </w:pP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53,165</w:t>
            </w:r>
          </w:p>
        </w:tc>
        <w:tc>
          <w:tcPr>
            <w:tcW w:w="300" w:type="dxa"/>
            <w:vAlign w:val="bottom"/>
          </w:tcPr>
          <w:p>
            <w:pPr>
              <w:spacing w:after="0"/>
              <w:rPr>
                <w:sz w:val="24"/>
                <w:szCs w:val="24"/>
                <w:color w:val="auto"/>
              </w:rPr>
            </w:pP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(11,740)</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(20,327)</w:t>
            </w:r>
          </w:p>
        </w:tc>
      </w:tr>
      <w:tr>
        <w:trPr>
          <w:trHeight w:val="142"/>
        </w:trPr>
        <w:tc>
          <w:tcPr>
            <w:tcW w:w="10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27,664</w:t>
            </w:r>
          </w:p>
        </w:tc>
        <w:tc>
          <w:tcPr>
            <w:tcW w:w="300" w:type="dxa"/>
            <w:vAlign w:val="bottom"/>
          </w:tcPr>
          <w:p>
            <w:pPr>
              <w:spacing w:after="0"/>
              <w:rPr>
                <w:sz w:val="12"/>
                <w:szCs w:val="12"/>
                <w:color w:val="auto"/>
              </w:rPr>
            </w:pP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8,581</w:t>
            </w:r>
          </w:p>
        </w:tc>
        <w:tc>
          <w:tcPr>
            <w:tcW w:w="300" w:type="dxa"/>
            <w:vAlign w:val="bottom"/>
          </w:tcPr>
          <w:p>
            <w:pPr>
              <w:spacing w:after="0"/>
              <w:rPr>
                <w:sz w:val="12"/>
                <w:szCs w:val="12"/>
                <w:color w:val="auto"/>
              </w:rPr>
            </w:pP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23,459</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27,664</w:t>
            </w:r>
          </w:p>
        </w:tc>
      </w:tr>
      <w:tr>
        <w:trPr>
          <w:trHeight w:val="142"/>
        </w:trPr>
        <w:tc>
          <w:tcPr>
            <w:tcW w:w="92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w w:val="98"/>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11,719</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61,746</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11,719</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7,337</w:t>
            </w:r>
          </w:p>
        </w:tc>
      </w:tr>
      <w:tr>
        <w:trPr>
          <w:trHeight w:val="142"/>
        </w:trPr>
        <w:tc>
          <w:tcPr>
            <w:tcW w:w="92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w w:val="98"/>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566"/>
        </w:trPr>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11,313</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25,970</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1,243</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12,999</w:t>
            </w:r>
          </w:p>
        </w:tc>
      </w:tr>
      <w:tr>
        <w:trPr>
          <w:trHeight w:val="142"/>
        </w:trPr>
        <w:tc>
          <w:tcPr>
            <w:tcW w:w="92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w w:val="98"/>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2,793</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4,146</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2,793</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2,793</w:t>
            </w:r>
          </w:p>
        </w:tc>
      </w:tr>
      <w:tr>
        <w:trPr>
          <w:trHeight w:val="142"/>
        </w:trPr>
        <w:tc>
          <w:tcPr>
            <w:tcW w:w="92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w w:val="98"/>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448</w:t>
            </w:r>
          </w:p>
        </w:tc>
      </w:tr>
      <w:tr>
        <w:trPr>
          <w:trHeight w:val="142"/>
        </w:trPr>
        <w:tc>
          <w:tcPr>
            <w:tcW w:w="92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w w:val="98"/>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433</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366</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442</w:t>
            </w:r>
          </w:p>
        </w:tc>
      </w:tr>
      <w:tr>
        <w:trPr>
          <w:trHeight w:val="142"/>
        </w:trPr>
        <w:tc>
          <w:tcPr>
            <w:tcW w:w="92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w w:val="98"/>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1,445</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685</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501</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1,794</w:t>
            </w:r>
          </w:p>
        </w:tc>
      </w:tr>
      <w:tr>
        <w:trPr>
          <w:trHeight w:val="142"/>
        </w:trPr>
        <w:tc>
          <w:tcPr>
            <w:tcW w:w="92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w w:val="98"/>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10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551</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92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w w:val="98"/>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10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2"/>
                <w:szCs w:val="12"/>
                <w:color w:val="auto"/>
              </w:rPr>
            </w:pP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76,401</w:t>
            </w:r>
          </w:p>
        </w:tc>
        <w:tc>
          <w:tcPr>
            <w:tcW w:w="300" w:type="dxa"/>
            <w:vAlign w:val="bottom"/>
          </w:tcPr>
          <w:p>
            <w:pPr>
              <w:spacing w:after="0"/>
              <w:rPr>
                <w:sz w:val="12"/>
                <w:szCs w:val="12"/>
                <w:color w:val="auto"/>
              </w:rPr>
            </w:pP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92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w w:val="98"/>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10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 (31,479)</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92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w w:val="98"/>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566"/>
        </w:trPr>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23,999</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7,819</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8,095</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32,805</w:t>
            </w:r>
          </w:p>
        </w:tc>
      </w:tr>
      <w:tr>
        <w:trPr>
          <w:trHeight w:val="142"/>
        </w:trPr>
        <w:tc>
          <w:tcPr>
            <w:tcW w:w="92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w w:val="98"/>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86</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70</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86</w:t>
            </w:r>
          </w:p>
        </w:tc>
      </w:tr>
      <w:tr>
        <w:trPr>
          <w:trHeight w:val="142"/>
        </w:trPr>
        <w:tc>
          <w:tcPr>
            <w:tcW w:w="92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w w:val="98"/>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ectPr>
          <w:pgSz w:w="11900" w:h="16838" w:orient="portrait"/>
          <w:cols w:equalWidth="0" w:num="2">
            <w:col w:w="6540" w:space="380"/>
            <w:col w:w="4040"/>
          </w:cols>
          <w:pgMar w:left="220" w:top="141" w:right="719" w:bottom="17" w:gutter="0" w:footer="0" w:header="0"/>
        </w:sectPr>
      </w:pPr>
    </w:p>
    <w:bookmarkStart w:id="7" w:name="page8"/>
    <w:bookmarkEnd w:id="7"/>
    <w:p>
      <w:pPr>
        <w:spacing w:after="0" w:line="50"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47" w:lineRule="exact"/>
        <w:rPr>
          <w:sz w:val="20"/>
          <w:szCs w:val="20"/>
          <w:color w:val="auto"/>
        </w:rPr>
      </w:pPr>
    </w:p>
    <w:p>
      <w:pPr>
        <w:ind w:left="740" w:hanging="376"/>
        <w:spacing w:after="0"/>
        <w:tabs>
          <w:tab w:leader="none" w:pos="7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 (CONT.)</w:t>
      </w:r>
    </w:p>
    <w:p>
      <w:pPr>
        <w:spacing w:after="0" w:line="147" w:lineRule="exact"/>
        <w:rPr>
          <w:rFonts w:ascii="Courier New" w:cs="Courier New" w:eastAsia="Courier New" w:hAnsi="Courier New"/>
          <w:sz w:val="12"/>
          <w:szCs w:val="12"/>
          <w:color w:val="auto"/>
        </w:rPr>
      </w:pPr>
    </w:p>
    <w:p>
      <w:pPr>
        <w:ind w:left="1100" w:right="4879" w:hanging="368"/>
        <w:spacing w:after="0" w:line="253" w:lineRule="auto"/>
        <w:tabs>
          <w:tab w:leader="none" w:pos="1100" w:val="left"/>
        </w:tabs>
        <w:numPr>
          <w:ilvl w:val="1"/>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8" w:lineRule="exact"/>
        <w:rPr>
          <w:rFonts w:ascii="Courier New" w:cs="Courier New" w:eastAsia="Courier New" w:hAnsi="Courier New"/>
          <w:sz w:val="12"/>
          <w:szCs w:val="12"/>
          <w:color w:val="auto"/>
        </w:rPr>
      </w:pPr>
    </w:p>
    <w:p>
      <w:pPr>
        <w:ind w:left="1460" w:hanging="360"/>
        <w:spacing w:after="0"/>
        <w:tabs>
          <w:tab w:leader="none" w:pos="1460" w:val="left"/>
        </w:tabs>
        <w:numPr>
          <w:ilvl w:val="2"/>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21 "EARNINGS PER SHARE" (CONT.)</w:t>
      </w:r>
    </w:p>
    <w:p>
      <w:pPr>
        <w:spacing w:after="0" w:line="147" w:lineRule="exact"/>
        <w:rPr>
          <w:rFonts w:ascii="Courier New" w:cs="Courier New" w:eastAsia="Courier New" w:hAnsi="Courier New"/>
          <w:sz w:val="12"/>
          <w:szCs w:val="12"/>
          <w:color w:val="auto"/>
        </w:rPr>
      </w:pPr>
    </w:p>
    <w:p>
      <w:pPr>
        <w:ind w:left="146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Standard No. 21 is effective for financial statements for periods commencing January 1, 2006 or thereafter. The adoption of Standard No. 21 is retrospectively applied and comparative earnings per share data for prior periods were adjusted. The loss per share presented in the financial statements for the twelve months ended December 31, 2005 was adjusted from $2.55 to $3.06. No adjustments were required for the other periods presented.</w:t>
      </w:r>
    </w:p>
    <w:p>
      <w:pPr>
        <w:spacing w:after="0" w:line="141" w:lineRule="exact"/>
        <w:rPr>
          <w:rFonts w:ascii="Courier New" w:cs="Courier New" w:eastAsia="Courier New" w:hAnsi="Courier New"/>
          <w:sz w:val="12"/>
          <w:szCs w:val="12"/>
          <w:color w:val="auto"/>
        </w:rPr>
      </w:pPr>
    </w:p>
    <w:p>
      <w:pPr>
        <w:ind w:left="1460" w:right="5099" w:hanging="360"/>
        <w:spacing w:after="0" w:line="253" w:lineRule="auto"/>
        <w:tabs>
          <w:tab w:leader="none" w:pos="1460" w:val="left"/>
        </w:tabs>
        <w:numPr>
          <w:ilvl w:val="2"/>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22 "FINANCIAL INSTRUMENTS: DISCLOSURE AND PRESENTATION"</w:t>
      </w:r>
    </w:p>
    <w:p>
      <w:pPr>
        <w:spacing w:after="0" w:line="138" w:lineRule="exact"/>
        <w:rPr>
          <w:rFonts w:ascii="Courier New" w:cs="Courier New" w:eastAsia="Courier New" w:hAnsi="Courier New"/>
          <w:sz w:val="12"/>
          <w:szCs w:val="12"/>
          <w:color w:val="auto"/>
        </w:rPr>
      </w:pPr>
    </w:p>
    <w:p>
      <w:pPr>
        <w:ind w:left="1460" w:right="441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adopted Accounting Standard No. 22 "Financial Instruments: Disclosure and Presentation" ("Standard No. 22"). The Company issued three series of convertible debentures that are considered compound instruments under Standard No. 22. A compound instrument has to be separated to its components, the equity component and the liability component. The equity component is classified as shareholders' equity and is determined as the excess of the initial fair value over the fair value of the liability component. The standard does not require retroactive application to prior periods.</w:t>
      </w:r>
    </w:p>
    <w:p>
      <w:pPr>
        <w:spacing w:after="0" w:line="141" w:lineRule="exact"/>
        <w:rPr>
          <w:rFonts w:ascii="Courier New" w:cs="Courier New" w:eastAsia="Courier New" w:hAnsi="Courier New"/>
          <w:sz w:val="12"/>
          <w:szCs w:val="12"/>
          <w:color w:val="auto"/>
        </w:rPr>
      </w:pPr>
    </w:p>
    <w:p>
      <w:pPr>
        <w:ind w:left="1460" w:right="4879" w:hanging="360"/>
        <w:spacing w:after="0" w:line="253" w:lineRule="auto"/>
        <w:tabs>
          <w:tab w:leader="none" w:pos="1460" w:val="left"/>
        </w:tabs>
        <w:numPr>
          <w:ilvl w:val="2"/>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29 "ADOPTION OF INTERNATIONAL FINANCIAL REPORTING STANDARDS"</w:t>
      </w:r>
    </w:p>
    <w:p>
      <w:pPr>
        <w:spacing w:after="0" w:line="138" w:lineRule="exact"/>
        <w:rPr>
          <w:rFonts w:ascii="Courier New" w:cs="Courier New" w:eastAsia="Courier New" w:hAnsi="Courier New"/>
          <w:sz w:val="12"/>
          <w:szCs w:val="12"/>
          <w:color w:val="auto"/>
        </w:rPr>
      </w:pPr>
    </w:p>
    <w:p>
      <w:pPr>
        <w:ind w:left="146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July 2006, the Israeli Accounting Standards Board published Accounting Standard No. 29 - "Adoption of International Financial Reporting Standards" - IFRS ("the Standard"). According to this Standard, the financial statements of an entity subject to the Israeli Securities Law and authoritative Regulations thereunder (including dual listed companies), other than foreign corporations , that prepares its financial statements in other than Israeli GAAP as defined by this Law will be required to prepare financial statements in accordance with the IFRS and related interpretations published by the International Accounting Standards Board, for the reporting periods commencing January 1, 2008, including interim periods.</w:t>
      </w:r>
    </w:p>
    <w:p>
      <w:pPr>
        <w:spacing w:after="0" w:line="141" w:lineRule="exact"/>
        <w:rPr>
          <w:rFonts w:ascii="Courier New" w:cs="Courier New" w:eastAsia="Courier New" w:hAnsi="Courier New"/>
          <w:sz w:val="12"/>
          <w:szCs w:val="12"/>
          <w:color w:val="auto"/>
        </w:rPr>
      </w:pPr>
    </w:p>
    <w:p>
      <w:pPr>
        <w:ind w:left="1460" w:right="449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An entity adopting IFRS as of January 1, 2008 and electing to report comparative figures in accordance with the IFRS for only 2007, will be required to prepare opening balance-sheet amounts as of January 1, 2007 based on the IFRS.</w:t>
      </w:r>
    </w:p>
    <w:p>
      <w:pPr>
        <w:spacing w:after="0" w:line="200" w:lineRule="exact"/>
        <w:rPr>
          <w:rFonts w:ascii="Courier New" w:cs="Courier New" w:eastAsia="Courier New" w:hAnsi="Courier New"/>
          <w:sz w:val="12"/>
          <w:szCs w:val="12"/>
          <w:color w:val="auto"/>
        </w:rPr>
      </w:pPr>
    </w:p>
    <w:p>
      <w:pPr>
        <w:spacing w:after="0" w:line="222" w:lineRule="exact"/>
        <w:rPr>
          <w:rFonts w:ascii="Courier New" w:cs="Courier New" w:eastAsia="Courier New" w:hAnsi="Courier New"/>
          <w:sz w:val="12"/>
          <w:szCs w:val="12"/>
          <w:color w:val="auto"/>
        </w:rPr>
      </w:pPr>
    </w:p>
    <w:p>
      <w:pPr>
        <w:ind w:left="2860" w:hanging="141"/>
        <w:spacing w:after="0"/>
        <w:tabs>
          <w:tab w:leader="none" w:pos="2860" w:val="left"/>
        </w:tabs>
        <w:numPr>
          <w:ilvl w:val="3"/>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6 -</w:t>
      </w:r>
    </w:p>
    <w:p>
      <w:pPr>
        <w:spacing w:after="0" w:line="200" w:lineRule="exact"/>
        <w:rPr>
          <w:sz w:val="20"/>
          <w:szCs w:val="20"/>
          <w:color w:val="auto"/>
        </w:rPr>
      </w:pPr>
    </w:p>
    <w:p>
      <w:pPr>
        <w:spacing w:after="0" w:line="21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47" w:lineRule="exact"/>
        <w:rPr>
          <w:sz w:val="20"/>
          <w:szCs w:val="20"/>
          <w:color w:val="auto"/>
        </w:rPr>
      </w:pPr>
    </w:p>
    <w:p>
      <w:pPr>
        <w:ind w:left="740" w:hanging="376"/>
        <w:spacing w:after="0"/>
        <w:tabs>
          <w:tab w:leader="none" w:pos="7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 (CONT.)</w:t>
      </w:r>
    </w:p>
    <w:p>
      <w:pPr>
        <w:spacing w:after="0" w:line="147" w:lineRule="exact"/>
        <w:rPr>
          <w:rFonts w:ascii="Courier New" w:cs="Courier New" w:eastAsia="Courier New" w:hAnsi="Courier New"/>
          <w:sz w:val="12"/>
          <w:szCs w:val="12"/>
          <w:color w:val="auto"/>
        </w:rPr>
      </w:pPr>
    </w:p>
    <w:p>
      <w:pPr>
        <w:ind w:left="1100" w:right="4879" w:hanging="368"/>
        <w:spacing w:after="0" w:line="253" w:lineRule="auto"/>
        <w:tabs>
          <w:tab w:leader="none" w:pos="1100"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8" w:lineRule="exact"/>
        <w:rPr>
          <w:rFonts w:ascii="Courier New" w:cs="Courier New" w:eastAsia="Courier New" w:hAnsi="Courier New"/>
          <w:sz w:val="12"/>
          <w:szCs w:val="12"/>
          <w:color w:val="auto"/>
        </w:rPr>
      </w:pPr>
    </w:p>
    <w:p>
      <w:pPr>
        <w:ind w:left="1460" w:right="4879" w:hanging="360"/>
        <w:spacing w:after="0" w:line="253" w:lineRule="auto"/>
        <w:tabs>
          <w:tab w:leader="none" w:pos="1460" w:val="left"/>
        </w:tabs>
        <w:numPr>
          <w:ilvl w:val="2"/>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29 "ADOPTION OF INTERNATIONAL FINANCIAL REPORTING STANDARDS" (CONT.)</w:t>
      </w:r>
    </w:p>
    <w:p>
      <w:pPr>
        <w:spacing w:after="0" w:line="138" w:lineRule="exact"/>
        <w:rPr>
          <w:rFonts w:ascii="Courier New" w:cs="Courier New" w:eastAsia="Courier New" w:hAnsi="Courier New"/>
          <w:sz w:val="12"/>
          <w:szCs w:val="12"/>
          <w:color w:val="auto"/>
        </w:rPr>
      </w:pPr>
    </w:p>
    <w:p>
      <w:pPr>
        <w:ind w:left="146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Reporting in accordance with the IFRS will be carried out based on the provisions of IFRS No. 1, "First-time Adoption of IFRS Standards", which establishes guidance on implementing and transitioning from financial reporting based on domestic national accounting standards to reporting in accordance with IFRS.</w:t>
      </w:r>
    </w:p>
    <w:p>
      <w:pPr>
        <w:spacing w:after="0" w:line="141" w:lineRule="exact"/>
        <w:rPr>
          <w:rFonts w:ascii="Courier New" w:cs="Courier New" w:eastAsia="Courier New" w:hAnsi="Courier New"/>
          <w:sz w:val="12"/>
          <w:szCs w:val="12"/>
          <w:color w:val="auto"/>
        </w:rPr>
      </w:pPr>
    </w:p>
    <w:p>
      <w:pPr>
        <w:ind w:left="146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IFRS No. 1 supersedes the transitional provisions established in other IFRSs (including those established in former domestic national accounting standards), stating that all IFRSs should be adopted retroactively for the opening balance-sheet amounts. Nevertheless, IFRS No. 1 grants exemptions on certain issues by allowing the alternative of not applying the retroactive application in respect thereof.</w:t>
      </w:r>
    </w:p>
    <w:p>
      <w:pPr>
        <w:spacing w:after="0" w:line="141" w:lineRule="exact"/>
        <w:rPr>
          <w:rFonts w:ascii="Courier New" w:cs="Courier New" w:eastAsia="Courier New" w:hAnsi="Courier New"/>
          <w:sz w:val="12"/>
          <w:szCs w:val="12"/>
          <w:color w:val="auto"/>
        </w:rPr>
      </w:pPr>
    </w:p>
    <w:p>
      <w:pPr>
        <w:ind w:left="1460" w:right="435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Management intends to examine the effect of the transition to IFRS, yet at this stage, is unable to estimate the extent of such conversion on the Company's financial position and results of operations.</w:t>
      </w:r>
    </w:p>
    <w:p>
      <w:pPr>
        <w:spacing w:after="0" w:line="139" w:lineRule="exact"/>
        <w:rPr>
          <w:rFonts w:ascii="Courier New" w:cs="Courier New" w:eastAsia="Courier New" w:hAnsi="Courier New"/>
          <w:sz w:val="12"/>
          <w:szCs w:val="12"/>
          <w:color w:val="auto"/>
        </w:rPr>
      </w:pPr>
    </w:p>
    <w:p>
      <w:pPr>
        <w:ind w:left="1460" w:right="441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Standard No. 29 allows for earlier application in a manner by which applicable entities may convert their financial statements published subsequent to July 31, 2006 to the IFRS. Management has not yet decided whether to early-adopt the IFRS.</w:t>
      </w:r>
    </w:p>
    <w:p>
      <w:pPr>
        <w:spacing w:after="0" w:line="141" w:lineRule="exact"/>
        <w:rPr>
          <w:rFonts w:ascii="Courier New" w:cs="Courier New" w:eastAsia="Courier New" w:hAnsi="Courier New"/>
          <w:sz w:val="12"/>
          <w:szCs w:val="12"/>
          <w:color w:val="auto"/>
        </w:rPr>
      </w:pPr>
    </w:p>
    <w:p>
      <w:pPr>
        <w:ind w:left="1460" w:hanging="360"/>
        <w:spacing w:after="0"/>
        <w:tabs>
          <w:tab w:leader="none" w:pos="1460" w:val="left"/>
        </w:tabs>
        <w:numPr>
          <w:ilvl w:val="2"/>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26 "INVENTORY"</w:t>
      </w:r>
    </w:p>
    <w:p>
      <w:pPr>
        <w:spacing w:after="0" w:line="147" w:lineRule="exact"/>
        <w:rPr>
          <w:rFonts w:ascii="Courier New" w:cs="Courier New" w:eastAsia="Courier New" w:hAnsi="Courier New"/>
          <w:sz w:val="12"/>
          <w:szCs w:val="12"/>
          <w:color w:val="auto"/>
        </w:rPr>
      </w:pPr>
    </w:p>
    <w:p>
      <w:pPr>
        <w:ind w:left="1460" w:right="463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August 2006 the Israeli Accounting Standards Board published Accounting Standard No. 26 - "Inventory" ("the Standard"), which outlines the accounting treatment for inventory.</w:t>
      </w:r>
    </w:p>
    <w:p>
      <w:pPr>
        <w:spacing w:after="0" w:line="139" w:lineRule="exact"/>
        <w:rPr>
          <w:rFonts w:ascii="Courier New" w:cs="Courier New" w:eastAsia="Courier New" w:hAnsi="Courier New"/>
          <w:sz w:val="12"/>
          <w:szCs w:val="12"/>
          <w:color w:val="auto"/>
        </w:rPr>
      </w:pPr>
    </w:p>
    <w:p>
      <w:pPr>
        <w:ind w:left="1460" w:right="449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standard applies to all types of inventory, other than building earmarked for sale and addressed by Accounting Standard No.2 ("Construction of Buildings for Sale"),</w:t>
      </w:r>
    </w:p>
    <w:p>
      <w:pPr>
        <w:sectPr>
          <w:pgSz w:w="11900" w:h="16889" w:orient="portrait"/>
          <w:cols w:equalWidth="0" w:num="1">
            <w:col w:w="10239"/>
          </w:cols>
          <w:pgMar w:left="220" w:top="141" w:right="1440" w:bottom="0" w:gutter="0" w:footer="0" w:header="0"/>
        </w:sectPr>
      </w:pPr>
    </w:p>
    <w:bookmarkStart w:id="8" w:name="page9"/>
    <w:bookmarkEnd w:id="8"/>
    <w:p>
      <w:pPr>
        <w:spacing w:after="0" w:line="24"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inventory of work in progress stemming from performance</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contracts, addressed by Accounting Standard No.4 ("Work</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Based on Performance Contract"), financial instruments and</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biological assets relating to agricultural activity and</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agricultural production during harvest.</w:t>
      </w:r>
    </w:p>
    <w:p>
      <w:pPr>
        <w:spacing w:after="0" w:line="289"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- 7 -</w:t>
      </w:r>
    </w:p>
    <w:p>
      <w:pPr>
        <w:spacing w:after="0" w:line="200" w:lineRule="exact"/>
        <w:rPr>
          <w:sz w:val="20"/>
          <w:szCs w:val="20"/>
          <w:color w:val="auto"/>
        </w:rPr>
      </w:pPr>
    </w:p>
    <w:p>
      <w:pPr>
        <w:spacing w:after="0" w:line="21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47" w:lineRule="exact"/>
        <w:rPr>
          <w:sz w:val="20"/>
          <w:szCs w:val="20"/>
          <w:color w:val="auto"/>
        </w:rPr>
      </w:pPr>
    </w:p>
    <w:p>
      <w:pPr>
        <w:ind w:left="740" w:hanging="376"/>
        <w:spacing w:after="0"/>
        <w:tabs>
          <w:tab w:leader="none" w:pos="7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 (CONT.)</w:t>
      </w:r>
    </w:p>
    <w:p>
      <w:pPr>
        <w:spacing w:after="0" w:line="147" w:lineRule="exact"/>
        <w:rPr>
          <w:rFonts w:ascii="Courier New" w:cs="Courier New" w:eastAsia="Courier New" w:hAnsi="Courier New"/>
          <w:sz w:val="12"/>
          <w:szCs w:val="12"/>
          <w:color w:val="auto"/>
        </w:rPr>
      </w:pPr>
    </w:p>
    <w:p>
      <w:pPr>
        <w:ind w:left="1100" w:right="4879" w:hanging="368"/>
        <w:spacing w:after="0" w:line="253" w:lineRule="auto"/>
        <w:tabs>
          <w:tab w:leader="none" w:pos="1100" w:val="left"/>
        </w:tabs>
        <w:numPr>
          <w:ilvl w:val="1"/>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8" w:lineRule="exact"/>
        <w:rPr>
          <w:rFonts w:ascii="Courier New" w:cs="Courier New" w:eastAsia="Courier New" w:hAnsi="Courier New"/>
          <w:sz w:val="12"/>
          <w:szCs w:val="12"/>
          <w:color w:val="auto"/>
        </w:rPr>
      </w:pPr>
    </w:p>
    <w:p>
      <w:pPr>
        <w:ind w:left="1460" w:hanging="360"/>
        <w:spacing w:after="0"/>
        <w:tabs>
          <w:tab w:leader="none" w:pos="1460" w:val="left"/>
        </w:tabs>
        <w:numPr>
          <w:ilvl w:val="2"/>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26 "INVENTORY" (CONT.)</w:t>
      </w:r>
    </w:p>
    <w:p>
      <w:pPr>
        <w:spacing w:after="0" w:line="147" w:lineRule="exact"/>
        <w:rPr>
          <w:rFonts w:ascii="Courier New" w:cs="Courier New" w:eastAsia="Courier New" w:hAnsi="Courier New"/>
          <w:sz w:val="12"/>
          <w:szCs w:val="12"/>
          <w:color w:val="auto"/>
        </w:rPr>
      </w:pPr>
    </w:p>
    <w:p>
      <w:pPr>
        <w:ind w:left="146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standard establishes, among other things, that inventory should be stated at the lower between cost and net realizable value. Cost is determined by the first in, first out (FIFO) method or by average weighted cost used consistently for all types of inventory of similar nature and uses. In certain circumstances the standard requires cost determination by a specific identification of cost, which includes all purchase and production costs, as well as any other costs incurred in reaching the inventory's present stage.</w:t>
      </w:r>
    </w:p>
    <w:p>
      <w:pPr>
        <w:spacing w:after="0" w:line="282" w:lineRule="exact"/>
        <w:rPr>
          <w:rFonts w:ascii="Courier New" w:cs="Courier New" w:eastAsia="Courier New" w:hAnsi="Courier New"/>
          <w:sz w:val="12"/>
          <w:szCs w:val="12"/>
          <w:color w:val="auto"/>
        </w:rPr>
      </w:pPr>
    </w:p>
    <w:p>
      <w:pPr>
        <w:ind w:left="146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When inventory is acquired on credit incorporating a financing component, the inventory should then be presented at cost equaling purchase cost in cash. The financing component is recognized as a financing expense over the term of the credit period.</w:t>
      </w:r>
    </w:p>
    <w:p>
      <w:pPr>
        <w:spacing w:after="0" w:line="141" w:lineRule="exact"/>
        <w:rPr>
          <w:rFonts w:ascii="Courier New" w:cs="Courier New" w:eastAsia="Courier New" w:hAnsi="Courier New"/>
          <w:sz w:val="12"/>
          <w:szCs w:val="12"/>
          <w:color w:val="auto"/>
        </w:rPr>
      </w:pPr>
    </w:p>
    <w:p>
      <w:pPr>
        <w:ind w:left="146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Any reduction of inventory to net realizable value following impairment as well as any other inventory loss should be expensed during the current period. Subsequent elimination of an impairment write-down that stems from an increase in net realizable value will be allocated to operations during the period in which the elimination took place.</w:t>
      </w:r>
    </w:p>
    <w:p>
      <w:pPr>
        <w:spacing w:after="0" w:line="141" w:lineRule="exact"/>
        <w:rPr>
          <w:rFonts w:ascii="Courier New" w:cs="Courier New" w:eastAsia="Courier New" w:hAnsi="Courier New"/>
          <w:sz w:val="12"/>
          <w:szCs w:val="12"/>
          <w:color w:val="auto"/>
        </w:rPr>
      </w:pPr>
    </w:p>
    <w:p>
      <w:pPr>
        <w:ind w:left="1460" w:right="441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standard will apply to financial statements covering periods beginning January 1, 2007 and onwards and should be implemented retroactively.</w:t>
      </w:r>
    </w:p>
    <w:p>
      <w:pPr>
        <w:spacing w:after="0" w:line="139" w:lineRule="exact"/>
        <w:rPr>
          <w:rFonts w:ascii="Courier New" w:cs="Courier New" w:eastAsia="Courier New" w:hAnsi="Courier New"/>
          <w:sz w:val="12"/>
          <w:szCs w:val="12"/>
          <w:color w:val="auto"/>
        </w:rPr>
      </w:pPr>
    </w:p>
    <w:p>
      <w:pPr>
        <w:ind w:left="1460" w:right="435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Management believes that the standard will not affect the Company's financial position, results of operations and cash flows.</w:t>
      </w:r>
    </w:p>
    <w:p>
      <w:pPr>
        <w:spacing w:after="0" w:line="139" w:lineRule="exact"/>
        <w:rPr>
          <w:rFonts w:ascii="Courier New" w:cs="Courier New" w:eastAsia="Courier New" w:hAnsi="Courier New"/>
          <w:sz w:val="12"/>
          <w:szCs w:val="12"/>
          <w:color w:val="auto"/>
        </w:rPr>
      </w:pPr>
    </w:p>
    <w:p>
      <w:pPr>
        <w:ind w:left="1460" w:hanging="360"/>
        <w:spacing w:after="0"/>
        <w:tabs>
          <w:tab w:leader="none" w:pos="1460" w:val="left"/>
        </w:tabs>
        <w:numPr>
          <w:ilvl w:val="2"/>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27 "FIXED ASSETS"</w:t>
      </w:r>
    </w:p>
    <w:p>
      <w:pPr>
        <w:spacing w:after="0" w:line="147" w:lineRule="exact"/>
        <w:rPr>
          <w:rFonts w:ascii="Courier New" w:cs="Courier New" w:eastAsia="Courier New" w:hAnsi="Courier New"/>
          <w:sz w:val="12"/>
          <w:szCs w:val="12"/>
          <w:color w:val="auto"/>
        </w:rPr>
      </w:pPr>
    </w:p>
    <w:p>
      <w:pPr>
        <w:ind w:left="146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September 2006 the Israeli Accounting Standards Board published Accounting Standard No. 27 ("Fixed Assets"), which establishes the accounting treatment for fixed assets, including recognition of assets, determination of their book value, related depreciation, losses from impairment as well as the disclosure required in the financial statements.</w:t>
      </w:r>
    </w:p>
    <w:p>
      <w:pPr>
        <w:spacing w:after="0" w:line="283" w:lineRule="exact"/>
        <w:rPr>
          <w:rFonts w:ascii="Courier New" w:cs="Courier New" w:eastAsia="Courier New" w:hAnsi="Courier New"/>
          <w:sz w:val="12"/>
          <w:szCs w:val="12"/>
          <w:color w:val="auto"/>
        </w:rPr>
      </w:pPr>
    </w:p>
    <w:p>
      <w:pPr>
        <w:ind w:left="2860" w:hanging="141"/>
        <w:spacing w:after="0"/>
        <w:tabs>
          <w:tab w:leader="none" w:pos="2860" w:val="left"/>
        </w:tabs>
        <w:numPr>
          <w:ilvl w:val="3"/>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8 -</w:t>
      </w:r>
    </w:p>
    <w:p>
      <w:pPr>
        <w:spacing w:after="0" w:line="200" w:lineRule="exact"/>
        <w:rPr>
          <w:sz w:val="20"/>
          <w:szCs w:val="20"/>
          <w:color w:val="auto"/>
        </w:rPr>
      </w:pPr>
    </w:p>
    <w:p>
      <w:pPr>
        <w:spacing w:after="0" w:line="21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47" w:lineRule="exact"/>
        <w:rPr>
          <w:sz w:val="20"/>
          <w:szCs w:val="20"/>
          <w:color w:val="auto"/>
        </w:rPr>
      </w:pPr>
    </w:p>
    <w:p>
      <w:pPr>
        <w:ind w:left="740" w:hanging="376"/>
        <w:spacing w:after="0"/>
        <w:tabs>
          <w:tab w:leader="none" w:pos="74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 (CONT.)</w:t>
      </w:r>
    </w:p>
    <w:p>
      <w:pPr>
        <w:spacing w:after="0" w:line="147" w:lineRule="exact"/>
        <w:rPr>
          <w:rFonts w:ascii="Courier New" w:cs="Courier New" w:eastAsia="Courier New" w:hAnsi="Courier New"/>
          <w:sz w:val="12"/>
          <w:szCs w:val="12"/>
          <w:color w:val="auto"/>
        </w:rPr>
      </w:pPr>
    </w:p>
    <w:p>
      <w:pPr>
        <w:ind w:left="1100" w:right="4879" w:hanging="368"/>
        <w:spacing w:after="0" w:line="253" w:lineRule="auto"/>
        <w:tabs>
          <w:tab w:leader="none" w:pos="1100" w:val="left"/>
        </w:tabs>
        <w:numPr>
          <w:ilvl w:val="1"/>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8" w:lineRule="exact"/>
        <w:rPr>
          <w:rFonts w:ascii="Courier New" w:cs="Courier New" w:eastAsia="Courier New" w:hAnsi="Courier New"/>
          <w:sz w:val="12"/>
          <w:szCs w:val="12"/>
          <w:color w:val="auto"/>
        </w:rPr>
      </w:pPr>
    </w:p>
    <w:p>
      <w:pPr>
        <w:ind w:left="1460" w:hanging="360"/>
        <w:spacing w:after="0"/>
        <w:tabs>
          <w:tab w:leader="none" w:pos="1460" w:val="left"/>
        </w:tabs>
        <w:numPr>
          <w:ilvl w:val="2"/>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27 "FIXED ASSETS" (CONT.)</w:t>
      </w:r>
    </w:p>
    <w:p>
      <w:pPr>
        <w:spacing w:after="0" w:line="147" w:lineRule="exact"/>
        <w:rPr>
          <w:rFonts w:ascii="Courier New" w:cs="Courier New" w:eastAsia="Courier New" w:hAnsi="Courier New"/>
          <w:sz w:val="12"/>
          <w:szCs w:val="12"/>
          <w:color w:val="auto"/>
        </w:rPr>
      </w:pPr>
    </w:p>
    <w:p>
      <w:pPr>
        <w:ind w:left="146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standard states that a fixed-asset item will be measured at the initial recognition date at cost which includes, in addition to the purchase price, all the related costs incurred for bringing the item to the position enabling it to operate in the manner contemplated by management. The cost also includes the initial estimate of costs required to dismantle and remove the item, along with the expenses incurred in reconstructing the site on which the item had been placed and in respect of which the entity incurred that obligation when the item had been acquired or following its use over a given period of time not in the production of inventory during that period.</w:t>
      </w:r>
    </w:p>
    <w:p>
      <w:pPr>
        <w:spacing w:after="0" w:line="141" w:lineRule="exact"/>
        <w:rPr>
          <w:rFonts w:ascii="Courier New" w:cs="Courier New" w:eastAsia="Courier New" w:hAnsi="Courier New"/>
          <w:sz w:val="12"/>
          <w:szCs w:val="12"/>
          <w:color w:val="auto"/>
        </w:rPr>
      </w:pPr>
    </w:p>
    <w:p>
      <w:pPr>
        <w:ind w:left="1460" w:right="449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standard also states that when acquiring assets in exchange for a non-monetary asset or a combination of monetary as well as non-monetary assets, the cost will be determined at fair value unless (a) the barter transaction has no commercial essence or (b) it is impossible to reliably measure the fair value of the asset received and the asset provided. Should the provided asset not be measured at fair value, its cost would equal book value.</w:t>
      </w:r>
    </w:p>
    <w:p>
      <w:pPr>
        <w:spacing w:after="0" w:line="141" w:lineRule="exact"/>
        <w:rPr>
          <w:rFonts w:ascii="Courier New" w:cs="Courier New" w:eastAsia="Courier New" w:hAnsi="Courier New"/>
          <w:sz w:val="12"/>
          <w:szCs w:val="12"/>
          <w:color w:val="auto"/>
        </w:rPr>
      </w:pPr>
    </w:p>
    <w:p>
      <w:pPr>
        <w:ind w:left="146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initial recognition, the standard permits the entity to implement in its accounting policy the measurement of the fixed assets by the cost method or by revaluation so long as this policy is implemented in regard to all the items in that group.</w:t>
      </w:r>
    </w:p>
    <w:p>
      <w:pPr>
        <w:spacing w:after="0" w:line="141" w:lineRule="exact"/>
        <w:rPr>
          <w:rFonts w:ascii="Courier New" w:cs="Courier New" w:eastAsia="Courier New" w:hAnsi="Courier New"/>
          <w:sz w:val="12"/>
          <w:szCs w:val="12"/>
          <w:color w:val="auto"/>
        </w:rPr>
      </w:pPr>
    </w:p>
    <w:p>
      <w:pPr>
        <w:ind w:left="1460" w:right="4499"/>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Cost method - an item will be presented at net book value, less accumulated impairment losses.</w:t>
      </w:r>
    </w:p>
    <w:p>
      <w:pPr>
        <w:spacing w:after="0" w:line="138" w:lineRule="exact"/>
        <w:rPr>
          <w:rFonts w:ascii="Courier New" w:cs="Courier New" w:eastAsia="Courier New" w:hAnsi="Courier New"/>
          <w:sz w:val="12"/>
          <w:szCs w:val="12"/>
          <w:color w:val="auto"/>
        </w:rPr>
      </w:pPr>
    </w:p>
    <w:p>
      <w:pPr>
        <w:ind w:left="146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Revaluation method - an item whose fair value can be</w:t>
      </w:r>
    </w:p>
    <w:p>
      <w:pPr>
        <w:sectPr>
          <w:pgSz w:w="11900" w:h="16862" w:orient="portrait"/>
          <w:cols w:equalWidth="0" w:num="1">
            <w:col w:w="10239"/>
          </w:cols>
          <w:pgMar w:left="220" w:top="141" w:right="1440" w:bottom="0" w:gutter="0" w:footer="0" w:header="0"/>
        </w:sectPr>
      </w:pPr>
    </w:p>
    <w:bookmarkStart w:id="9" w:name="page10"/>
    <w:bookmarkEnd w:id="9"/>
    <w:p>
      <w:pPr>
        <w:spacing w:after="0" w:line="30"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measured reliably will be presented at its estimated amount,</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which equals its fair value at the revaluation date, net of</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depreciation accumulated subsequently and less accumulated</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impairment losses. Revaluations should take place on a</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current basis in order to ensure that book value does not</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materially differ from the fair value that would have been</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determined on the balance-sheet date. The revaluation of a</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single item calls for the revaluation of the entire group</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and if the asset's book value rises following this</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revaluation, this increase should be allocated directly to</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shareholders' equity ("revaluation reserve"). Nevertheless,</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this increase will be recognized as an operating item up to</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the amount offsetting the decrease from that asset's</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revaluation recognized previously as income or loss. Should</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book value decline following revaluation, this decline will</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be recognized as an operating item yet allocated directly to</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shareholders' equity ("revaluation reserve") up to the</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amount leaving any credit balance in that reserve in respect</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of that asset.</w:t>
      </w:r>
    </w:p>
    <w:p>
      <w:pPr>
        <w:spacing w:after="0" w:line="289"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- 9 -</w:t>
      </w:r>
    </w:p>
    <w:p>
      <w:pPr>
        <w:spacing w:after="0" w:line="200" w:lineRule="exact"/>
        <w:rPr>
          <w:sz w:val="20"/>
          <w:szCs w:val="20"/>
          <w:color w:val="auto"/>
        </w:rPr>
      </w:pPr>
    </w:p>
    <w:p>
      <w:pPr>
        <w:spacing w:after="0" w:line="21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47" w:lineRule="exact"/>
        <w:rPr>
          <w:sz w:val="20"/>
          <w:szCs w:val="20"/>
          <w:color w:val="auto"/>
        </w:rPr>
      </w:pPr>
    </w:p>
    <w:p>
      <w:pPr>
        <w:ind w:left="740" w:hanging="376"/>
        <w:spacing w:after="0"/>
        <w:tabs>
          <w:tab w:leader="none" w:pos="74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 (CONT.)</w:t>
      </w:r>
    </w:p>
    <w:p>
      <w:pPr>
        <w:spacing w:after="0" w:line="147" w:lineRule="exact"/>
        <w:rPr>
          <w:rFonts w:ascii="Courier New" w:cs="Courier New" w:eastAsia="Courier New" w:hAnsi="Courier New"/>
          <w:sz w:val="12"/>
          <w:szCs w:val="12"/>
          <w:color w:val="auto"/>
        </w:rPr>
      </w:pPr>
    </w:p>
    <w:p>
      <w:pPr>
        <w:ind w:left="1100" w:right="4879" w:hanging="368"/>
        <w:spacing w:after="0" w:line="253" w:lineRule="auto"/>
        <w:tabs>
          <w:tab w:leader="none" w:pos="1100" w:val="left"/>
        </w:tabs>
        <w:numPr>
          <w:ilvl w:val="1"/>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8" w:lineRule="exact"/>
        <w:rPr>
          <w:rFonts w:ascii="Courier New" w:cs="Courier New" w:eastAsia="Courier New" w:hAnsi="Courier New"/>
          <w:sz w:val="12"/>
          <w:szCs w:val="12"/>
          <w:color w:val="auto"/>
        </w:rPr>
      </w:pPr>
    </w:p>
    <w:p>
      <w:pPr>
        <w:ind w:left="1460" w:hanging="360"/>
        <w:spacing w:after="0"/>
        <w:tabs>
          <w:tab w:leader="none" w:pos="1460" w:val="left"/>
        </w:tabs>
        <w:numPr>
          <w:ilvl w:val="2"/>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27 "FIXED ASSETS" (CONT.)</w:t>
      </w:r>
    </w:p>
    <w:p>
      <w:pPr>
        <w:spacing w:after="0" w:line="147" w:lineRule="exact"/>
        <w:rPr>
          <w:rFonts w:ascii="Courier New" w:cs="Courier New" w:eastAsia="Courier New" w:hAnsi="Courier New"/>
          <w:sz w:val="12"/>
          <w:szCs w:val="12"/>
          <w:color w:val="auto"/>
        </w:rPr>
      </w:pPr>
    </w:p>
    <w:p>
      <w:pPr>
        <w:ind w:left="1460" w:right="441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Any fixed assets with a meaningful cost in relation to the item's total cost should be reduced separately. Moreover, the depreciation method used will be reviewed at least once at yearend and, if any meaningful change had taken place in the estimated consumption of future economic benefits inherent in the asset, the method should be modified to reflect such changes. This change will be treated as a change in an accounting estimate.</w:t>
      </w:r>
    </w:p>
    <w:p>
      <w:pPr>
        <w:spacing w:after="0" w:line="141" w:lineRule="exact"/>
        <w:rPr>
          <w:rFonts w:ascii="Courier New" w:cs="Courier New" w:eastAsia="Courier New" w:hAnsi="Courier New"/>
          <w:sz w:val="12"/>
          <w:szCs w:val="12"/>
          <w:color w:val="auto"/>
        </w:rPr>
      </w:pPr>
    </w:p>
    <w:p>
      <w:pPr>
        <w:ind w:left="1460" w:right="449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new standard will apply to financial statements covering periods beginning January 1, 2007 and onwards and implemented retroactively, except for the following:</w:t>
      </w:r>
    </w:p>
    <w:p>
      <w:pPr>
        <w:spacing w:after="0" w:line="139" w:lineRule="exact"/>
        <w:rPr>
          <w:rFonts w:ascii="Courier New" w:cs="Courier New" w:eastAsia="Courier New" w:hAnsi="Courier New"/>
          <w:sz w:val="12"/>
          <w:szCs w:val="12"/>
          <w:color w:val="auto"/>
        </w:rPr>
      </w:pPr>
    </w:p>
    <w:p>
      <w:pPr>
        <w:ind w:left="1460" w:right="449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An entity which chooses on January 1, 2007 the revaluation method will treat the difference between the asset's estimated book value and its cost as a revaluation reserve at that time.</w:t>
      </w:r>
    </w:p>
    <w:p>
      <w:pPr>
        <w:spacing w:after="0" w:line="139" w:lineRule="exact"/>
        <w:rPr>
          <w:rFonts w:ascii="Courier New" w:cs="Courier New" w:eastAsia="Courier New" w:hAnsi="Courier New"/>
          <w:sz w:val="12"/>
          <w:szCs w:val="12"/>
          <w:color w:val="auto"/>
        </w:rPr>
      </w:pPr>
    </w:p>
    <w:p>
      <w:pPr>
        <w:ind w:left="1460" w:right="435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An entity which did not include in the cost of an item, upon initial recognition, the initial estimate of dismantling and removing costs along with site reconstruction costs will be required to:</w:t>
      </w:r>
    </w:p>
    <w:p>
      <w:pPr>
        <w:spacing w:after="0" w:line="139" w:lineRule="exact"/>
        <w:rPr>
          <w:rFonts w:ascii="Courier New" w:cs="Courier New" w:eastAsia="Courier New" w:hAnsi="Courier New"/>
          <w:sz w:val="12"/>
          <w:szCs w:val="12"/>
          <w:color w:val="auto"/>
        </w:rPr>
      </w:pPr>
    </w:p>
    <w:p>
      <w:pPr>
        <w:ind w:left="1840" w:right="4419" w:hanging="372"/>
        <w:spacing w:after="0" w:line="253" w:lineRule="auto"/>
        <w:tabs>
          <w:tab w:leader="none" w:pos="1840" w:val="left"/>
        </w:tabs>
        <w:numPr>
          <w:ilvl w:val="3"/>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Measure the liability on January 1, 2007 in conformity with generally accepted accounting principles;</w:t>
      </w:r>
    </w:p>
    <w:p>
      <w:pPr>
        <w:spacing w:after="0" w:line="138" w:lineRule="exact"/>
        <w:rPr>
          <w:rFonts w:ascii="Courier New" w:cs="Courier New" w:eastAsia="Courier New" w:hAnsi="Courier New"/>
          <w:sz w:val="12"/>
          <w:szCs w:val="12"/>
          <w:color w:val="auto"/>
        </w:rPr>
      </w:pPr>
    </w:p>
    <w:p>
      <w:pPr>
        <w:ind w:left="1840" w:right="4359" w:hanging="372"/>
        <w:spacing w:after="0" w:line="250" w:lineRule="auto"/>
        <w:tabs>
          <w:tab w:leader="none" w:pos="1840" w:val="left"/>
        </w:tabs>
        <w:numPr>
          <w:ilvl w:val="3"/>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Compute the amount that would have been included in the cost of the relevant asset, when the liability was initially created, by capitalizing the amount of the liability, as noted in item 1 above at the time when that liability was initially created ("the Capitalized Amount");</w:t>
      </w:r>
    </w:p>
    <w:p>
      <w:pPr>
        <w:spacing w:after="0" w:line="141" w:lineRule="exact"/>
        <w:rPr>
          <w:rFonts w:ascii="Courier New" w:cs="Courier New" w:eastAsia="Courier New" w:hAnsi="Courier New"/>
          <w:sz w:val="12"/>
          <w:szCs w:val="12"/>
          <w:color w:val="auto"/>
        </w:rPr>
      </w:pPr>
    </w:p>
    <w:p>
      <w:pPr>
        <w:ind w:left="1840" w:right="4639" w:hanging="372"/>
        <w:spacing w:after="0" w:line="251" w:lineRule="auto"/>
        <w:tabs>
          <w:tab w:leader="none" w:pos="1840" w:val="left"/>
        </w:tabs>
        <w:numPr>
          <w:ilvl w:val="3"/>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Compute the Capitalized Amount's accumulated depreciation on January 1, 2007 on the basis of the asset's useful life at that time;</w:t>
      </w:r>
    </w:p>
    <w:p>
      <w:pPr>
        <w:spacing w:after="0" w:line="139" w:lineRule="exact"/>
        <w:rPr>
          <w:rFonts w:ascii="Courier New" w:cs="Courier New" w:eastAsia="Courier New" w:hAnsi="Courier New"/>
          <w:sz w:val="12"/>
          <w:szCs w:val="12"/>
          <w:color w:val="auto"/>
        </w:rPr>
      </w:pPr>
    </w:p>
    <w:p>
      <w:pPr>
        <w:ind w:left="1840" w:right="4499" w:hanging="372"/>
        <w:spacing w:after="0" w:line="251" w:lineRule="auto"/>
        <w:tabs>
          <w:tab w:leader="none" w:pos="1840" w:val="left"/>
        </w:tabs>
        <w:numPr>
          <w:ilvl w:val="3"/>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difference between the amount to be allocated to the asset, in accordance with items 2 and 3 above and the amount of the liability, based on item 1 above, will be allocated to retained earnings.</w:t>
      </w:r>
    </w:p>
    <w:p>
      <w:pPr>
        <w:spacing w:after="0" w:line="139"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The Company is currently examining this new standard,</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including the election between the cost and the revaluation</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methods; however, at this stage, it is unable to estimate</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the standard's effect, if any, on its financial position,</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results of operations and cash flows.</w:t>
      </w:r>
    </w:p>
    <w:p>
      <w:pPr>
        <w:spacing w:after="0" w:line="200" w:lineRule="exact"/>
        <w:rPr>
          <w:sz w:val="20"/>
          <w:szCs w:val="20"/>
          <w:color w:val="auto"/>
        </w:rPr>
      </w:pPr>
    </w:p>
    <w:p>
      <w:pPr>
        <w:spacing w:after="0" w:line="230"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- 10 -</w:t>
      </w:r>
    </w:p>
    <w:p>
      <w:pPr>
        <w:spacing w:after="0" w:line="200" w:lineRule="exact"/>
        <w:rPr>
          <w:sz w:val="20"/>
          <w:szCs w:val="20"/>
          <w:color w:val="auto"/>
        </w:rPr>
      </w:pPr>
    </w:p>
    <w:p>
      <w:pPr>
        <w:spacing w:after="0" w:line="21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47" w:lineRule="exact"/>
        <w:rPr>
          <w:sz w:val="20"/>
          <w:szCs w:val="20"/>
          <w:color w:val="auto"/>
        </w:rPr>
      </w:pPr>
    </w:p>
    <w:p>
      <w:pPr>
        <w:ind w:left="740" w:hanging="376"/>
        <w:spacing w:after="0"/>
        <w:tabs>
          <w:tab w:leader="none" w:pos="74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ESTABLISHMENT AND OPERATIONS OF NEW FABRICATION FACILITY ("FAB 2")</w:t>
      </w:r>
    </w:p>
    <w:p>
      <w:pPr>
        <w:spacing w:after="0" w:line="147" w:lineRule="exact"/>
        <w:rPr>
          <w:rFonts w:ascii="Courier New" w:cs="Courier New" w:eastAsia="Courier New" w:hAnsi="Courier New"/>
          <w:sz w:val="12"/>
          <w:szCs w:val="12"/>
          <w:color w:val="auto"/>
        </w:rPr>
      </w:pPr>
    </w:p>
    <w:p>
      <w:pPr>
        <w:ind w:left="740" w:right="435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2001, the Company's Board of Directors approved the establishment of a new wafer fabrication facility in Israel ("Fab 2"). Fab 2 is designated to manufacture semiconductor integrated circuits on silicon wafers in geometries of 0.18 micron and below on</w:t>
      </w:r>
    </w:p>
    <w:p>
      <w:pPr>
        <w:spacing w:after="0" w:line="2" w:lineRule="exact"/>
        <w:rPr>
          <w:rFonts w:ascii="Courier New" w:cs="Courier New" w:eastAsia="Courier New" w:hAnsi="Courier New"/>
          <w:sz w:val="12"/>
          <w:szCs w:val="12"/>
          <w:color w:val="auto"/>
        </w:rPr>
      </w:pPr>
    </w:p>
    <w:p>
      <w:pPr>
        <w:ind w:left="74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200-millimeter wafers. The Company has entered into several related agreements and other arrangements and has completed public and private financing deals, which, as of the approval date of the interim financial statements, have provided an aggregate of approximately $1,400,000 of financing for Fab 2.</w:t>
      </w:r>
    </w:p>
    <w:p>
      <w:pPr>
        <w:spacing w:after="0" w:line="141" w:lineRule="exact"/>
        <w:rPr>
          <w:rFonts w:ascii="Courier New" w:cs="Courier New" w:eastAsia="Courier New" w:hAnsi="Courier New"/>
          <w:sz w:val="12"/>
          <w:szCs w:val="12"/>
          <w:color w:val="auto"/>
        </w:rPr>
      </w:pPr>
    </w:p>
    <w:p>
      <w:pPr>
        <w:ind w:left="740" w:right="441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Fab 2 project is a complex undertaking, which entails substantial risks and uncertainties. For further details concerning the Fab 2 project and related agreements, some of which were amended several times, risks and uncertainties, see Note 11A to the 2005 audited consolidated financial statements.</w:t>
      </w:r>
    </w:p>
    <w:p>
      <w:pPr>
        <w:sectPr>
          <w:pgSz w:w="11900" w:h="16868" w:orient="portrait"/>
          <w:cols w:equalWidth="0" w:num="1">
            <w:col w:w="10239"/>
          </w:cols>
          <w:pgMar w:left="220" w:top="141" w:right="1440" w:bottom="0" w:gutter="0" w:footer="0" w:header="0"/>
        </w:sectPr>
      </w:pPr>
    </w:p>
    <w:bookmarkStart w:id="10" w:name="page11"/>
    <w:bookmarkEnd w:id="10"/>
    <w:p>
      <w:pPr>
        <w:spacing w:after="0" w:line="30" w:lineRule="exact"/>
        <w:rPr>
          <w:sz w:val="20"/>
          <w:szCs w:val="20"/>
          <w:color w:val="auto"/>
        </w:rPr>
      </w:pPr>
    </w:p>
    <w:p>
      <w:pPr>
        <w:ind w:left="740" w:hanging="376"/>
        <w:spacing w:after="0"/>
        <w:tabs>
          <w:tab w:leader="none" w:pos="74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FINANCING OF THE COMPANY'S ONGOING OPERATIONS</w:t>
      </w:r>
    </w:p>
    <w:p>
      <w:pPr>
        <w:spacing w:after="0" w:line="147" w:lineRule="exact"/>
        <w:rPr>
          <w:rFonts w:ascii="Courier New" w:cs="Courier New" w:eastAsia="Courier New" w:hAnsi="Courier New"/>
          <w:sz w:val="12"/>
          <w:szCs w:val="12"/>
          <w:color w:val="auto"/>
        </w:rPr>
      </w:pPr>
    </w:p>
    <w:p>
      <w:pPr>
        <w:ind w:left="74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the nine months ended September 30, 2006 and in recent years, the Company has experienced significant recurring losses from operations, recurring negative cash flows from operating activities, an increasing accumulated deficit and a deficit in shareholders equity. The Company is working in various ways to mitigate its financial difficulties and among them are the following:</w:t>
      </w:r>
    </w:p>
    <w:p>
      <w:pPr>
        <w:spacing w:after="0" w:line="141" w:lineRule="exact"/>
        <w:rPr>
          <w:rFonts w:ascii="Courier New" w:cs="Courier New" w:eastAsia="Courier New" w:hAnsi="Courier New"/>
          <w:sz w:val="12"/>
          <w:szCs w:val="12"/>
          <w:color w:val="auto"/>
        </w:rPr>
      </w:pPr>
    </w:p>
    <w:p>
      <w:pPr>
        <w:ind w:left="740" w:right="441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During the last number of months, the Company significantly increased its customer base, mainly in Fab 2, modified its organizational structure to better address its customers and its market positioning, raised funds totaling approximately $187,000 of gross proceeds (see also Notes 4C, 4D and 1C below) and restructured its bank debt (see below).</w:t>
      </w:r>
    </w:p>
    <w:p>
      <w:pPr>
        <w:spacing w:after="0" w:line="141" w:lineRule="exact"/>
        <w:rPr>
          <w:rFonts w:ascii="Courier New" w:cs="Courier New" w:eastAsia="Courier New" w:hAnsi="Courier New"/>
          <w:sz w:val="12"/>
          <w:szCs w:val="12"/>
          <w:color w:val="auto"/>
        </w:rPr>
      </w:pPr>
    </w:p>
    <w:p>
      <w:pPr>
        <w:ind w:left="740" w:right="449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March 2006, the board of directors of the Company approved a plan to ramp up Fab 2 in order to meet customer and product qualification needs, based on its customer pipeline and reinforced by forecasted market conditions.</w:t>
      </w:r>
    </w:p>
    <w:p>
      <w:pPr>
        <w:spacing w:after="0" w:line="200" w:lineRule="exact"/>
        <w:rPr>
          <w:sz w:val="20"/>
          <w:szCs w:val="20"/>
          <w:color w:val="auto"/>
        </w:rPr>
      </w:pPr>
    </w:p>
    <w:p>
      <w:pPr>
        <w:spacing w:after="0" w:line="222"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- 11 -</w:t>
      </w:r>
    </w:p>
    <w:p>
      <w:pPr>
        <w:spacing w:after="0" w:line="200" w:lineRule="exact"/>
        <w:rPr>
          <w:sz w:val="20"/>
          <w:szCs w:val="20"/>
          <w:color w:val="auto"/>
        </w:rPr>
      </w:pPr>
    </w:p>
    <w:p>
      <w:pPr>
        <w:spacing w:after="0" w:line="21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47" w:lineRule="exact"/>
        <w:rPr>
          <w:sz w:val="20"/>
          <w:szCs w:val="20"/>
          <w:color w:val="auto"/>
        </w:rPr>
      </w:pPr>
    </w:p>
    <w:p>
      <w:pPr>
        <w:ind w:left="740" w:hanging="376"/>
        <w:spacing w:after="0"/>
        <w:tabs>
          <w:tab w:leader="none" w:pos="740"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FINANCING OF THE COMPANY'S ONGOING OPERATIONS (CONT.)</w:t>
      </w:r>
    </w:p>
    <w:p>
      <w:pPr>
        <w:spacing w:after="0" w:line="147" w:lineRule="exact"/>
        <w:rPr>
          <w:rFonts w:ascii="Courier New" w:cs="Courier New" w:eastAsia="Courier New" w:hAnsi="Courier New"/>
          <w:sz w:val="12"/>
          <w:szCs w:val="12"/>
          <w:color w:val="auto"/>
        </w:rPr>
      </w:pPr>
    </w:p>
    <w:p>
      <w:pPr>
        <w:ind w:left="74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part of the financing efforts for the ramp-up plan, in August 2006, the Company signed a definitive amendment to the facility agreement (the "Amendment") based on the terms of the May 2006 Memorandum of Understanding ("MOU") with its banks for the refinancing of the approximately $527,000 of long-term debt under its facility agreement. Pursuant to the Amendment, which closed in September 2006: (i) $158,000, representing 30% of the outstanding debt under the Credit Facility, was converted into capital notes of the Company. Such notes are convertible into 51,973,684 of the Company's ordinary shares representing twice the average closing price per share during the ten days prior to signing the MOU (see also Note 3B below); (ii) the interest rate applicable for the quarterly actual interest payment on the loans was decreased by 1.4%, from LIBOR plus 2.5% per annum to LIBOR plus 1.1% per annum, effective from May 17, 2006 (the "Decreased Amount"); subject to adjustment, in January 2011, the Banks will be issued such number of shares (or equity equivalent capital notes or convertible debentures) that equals the Decreased Amount divided by the average closing price of Company's ordinary shares during the fourth quarter of 2010 (the "Fourth Quarter 2010 Price"). If during the second half of 2010, the closing price of Company's ordinary shares on every trading day during this period exceeds $3.49, then the Banks will only be granted such number of shares (or equity equivalent capital notes or convertible debentures) that equals half of the Decreased Amount divided by the Fourth Quarter 2010 Price. If during the period ending December 31, 2010, the Banks sell a portion of the capital notes or shares issuable upon the conversion of the capital notes described in (i) above, at a price per share in excess of $3.49, then the consideration payable for the interest rate reduction will be reduced proportionately. The amounts payable in securities of the Company may be payable in cash under certain circumstances and the Decreased Amount may be reduced in the event the Company prepays any part of the outstanding loans; (iii) the commencement date for the repayment of the outstanding loans, which following the conversion are approximately $369,000, was postponed from July 2007 to September 2009, such that the outstanding loans shall be repaid in 12 quarterly installments between September 2009 and June 2012; (iv) the exercise periods of the warrants held by the Banks immediately prior to the signing of the Amendment, were extended such that they are exercisable until five years from the closing of the Amendment; and (v) the financial ratios and covenants that the Company is to satisfy were revised to be inline with the Company's current working plan.</w:t>
      </w:r>
    </w:p>
    <w:p>
      <w:pPr>
        <w:spacing w:after="0" w:line="200" w:lineRule="exact"/>
        <w:rPr>
          <w:sz w:val="20"/>
          <w:szCs w:val="20"/>
          <w:color w:val="auto"/>
        </w:rPr>
      </w:pPr>
    </w:p>
    <w:p>
      <w:pPr>
        <w:spacing w:after="0" w:line="224"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- 12 -</w:t>
      </w:r>
    </w:p>
    <w:p>
      <w:pPr>
        <w:spacing w:after="0" w:line="200" w:lineRule="exact"/>
        <w:rPr>
          <w:sz w:val="20"/>
          <w:szCs w:val="20"/>
          <w:color w:val="auto"/>
        </w:rPr>
      </w:pPr>
    </w:p>
    <w:p>
      <w:pPr>
        <w:spacing w:after="0" w:line="21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47" w:lineRule="exact"/>
        <w:rPr>
          <w:sz w:val="20"/>
          <w:szCs w:val="20"/>
          <w:color w:val="auto"/>
        </w:rPr>
      </w:pPr>
    </w:p>
    <w:p>
      <w:pPr>
        <w:ind w:left="740" w:hanging="376"/>
        <w:spacing w:after="0"/>
        <w:tabs>
          <w:tab w:leader="none" w:pos="740"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FINANCING OF THE COMPANY'S ONGOING OPERATIONS (CONT.)</w:t>
      </w:r>
    </w:p>
    <w:p>
      <w:pPr>
        <w:spacing w:after="0" w:line="147" w:lineRule="exact"/>
        <w:rPr>
          <w:rFonts w:ascii="Courier New" w:cs="Courier New" w:eastAsia="Courier New" w:hAnsi="Courier New"/>
          <w:sz w:val="12"/>
          <w:szCs w:val="12"/>
          <w:color w:val="auto"/>
        </w:rPr>
      </w:pPr>
    </w:p>
    <w:p>
      <w:pPr>
        <w:ind w:left="74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this regard and in connection with Israel Corp.'s commitment to invest $100,000, in August 2006, the Company entered into a securities purchase agreement with Israel Corp. (the "Securities Purchase Agreement"). The Securities Purchase Agreement was approved by the Company's Audit Committee, Board of Directors and the Company's shareholders. The principal terms of the Securities Purchase Agreement were: (i) in consideration for its $100,000 investment, the Company shall issue to Israel Corp., at price per share of $1.52 (which equals the average closing price during the 10 consecutive trading days prior to signing the MOU), capital notes convertible into 65,789,474 of the Company's ordinary shares; (ii) the Company shall be deemed to have exercised the Call Option under the Equipment Purchase Agreement described below; and (ii) the Company and Israel Corp. shall settle the amounts payable by Israel Corp. under the Securities Purchase Agreement with the amounts payable by the Company under the Equipment Purchase Agreement. The Securities Purchase Agreement also closed in September 2006.</w:t>
      </w:r>
    </w:p>
    <w:p>
      <w:pPr>
        <w:spacing w:after="0" w:line="141" w:lineRule="exact"/>
        <w:rPr>
          <w:rFonts w:ascii="Courier New" w:cs="Courier New" w:eastAsia="Courier New" w:hAnsi="Courier New"/>
          <w:sz w:val="12"/>
          <w:szCs w:val="12"/>
          <w:color w:val="auto"/>
        </w:rPr>
      </w:pPr>
    </w:p>
    <w:p>
      <w:pPr>
        <w:ind w:left="74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order to implement the ramp-up plan in a timely manner, in May 2006, the Company entered into an Equipment Purchase Agreement with Israel Corp. according to which Israel Corp. will order up to approximately $100,000 worth of equipment for Fab 2. Under the terms of the Equipment Purchase Agreement: (i) Israel Corp. has the right to</w:t>
      </w:r>
    </w:p>
    <w:p>
      <w:pPr>
        <w:sectPr>
          <w:pgSz w:w="11900" w:h="16868" w:orient="portrait"/>
          <w:cols w:equalWidth="0" w:num="1">
            <w:col w:w="10239"/>
          </w:cols>
          <w:pgMar w:left="220" w:top="283" w:right="1440" w:bottom="0" w:gutter="0" w:footer="0" w:header="0"/>
        </w:sectPr>
      </w:pPr>
    </w:p>
    <w:bookmarkStart w:id="11" w:name="page12"/>
    <w:bookmarkEnd w:id="11"/>
    <w:p>
      <w:pPr>
        <w:spacing w:after="0" w:line="31" w:lineRule="exact"/>
        <w:rPr>
          <w:sz w:val="20"/>
          <w:szCs w:val="20"/>
          <w:color w:val="auto"/>
        </w:rPr>
      </w:pPr>
    </w:p>
    <w:p>
      <w:pPr>
        <w:ind w:left="740" w:right="4359"/>
        <w:spacing w:after="0" w:line="250" w:lineRule="auto"/>
        <w:rPr>
          <w:sz w:val="20"/>
          <w:szCs w:val="20"/>
          <w:color w:val="auto"/>
        </w:rPr>
      </w:pPr>
      <w:r>
        <w:rPr>
          <w:rFonts w:ascii="Courier New" w:cs="Courier New" w:eastAsia="Courier New" w:hAnsi="Courier New"/>
          <w:sz w:val="12"/>
          <w:szCs w:val="12"/>
          <w:color w:val="auto"/>
        </w:rPr>
        <w:t>sell to the Company the equipment at cost, plus related expenses; (ii) the Company has the right to purchase the equipment from Israel Corp. at cost, plus related expenses, subject to the Company having raised $100,000; and (iii) upon the purchase of the equipment from Israel Corp., the Company will assume Israel Corp.'s obligations to the equipment suppliers. This agreement was approved by the Audit Committee and the Board of Directors of the Company in May 2006.</w:t>
      </w:r>
    </w:p>
    <w:p>
      <w:pPr>
        <w:spacing w:after="0" w:line="141"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Upon the closing of the Amendment and the Securities Purchase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Agreement, Israel Corp. transferred ownership over the purchased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equipment to the Company and the Company assumed Israel Corp.'s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obligations to the equipment suppliers.</w:t>
      </w:r>
    </w:p>
    <w:p>
      <w:pPr>
        <w:spacing w:after="0" w:line="147" w:lineRule="exact"/>
        <w:rPr>
          <w:sz w:val="20"/>
          <w:szCs w:val="20"/>
          <w:color w:val="auto"/>
        </w:rPr>
      </w:pPr>
    </w:p>
    <w:p>
      <w:pPr>
        <w:ind w:left="740" w:right="4359"/>
        <w:spacing w:after="0" w:line="253" w:lineRule="auto"/>
        <w:rPr>
          <w:sz w:val="20"/>
          <w:szCs w:val="20"/>
          <w:color w:val="auto"/>
        </w:rPr>
      </w:pPr>
      <w:r>
        <w:rPr>
          <w:rFonts w:ascii="Courier New" w:cs="Courier New" w:eastAsia="Courier New" w:hAnsi="Courier New"/>
          <w:sz w:val="12"/>
          <w:szCs w:val="12"/>
          <w:color w:val="auto"/>
        </w:rPr>
        <w:t>The Company is currently examining alternatives for additional funding sources in order to further ramp-up the equipping of Fab2.</w:t>
      </w:r>
    </w:p>
    <w:p>
      <w:pPr>
        <w:spacing w:after="0" w:line="280"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- 13 -</w:t>
      </w:r>
    </w:p>
    <w:p>
      <w:pPr>
        <w:spacing w:after="0" w:line="200" w:lineRule="exact"/>
        <w:rPr>
          <w:sz w:val="20"/>
          <w:szCs w:val="20"/>
          <w:color w:val="auto"/>
        </w:rPr>
      </w:pPr>
    </w:p>
    <w:p>
      <w:pPr>
        <w:spacing w:after="0" w:line="21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INVENTORIES</w:t>
      </w:r>
    </w:p>
    <w:p>
      <w:pPr>
        <w:spacing w:after="0" w:line="147"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Inventories consist of the following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20" w:type="dxa"/>
            <w:vAlign w:val="bottom"/>
          </w:tcPr>
          <w:p>
            <w:pPr>
              <w:spacing w:after="0"/>
              <w:rPr>
                <w:sz w:val="12"/>
                <w:szCs w:val="12"/>
                <w:color w:val="auto"/>
              </w:rPr>
            </w:pPr>
          </w:p>
        </w:tc>
        <w:tc>
          <w:tcPr>
            <w:tcW w:w="1980" w:type="dxa"/>
            <w:vAlign w:val="bottom"/>
            <w:gridSpan w:val="2"/>
          </w:tcPr>
          <w:p>
            <w:pPr>
              <w:jc w:val="right"/>
              <w:ind w:right="419"/>
              <w:spacing w:after="0"/>
              <w:rPr>
                <w:sz w:val="20"/>
                <w:szCs w:val="20"/>
                <w:color w:val="auto"/>
              </w:rPr>
            </w:pPr>
            <w:r>
              <w:rPr>
                <w:rFonts w:ascii="Courier New" w:cs="Courier New" w:eastAsia="Courier New" w:hAnsi="Courier New"/>
                <w:sz w:val="12"/>
                <w:szCs w:val="12"/>
                <w:color w:val="auto"/>
              </w:rPr>
              <w:t>September 30,</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December 31,</w:t>
            </w:r>
          </w:p>
        </w:tc>
      </w:tr>
      <w:tr>
        <w:trPr>
          <w:trHeight w:val="142"/>
        </w:trPr>
        <w:tc>
          <w:tcPr>
            <w:tcW w:w="2020" w:type="dxa"/>
            <w:vAlign w:val="bottom"/>
          </w:tcPr>
          <w:p>
            <w:pPr>
              <w:spacing w:after="0"/>
              <w:rPr>
                <w:sz w:val="12"/>
                <w:szCs w:val="12"/>
                <w:color w:val="auto"/>
              </w:rPr>
            </w:pPr>
          </w:p>
        </w:tc>
        <w:tc>
          <w:tcPr>
            <w:tcW w:w="198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142"/>
        </w:trPr>
        <w:tc>
          <w:tcPr>
            <w:tcW w:w="2020" w:type="dxa"/>
            <w:vAlign w:val="bottom"/>
          </w:tcPr>
          <w:p>
            <w:pPr>
              <w:spacing w:after="0"/>
              <w:rPr>
                <w:sz w:val="12"/>
                <w:szCs w:val="12"/>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2006</w:t>
            </w: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2005</w:t>
            </w:r>
          </w:p>
        </w:tc>
        <w:tc>
          <w:tcPr>
            <w:tcW w:w="108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2005</w:t>
            </w:r>
          </w:p>
        </w:tc>
      </w:tr>
      <w:tr>
        <w:trPr>
          <w:trHeight w:val="142"/>
        </w:trPr>
        <w:tc>
          <w:tcPr>
            <w:tcW w:w="2020" w:type="dxa"/>
            <w:vAlign w:val="bottom"/>
          </w:tcPr>
          <w:p>
            <w:pPr>
              <w:spacing w:after="0"/>
              <w:rPr>
                <w:sz w:val="12"/>
                <w:szCs w:val="12"/>
                <w:color w:val="auto"/>
              </w:rPr>
            </w:pPr>
          </w:p>
        </w:tc>
        <w:tc>
          <w:tcPr>
            <w:tcW w:w="10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142"/>
        </w:trPr>
        <w:tc>
          <w:tcPr>
            <w:tcW w:w="2020" w:type="dxa"/>
            <w:vAlign w:val="bottom"/>
          </w:tcPr>
          <w:p>
            <w:pPr>
              <w:spacing w:after="0"/>
              <w:rPr>
                <w:sz w:val="12"/>
                <w:szCs w:val="12"/>
                <w:color w:val="auto"/>
              </w:rPr>
            </w:pPr>
          </w:p>
        </w:tc>
        <w:tc>
          <w:tcPr>
            <w:tcW w:w="1980" w:type="dxa"/>
            <w:vAlign w:val="bottom"/>
            <w:gridSpan w:val="2"/>
          </w:tcPr>
          <w:p>
            <w:pPr>
              <w:jc w:val="right"/>
              <w:ind w:right="479"/>
              <w:spacing w:after="0"/>
              <w:rPr>
                <w:sz w:val="20"/>
                <w:szCs w:val="20"/>
                <w:color w:val="auto"/>
              </w:rPr>
            </w:pPr>
            <w:r>
              <w:rPr>
                <w:rFonts w:ascii="Courier New" w:cs="Courier New" w:eastAsia="Courier New" w:hAnsi="Courier New"/>
                <w:sz w:val="12"/>
                <w:szCs w:val="12"/>
                <w:color w:val="auto"/>
              </w:rPr>
              <w:t>(unaudited)</w:t>
            </w:r>
          </w:p>
        </w:tc>
        <w:tc>
          <w:tcPr>
            <w:tcW w:w="1080" w:type="dxa"/>
            <w:vAlign w:val="bottom"/>
          </w:tcPr>
          <w:p>
            <w:pPr>
              <w:spacing w:after="0"/>
              <w:rPr>
                <w:sz w:val="12"/>
                <w:szCs w:val="12"/>
                <w:color w:val="auto"/>
              </w:rPr>
            </w:pPr>
          </w:p>
        </w:tc>
      </w:tr>
      <w:tr>
        <w:trPr>
          <w:trHeight w:val="283"/>
        </w:trPr>
        <w:tc>
          <w:tcPr>
            <w:tcW w:w="2020" w:type="dxa"/>
            <w:vAlign w:val="bottom"/>
          </w:tcPr>
          <w:p>
            <w:pPr>
              <w:spacing w:after="0"/>
              <w:rPr>
                <w:sz w:val="20"/>
                <w:szCs w:val="20"/>
                <w:color w:val="auto"/>
              </w:rPr>
            </w:pPr>
            <w:r>
              <w:rPr>
                <w:rFonts w:ascii="Courier New" w:cs="Courier New" w:eastAsia="Courier New" w:hAnsi="Courier New"/>
                <w:sz w:val="12"/>
                <w:szCs w:val="12"/>
                <w:color w:val="auto"/>
              </w:rPr>
              <w:t>Raw materials</w:t>
            </w:r>
          </w:p>
        </w:tc>
        <w:tc>
          <w:tcPr>
            <w:tcW w:w="10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$10,030</w:t>
            </w:r>
          </w:p>
        </w:tc>
        <w:tc>
          <w:tcPr>
            <w:tcW w:w="9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$ 6,445</w:t>
            </w:r>
          </w:p>
        </w:tc>
        <w:tc>
          <w:tcPr>
            <w:tcW w:w="10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$ 6,777</w:t>
            </w:r>
          </w:p>
        </w:tc>
      </w:tr>
      <w:tr>
        <w:trPr>
          <w:trHeight w:val="142"/>
        </w:trPr>
        <w:tc>
          <w:tcPr>
            <w:tcW w:w="2020" w:type="dxa"/>
            <w:vAlign w:val="bottom"/>
          </w:tcPr>
          <w:p>
            <w:pPr>
              <w:spacing w:after="0"/>
              <w:rPr>
                <w:sz w:val="20"/>
                <w:szCs w:val="20"/>
                <w:color w:val="auto"/>
              </w:rPr>
            </w:pPr>
            <w:r>
              <w:rPr>
                <w:rFonts w:ascii="Courier New" w:cs="Courier New" w:eastAsia="Courier New" w:hAnsi="Courier New"/>
                <w:sz w:val="12"/>
                <w:szCs w:val="12"/>
                <w:color w:val="auto"/>
              </w:rPr>
              <w:t>Spare parts and supplies</w:t>
            </w:r>
          </w:p>
        </w:tc>
        <w:tc>
          <w:tcPr>
            <w:tcW w:w="10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5,438</w:t>
            </w:r>
          </w:p>
        </w:tc>
        <w:tc>
          <w:tcPr>
            <w:tcW w:w="9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3,322</w:t>
            </w:r>
          </w:p>
        </w:tc>
        <w:tc>
          <w:tcPr>
            <w:tcW w:w="10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3,738</w:t>
            </w:r>
          </w:p>
        </w:tc>
      </w:tr>
      <w:tr>
        <w:trPr>
          <w:trHeight w:val="142"/>
        </w:trPr>
        <w:tc>
          <w:tcPr>
            <w:tcW w:w="2020" w:type="dxa"/>
            <w:vAlign w:val="bottom"/>
          </w:tcPr>
          <w:p>
            <w:pPr>
              <w:spacing w:after="0"/>
              <w:rPr>
                <w:sz w:val="20"/>
                <w:szCs w:val="20"/>
                <w:color w:val="auto"/>
              </w:rPr>
            </w:pPr>
            <w:r>
              <w:rPr>
                <w:rFonts w:ascii="Courier New" w:cs="Courier New" w:eastAsia="Courier New" w:hAnsi="Courier New"/>
                <w:sz w:val="12"/>
                <w:szCs w:val="12"/>
                <w:color w:val="auto"/>
              </w:rPr>
              <w:t>Work in process</w:t>
            </w:r>
          </w:p>
        </w:tc>
        <w:tc>
          <w:tcPr>
            <w:tcW w:w="10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22,277</w:t>
            </w:r>
          </w:p>
        </w:tc>
        <w:tc>
          <w:tcPr>
            <w:tcW w:w="9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8,638</w:t>
            </w:r>
          </w:p>
        </w:tc>
        <w:tc>
          <w:tcPr>
            <w:tcW w:w="10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11,502</w:t>
            </w:r>
          </w:p>
        </w:tc>
      </w:tr>
      <w:tr>
        <w:trPr>
          <w:trHeight w:val="142"/>
        </w:trPr>
        <w:tc>
          <w:tcPr>
            <w:tcW w:w="2020" w:type="dxa"/>
            <w:vAlign w:val="bottom"/>
          </w:tcPr>
          <w:p>
            <w:pPr>
              <w:spacing w:after="0"/>
              <w:rPr>
                <w:sz w:val="20"/>
                <w:szCs w:val="20"/>
                <w:color w:val="auto"/>
              </w:rPr>
            </w:pPr>
            <w:r>
              <w:rPr>
                <w:rFonts w:ascii="Courier New" w:cs="Courier New" w:eastAsia="Courier New" w:hAnsi="Courier New"/>
                <w:sz w:val="12"/>
                <w:szCs w:val="12"/>
                <w:color w:val="auto"/>
              </w:rPr>
              <w:t>Finished goods</w:t>
            </w:r>
          </w:p>
        </w:tc>
        <w:tc>
          <w:tcPr>
            <w:tcW w:w="10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774</w:t>
            </w:r>
          </w:p>
        </w:tc>
        <w:tc>
          <w:tcPr>
            <w:tcW w:w="9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2,497</w:t>
            </w:r>
          </w:p>
        </w:tc>
        <w:tc>
          <w:tcPr>
            <w:tcW w:w="10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2,359</w:t>
            </w:r>
          </w:p>
        </w:tc>
      </w:tr>
      <w:tr>
        <w:trPr>
          <w:trHeight w:val="142"/>
        </w:trPr>
        <w:tc>
          <w:tcPr>
            <w:tcW w:w="2020" w:type="dxa"/>
            <w:vAlign w:val="bottom"/>
          </w:tcPr>
          <w:p>
            <w:pPr>
              <w:spacing w:after="0"/>
              <w:rPr>
                <w:sz w:val="12"/>
                <w:szCs w:val="12"/>
                <w:color w:val="auto"/>
              </w:rPr>
            </w:pPr>
          </w:p>
        </w:tc>
        <w:tc>
          <w:tcPr>
            <w:tcW w:w="10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142"/>
        </w:trPr>
        <w:tc>
          <w:tcPr>
            <w:tcW w:w="2020" w:type="dxa"/>
            <w:vAlign w:val="bottom"/>
          </w:tcPr>
          <w:p>
            <w:pPr>
              <w:spacing w:after="0"/>
              <w:rPr>
                <w:sz w:val="12"/>
                <w:szCs w:val="12"/>
                <w:color w:val="auto"/>
              </w:rPr>
            </w:pPr>
          </w:p>
        </w:tc>
        <w:tc>
          <w:tcPr>
            <w:tcW w:w="10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$38,519</w:t>
            </w:r>
          </w:p>
        </w:tc>
        <w:tc>
          <w:tcPr>
            <w:tcW w:w="9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$20,902</w:t>
            </w:r>
          </w:p>
        </w:tc>
        <w:tc>
          <w:tcPr>
            <w:tcW w:w="10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$24,376</w:t>
            </w:r>
          </w:p>
        </w:tc>
      </w:tr>
      <w:tr>
        <w:trPr>
          <w:trHeight w:val="142"/>
        </w:trPr>
        <w:tc>
          <w:tcPr>
            <w:tcW w:w="2020" w:type="dxa"/>
            <w:vAlign w:val="bottom"/>
          </w:tcPr>
          <w:p>
            <w:pPr>
              <w:spacing w:after="0"/>
              <w:rPr>
                <w:sz w:val="12"/>
                <w:szCs w:val="12"/>
                <w:color w:val="auto"/>
              </w:rPr>
            </w:pPr>
          </w:p>
        </w:tc>
        <w:tc>
          <w:tcPr>
            <w:tcW w:w="10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bl>
    <w:p>
      <w:pPr>
        <w:spacing w:after="0" w:line="145" w:lineRule="exact"/>
        <w:rPr>
          <w:sz w:val="20"/>
          <w:szCs w:val="20"/>
          <w:color w:val="auto"/>
        </w:rPr>
      </w:pPr>
    </w:p>
    <w:p>
      <w:pPr>
        <w:ind w:left="1100" w:right="4499" w:hanging="368"/>
        <w:spacing w:after="0" w:line="251" w:lineRule="auto"/>
        <w:tabs>
          <w:tab w:leader="none" w:pos="1100"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Net of aggregate write downs to net realizable value of $2,543, $3,973 and $3,259 as of September 30, 2006, September 30, 2005 and December 31, 2005, respectively.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3 - RECENT DEVELOPMENTS RELATING TO FAB 2</w:t>
      </w:r>
    </w:p>
    <w:p>
      <w:pPr>
        <w:spacing w:after="0" w:line="147" w:lineRule="exact"/>
        <w:rPr>
          <w:sz w:val="20"/>
          <w:szCs w:val="20"/>
          <w:color w:val="auto"/>
        </w:rPr>
      </w:pPr>
    </w:p>
    <w:p>
      <w:pPr>
        <w:ind w:left="740" w:hanging="376"/>
        <w:spacing w:after="0"/>
        <w:tabs>
          <w:tab w:leader="none" w:pos="740"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APPROVED ENTERPRISE STATUS</w:t>
      </w:r>
    </w:p>
    <w:p>
      <w:pPr>
        <w:spacing w:after="0" w:line="147" w:lineRule="exact"/>
        <w:rPr>
          <w:rFonts w:ascii="Courier New" w:cs="Courier New" w:eastAsia="Courier New" w:hAnsi="Courier New"/>
          <w:sz w:val="12"/>
          <w:szCs w:val="12"/>
          <w:color w:val="auto"/>
        </w:rPr>
      </w:pPr>
    </w:p>
    <w:p>
      <w:pPr>
        <w:ind w:left="74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the terms of the approved enterprise program for Fab 2, the Company was eligible to receive grants of 20% of up to $1,250,000 invested in Fab 2 plant and equipment, or an aggregate of up to $250,000 for investments made by December 31, 2005, of which as of the balance sheet date, an aggregate of approximately $163,000 has been received from the Investment Center.</w:t>
      </w:r>
    </w:p>
    <w:p>
      <w:pPr>
        <w:spacing w:after="0" w:line="141" w:lineRule="exact"/>
        <w:rPr>
          <w:rFonts w:ascii="Courier New" w:cs="Courier New" w:eastAsia="Courier New" w:hAnsi="Courier New"/>
          <w:sz w:val="12"/>
          <w:szCs w:val="12"/>
          <w:color w:val="auto"/>
        </w:rPr>
      </w:pPr>
    </w:p>
    <w:p>
      <w:pPr>
        <w:ind w:left="740" w:right="441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the terms of the program, investments in respect of Fab 2 were to be completed by December 31, 2005, five years from the date the approval certificate was obtained. Due to the later than planned construction of Fab 2, market conditions and slower than planned ramp-up, the Company completed approximately 72% of the investments under the approved enterprise program. The Company has been holding discussions with the Investment Center to achieve satisfactory arrangements to approve a new expansion program commencing as of January 1, 2006. During 2005, the Company received letters from the Israeli Minister of Industry, Trade and Employment and from the General Manager of the Investment Center stating that they will act under Israeli law to support such expansion. In April 2005, at the Investment Center's request, the Company submitted a revised business plan to the Investment Center for the period commencing as of January 1, 2006. As of the approval date of the interim financial statements, the Company's management cannot estimate when, if at all, the Company will receive approval of its request for a new expansion program.</w:t>
      </w:r>
    </w:p>
    <w:p>
      <w:pPr>
        <w:spacing w:after="0" w:line="282" w:lineRule="exact"/>
        <w:rPr>
          <w:rFonts w:ascii="Courier New" w:cs="Courier New" w:eastAsia="Courier New" w:hAnsi="Courier New"/>
          <w:sz w:val="12"/>
          <w:szCs w:val="12"/>
          <w:color w:val="auto"/>
        </w:rPr>
      </w:pPr>
    </w:p>
    <w:p>
      <w:pPr>
        <w:ind w:left="2860" w:hanging="141"/>
        <w:spacing w:after="0"/>
        <w:tabs>
          <w:tab w:leader="none" w:pos="2860" w:val="left"/>
        </w:tabs>
        <w:numPr>
          <w:ilvl w:val="1"/>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14 -</w:t>
      </w:r>
    </w:p>
    <w:p>
      <w:pPr>
        <w:spacing w:after="0" w:line="200" w:lineRule="exact"/>
        <w:rPr>
          <w:sz w:val="20"/>
          <w:szCs w:val="20"/>
          <w:color w:val="auto"/>
        </w:rPr>
      </w:pPr>
    </w:p>
    <w:p>
      <w:pPr>
        <w:spacing w:after="0" w:line="21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3 - RECENT DEVELOPMENTS RELATING TO FAB 2 (CONT.)</w:t>
      </w:r>
    </w:p>
    <w:p>
      <w:pPr>
        <w:spacing w:after="0" w:line="147" w:lineRule="exact"/>
        <w:rPr>
          <w:sz w:val="20"/>
          <w:szCs w:val="20"/>
          <w:color w:val="auto"/>
        </w:rPr>
      </w:pPr>
    </w:p>
    <w:p>
      <w:pPr>
        <w:ind w:left="740" w:hanging="376"/>
        <w:spacing w:after="0"/>
        <w:tabs>
          <w:tab w:leader="none" w:pos="740"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w:t>
      </w:r>
    </w:p>
    <w:p>
      <w:pPr>
        <w:spacing w:after="0" w:line="147" w:lineRule="exact"/>
        <w:rPr>
          <w:rFonts w:ascii="Courier New" w:cs="Courier New" w:eastAsia="Courier New" w:hAnsi="Courier New"/>
          <w:sz w:val="12"/>
          <w:szCs w:val="12"/>
          <w:color w:val="auto"/>
        </w:rPr>
      </w:pPr>
    </w:p>
    <w:p>
      <w:pPr>
        <w:ind w:left="74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July 2005, the Company and its Banks entered into a definitive amendment to the Facility Agreement. Pursuant to such amendment, the Company borrowed $29,693 and was required to raise through the issuance of shares or convertible debentures $23,500 by December 31, 2005 and an additional $6,500 by March 31, 2006. In January 2006, as described in Note 4C below, the Company completed a rights offering of convertible debentures in which it raised $48,169, $25,500 of which was raised in December 2005, thereby satisfying the abovementioned obligations to raise additional funds.</w:t>
      </w:r>
    </w:p>
    <w:p>
      <w:pPr>
        <w:spacing w:after="0" w:line="141" w:lineRule="exact"/>
        <w:rPr>
          <w:rFonts w:ascii="Courier New" w:cs="Courier New" w:eastAsia="Courier New" w:hAnsi="Courier New"/>
          <w:sz w:val="12"/>
          <w:szCs w:val="12"/>
          <w:color w:val="auto"/>
        </w:rPr>
      </w:pPr>
    </w:p>
    <w:p>
      <w:pPr>
        <w:ind w:left="74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addition, in May 2006, the Company and its Banks entered into an amendment to the Facility Agreement, according to which (i) repayments of long-term loans in the amount of approximately $100,000, originally scheduled to be paid between October 2006 and June 2007, were deferred to July 2007 and (ii) the date on which the Company was required to raise an additional approximately $8,000 was deferred from June 30, 2006 to September 30, 2006, such fundraising requirement was satisfied with the completion of the TASE offering described below in Note 4D.</w:t>
      </w:r>
    </w:p>
    <w:p>
      <w:pPr>
        <w:spacing w:after="0" w:line="141" w:lineRule="exact"/>
        <w:rPr>
          <w:rFonts w:ascii="Courier New" w:cs="Courier New" w:eastAsia="Courier New" w:hAnsi="Courier New"/>
          <w:sz w:val="12"/>
          <w:szCs w:val="12"/>
          <w:color w:val="auto"/>
        </w:rPr>
      </w:pPr>
    </w:p>
    <w:p>
      <w:pPr>
        <w:jc w:val="both"/>
        <w:ind w:left="740" w:right="457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part of the financing efforts for the ramp-up plan, in September 2006, the Company and its Banks signed an amendment to the facility agreement, as described above in Note 1C.</w:t>
      </w:r>
    </w:p>
    <w:p>
      <w:pPr>
        <w:spacing w:after="0" w:line="139" w:lineRule="exact"/>
        <w:rPr>
          <w:rFonts w:ascii="Courier New" w:cs="Courier New" w:eastAsia="Courier New" w:hAnsi="Courier New"/>
          <w:sz w:val="12"/>
          <w:szCs w:val="12"/>
          <w:color w:val="auto"/>
        </w:rPr>
      </w:pPr>
    </w:p>
    <w:p>
      <w:pPr>
        <w:ind w:left="740" w:right="441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accounted for the Amendment in accordance with provisions set forth in IAS 39 FINANCIAL INSTRUMENTS: RECOGNITION AND MEASUREMENT. Generally Accepted Accounting Standards in Israel are</w:t>
      </w:r>
    </w:p>
    <w:p>
      <w:pPr>
        <w:sectPr>
          <w:pgSz w:w="11900" w:h="16870" w:orient="portrait"/>
          <w:cols w:equalWidth="0" w:num="1">
            <w:col w:w="10239"/>
          </w:cols>
          <w:pgMar w:left="220" w:top="141" w:right="1440" w:bottom="0" w:gutter="0" w:footer="0" w:header="0"/>
        </w:sectPr>
      </w:pPr>
    </w:p>
    <w:bookmarkStart w:id="12" w:name="page13"/>
    <w:bookmarkEnd w:id="12"/>
    <w:p>
      <w:pPr>
        <w:ind w:left="740" w:right="4359"/>
        <w:spacing w:after="0" w:line="250" w:lineRule="auto"/>
        <w:rPr>
          <w:sz w:val="20"/>
          <w:szCs w:val="20"/>
          <w:color w:val="auto"/>
        </w:rPr>
      </w:pPr>
      <w:r>
        <w:rPr>
          <w:rFonts w:ascii="Courier New" w:cs="Courier New" w:eastAsia="Courier New" w:hAnsi="Courier New"/>
          <w:sz w:val="12"/>
          <w:szCs w:val="12"/>
          <w:color w:val="auto"/>
        </w:rPr>
        <w:t>silent in regards to the accounting for debt modification. In addition, diversity in practice was observed across companies such that no one approaches has been consistently applied to create practice in Israel for the accounting for debt modification. In light of the lack of guidance and considering that the Company has not previously accounted for debt modification in the past the Company decided to apply the guidance in IAS 39 regarding debt modification mainly for the following reasons: (i) Israeli GAAP requires that when there is no standard in Israel and no practice evolved IFRS has to be applied, (ii) the Israeli Accounting Standard Board decided to adopt in full the IFRS starting in fiscal year 2008 with early adoption recommended, and the Israel Securities Authority ("ISA") decided that, commencing from the second quarter of 2007, notes to financial statements shall state the IFRS financial effect on such financial statements, (iii) Standard No. 22, which is based on IAS 32 FINANCIAL INSTRUMENTS: DISCLOSURE AND PRESENTATION, refers preparers of financial statements to the guidance in IAS 39 for the purposes of recognition and measurement of financial instruments (including measurement of debt modification), (iv) the adoption of IAS 39 does not create inconsistencies with prior periods and (v) recently adopted Israeli standards are all based on IFRS.</w:t>
      </w:r>
    </w:p>
    <w:p>
      <w:pPr>
        <w:spacing w:after="0" w:line="200" w:lineRule="exact"/>
        <w:rPr>
          <w:sz w:val="20"/>
          <w:szCs w:val="20"/>
          <w:color w:val="auto"/>
        </w:rPr>
      </w:pPr>
    </w:p>
    <w:p>
      <w:pPr>
        <w:spacing w:after="0" w:line="224"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- 15 -</w:t>
      </w:r>
    </w:p>
    <w:p>
      <w:pPr>
        <w:spacing w:after="0" w:line="200" w:lineRule="exact"/>
        <w:rPr>
          <w:sz w:val="20"/>
          <w:szCs w:val="20"/>
          <w:color w:val="auto"/>
        </w:rPr>
      </w:pPr>
    </w:p>
    <w:p>
      <w:pPr>
        <w:spacing w:after="0" w:line="21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3 - RECENT DEVELOPMENTS RELATING TO FAB 2 (CONT.)</w:t>
      </w:r>
    </w:p>
    <w:p>
      <w:pPr>
        <w:spacing w:after="0" w:line="147" w:lineRule="exact"/>
        <w:rPr>
          <w:sz w:val="20"/>
          <w:szCs w:val="20"/>
          <w:color w:val="auto"/>
        </w:rPr>
      </w:pPr>
    </w:p>
    <w:p>
      <w:pPr>
        <w:ind w:left="740" w:hanging="376"/>
        <w:spacing w:after="0"/>
        <w:tabs>
          <w:tab w:leader="none" w:pos="740"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 (CONT.)</w:t>
      </w:r>
    </w:p>
    <w:p>
      <w:pPr>
        <w:spacing w:after="0" w:line="147" w:lineRule="exact"/>
        <w:rPr>
          <w:rFonts w:ascii="Courier New" w:cs="Courier New" w:eastAsia="Courier New" w:hAnsi="Courier New"/>
          <w:sz w:val="12"/>
          <w:szCs w:val="12"/>
          <w:color w:val="auto"/>
        </w:rPr>
      </w:pPr>
    </w:p>
    <w:p>
      <w:pPr>
        <w:ind w:left="740" w:right="4799"/>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IAS 39, the accounting for the debt modification under the Amendment is as follows:</w:t>
      </w:r>
    </w:p>
    <w:p>
      <w:pPr>
        <w:spacing w:after="0" w:line="138" w:lineRule="exact"/>
        <w:rPr>
          <w:rFonts w:ascii="Courier New" w:cs="Courier New" w:eastAsia="Courier New" w:hAnsi="Courier New"/>
          <w:sz w:val="12"/>
          <w:szCs w:val="12"/>
          <w:color w:val="auto"/>
        </w:rPr>
      </w:pPr>
    </w:p>
    <w:p>
      <w:pPr>
        <w:ind w:left="1460" w:right="4499" w:hanging="360"/>
        <w:spacing w:after="0" w:line="251" w:lineRule="auto"/>
        <w:tabs>
          <w:tab w:leader="none" w:pos="1460" w:val="left"/>
        </w:tabs>
        <w:numPr>
          <w:ilvl w:val="1"/>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amount considered settled for shares and classified to equity is based on the per share price as quoted at the closing date; such amount totaled to $76,401.</w:t>
      </w:r>
    </w:p>
    <w:p>
      <w:pPr>
        <w:spacing w:after="0" w:line="139" w:lineRule="exact"/>
        <w:rPr>
          <w:rFonts w:ascii="Courier New" w:cs="Courier New" w:eastAsia="Courier New" w:hAnsi="Courier New"/>
          <w:sz w:val="12"/>
          <w:szCs w:val="12"/>
          <w:color w:val="auto"/>
        </w:rPr>
      </w:pPr>
    </w:p>
    <w:p>
      <w:pPr>
        <w:ind w:left="1460" w:right="4359" w:hanging="360"/>
        <w:spacing w:after="0" w:line="251" w:lineRule="auto"/>
        <w:tabs>
          <w:tab w:leader="none" w:pos="1460" w:val="left"/>
        </w:tabs>
        <w:numPr>
          <w:ilvl w:val="1"/>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remaining balance, totaling $435,209, is considered to be substantially modified and thus treated as debt extinguishment of the outstanding debt and the incurrence of a new debt.</w:t>
      </w:r>
    </w:p>
    <w:p>
      <w:pPr>
        <w:spacing w:after="0" w:line="139" w:lineRule="exact"/>
        <w:rPr>
          <w:rFonts w:ascii="Courier New" w:cs="Courier New" w:eastAsia="Courier New" w:hAnsi="Courier New"/>
          <w:sz w:val="12"/>
          <w:szCs w:val="12"/>
          <w:color w:val="auto"/>
        </w:rPr>
      </w:pPr>
    </w:p>
    <w:p>
      <w:pPr>
        <w:ind w:left="1460" w:right="4639" w:hanging="360"/>
        <w:spacing w:after="0" w:line="253" w:lineRule="auto"/>
        <w:tabs>
          <w:tab w:leader="none" w:pos="1460" w:val="left"/>
        </w:tabs>
        <w:numPr>
          <w:ilvl w:val="1"/>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debt incurred is initially recognized at fair value, totaling $355,138.</w:t>
      </w:r>
    </w:p>
    <w:p>
      <w:pPr>
        <w:spacing w:after="0" w:line="138" w:lineRule="exact"/>
        <w:rPr>
          <w:rFonts w:ascii="Courier New" w:cs="Courier New" w:eastAsia="Courier New" w:hAnsi="Courier New"/>
          <w:sz w:val="12"/>
          <w:szCs w:val="12"/>
          <w:color w:val="auto"/>
        </w:rPr>
      </w:pPr>
    </w:p>
    <w:p>
      <w:pPr>
        <w:ind w:left="1460" w:right="4499" w:hanging="360"/>
        <w:spacing w:after="0" w:line="250" w:lineRule="auto"/>
        <w:tabs>
          <w:tab w:leader="none" w:pos="1460" w:val="left"/>
        </w:tabs>
        <w:numPr>
          <w:ilvl w:val="1"/>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difference between the fair value of the debt incurred and the outstanding debt (exclusive of the amount used as proceeds for the share issuance in 1 above), totaling $80,071, is recognized in the consolidated statement of operations as a gain on debt restructuring in the current period.</w:t>
      </w:r>
    </w:p>
    <w:p>
      <w:pPr>
        <w:spacing w:after="0" w:line="141"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See Note 5H for the accounting of the debt modification in accordance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with U.S. GAAP.</w:t>
      </w:r>
    </w:p>
    <w:p>
      <w:pPr>
        <w:spacing w:after="0" w:line="147"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As descried in Note 1C above the Banks will be issued such number of</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shares that equals the Decreased Amount divided by the Fourth Quarter</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2010 Price. If during the second half of 2010, the closing price of</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Company's ordinary shares on every trading day during this period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exceeds $3.49, then the Banks will only be granted such number of</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shares that equals half of the Decreased Amount divided by the Fourth</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Quarter 2010 Price. The Company accounted for its obligation to issue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shares initially, as an additional interest expense and adjusted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effective interest rate on the debt to the Banks. The Company will</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evaluate and, if required, adjust the effective interest rate based on</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the per share price at the end of each reporting period. As of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balance sheet date, the Company was in full compliance with all of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financial ratios and covenants under the amended Facility Agreement</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According to the Facility Agreement, satisfying the financial ratios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and covenants is a material provision. The amended Facility Agreement</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provides that if, as a result of any default, the Banks were to</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accelerate the Company's obligations, the Company would be obligated,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among other matters, to immediately repay all loans made by the Banks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(which as of the balance sheet date amounted to approximately</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$369,000) plus penalties, and the Banks would be entitled to exercise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the remedies available to them under the Facility Agreement, including</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enforcement of their lien against all of the Company's assets.</w:t>
      </w:r>
    </w:p>
    <w:p>
      <w:pPr>
        <w:spacing w:after="0" w:line="289"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- 16 -</w:t>
      </w:r>
    </w:p>
    <w:p>
      <w:pPr>
        <w:spacing w:after="0" w:line="200" w:lineRule="exact"/>
        <w:rPr>
          <w:sz w:val="20"/>
          <w:szCs w:val="20"/>
          <w:color w:val="auto"/>
        </w:rPr>
      </w:pPr>
    </w:p>
    <w:p>
      <w:pPr>
        <w:spacing w:after="0" w:line="21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3 - RECENT DEVELOPMENTS RELATING TO FAB 2 (CONT.)</w:t>
      </w:r>
    </w:p>
    <w:p>
      <w:pPr>
        <w:spacing w:after="0" w:line="147" w:lineRule="exact"/>
        <w:rPr>
          <w:sz w:val="20"/>
          <w:szCs w:val="20"/>
          <w:color w:val="auto"/>
        </w:rPr>
      </w:pPr>
    </w:p>
    <w:p>
      <w:pPr>
        <w:ind w:left="740" w:hanging="376"/>
        <w:spacing w:after="0"/>
        <w:tabs>
          <w:tab w:leader="none" w:pos="740"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AGREEMENTS WITH SANDISK CORPORATION</w:t>
      </w:r>
    </w:p>
    <w:p>
      <w:pPr>
        <w:spacing w:after="0" w:line="147" w:lineRule="exact"/>
        <w:rPr>
          <w:rFonts w:ascii="Courier New" w:cs="Courier New" w:eastAsia="Courier New" w:hAnsi="Courier New"/>
          <w:sz w:val="12"/>
          <w:szCs w:val="12"/>
          <w:color w:val="auto"/>
        </w:rPr>
      </w:pPr>
    </w:p>
    <w:p>
      <w:pPr>
        <w:ind w:left="74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August 2006, the Company signed an agreement with SanDisk Corporation ("SanDisk"), one of its wafer partners, to invest in the expansion of its 0.13 micron manufacturing capacity. SanDisk committed to purchase, upon such expansion, volume quantities of 0.13 micron wafers during 2007 and 2008 and will have right of first refusal on the use of this extra capacity in 2009. The Company and SanDisk also signed a Loan Agreement under which the Company is entitled to borrow funds not to exceed, in the aggregate, the principal amount of $10,000 from SanDisk for the purpose of financing the purchase of the equipment needed for said expansion. The loan will be repaid with interest on the amounts outstanding at any time under the loan at Libor plus 1.1% over eight consecutive quarters. Pursuant to the agreement, in order to secure the repayment of the loan, SanDisk has been granted a first ranking charge on the equipment purchased therewith. As of the balance sheet date $6,794 in loans was received towards said $10,000.</w:t>
      </w: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OTHER RECENT DEVELOPMENTS</w:t>
      </w:r>
    </w:p>
    <w:p>
      <w:pPr>
        <w:sectPr>
          <w:pgSz w:w="11900" w:h="16838" w:orient="portrait"/>
          <w:cols w:equalWidth="0" w:num="1">
            <w:col w:w="10239"/>
          </w:cols>
          <w:pgMar w:left="220" w:top="141" w:right="1440" w:bottom="0" w:gutter="0" w:footer="0" w:header="0"/>
        </w:sectPr>
      </w:pPr>
    </w:p>
    <w:bookmarkStart w:id="13" w:name="page14"/>
    <w:bookmarkEnd w:id="13"/>
    <w:p>
      <w:pPr>
        <w:spacing w:after="0" w:line="30" w:lineRule="exact"/>
        <w:rPr>
          <w:sz w:val="20"/>
          <w:szCs w:val="20"/>
          <w:color w:val="auto"/>
        </w:rPr>
      </w:pPr>
    </w:p>
    <w:p>
      <w:pPr>
        <w:ind w:left="740" w:hanging="376"/>
        <w:spacing w:after="0"/>
        <w:tabs>
          <w:tab w:leader="none" w:pos="740"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CLASS ACTION</w:t>
      </w:r>
    </w:p>
    <w:p>
      <w:pPr>
        <w:spacing w:after="0" w:line="147" w:lineRule="exact"/>
        <w:rPr>
          <w:rFonts w:ascii="Courier New" w:cs="Courier New" w:eastAsia="Courier New" w:hAnsi="Courier New"/>
          <w:sz w:val="12"/>
          <w:szCs w:val="12"/>
          <w:color w:val="auto"/>
        </w:rPr>
      </w:pPr>
    </w:p>
    <w:p>
      <w:pPr>
        <w:ind w:left="74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June 2006, the United States Court of Appeals for the Second Circuit affirmed the August 2004 decision of the United States District Court for the Southern District of New York to dismiss the class action suit filed in July 2003 against the Company and certain of its directors, Wafer Partners and Equity Investors (the "Defendants"). The plaintiffs had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The District Court accepted the motion to dismiss filed on behalf of the defendants and noted that the Company's status as a foreign private issuer exempts the Company, its directors and controlling shareholders, from liability under the proxy rules of Section 14(a) of the Securities Exchange Act.</w:t>
      </w:r>
    </w:p>
    <w:p>
      <w:pPr>
        <w:spacing w:after="0" w:line="200" w:lineRule="exact"/>
        <w:rPr>
          <w:rFonts w:ascii="Courier New" w:cs="Courier New" w:eastAsia="Courier New" w:hAnsi="Courier New"/>
          <w:sz w:val="12"/>
          <w:szCs w:val="12"/>
          <w:color w:val="auto"/>
        </w:rPr>
      </w:pPr>
    </w:p>
    <w:p>
      <w:pPr>
        <w:spacing w:after="0" w:line="224" w:lineRule="exact"/>
        <w:rPr>
          <w:rFonts w:ascii="Courier New" w:cs="Courier New" w:eastAsia="Courier New" w:hAnsi="Courier New"/>
          <w:sz w:val="12"/>
          <w:szCs w:val="12"/>
          <w:color w:val="auto"/>
        </w:rPr>
      </w:pPr>
    </w:p>
    <w:p>
      <w:pPr>
        <w:ind w:left="2860" w:hanging="141"/>
        <w:spacing w:after="0"/>
        <w:tabs>
          <w:tab w:leader="none" w:pos="2860" w:val="left"/>
        </w:tabs>
        <w:numPr>
          <w:ilvl w:val="1"/>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17 -</w:t>
      </w:r>
    </w:p>
    <w:p>
      <w:pPr>
        <w:spacing w:after="0" w:line="200" w:lineRule="exact"/>
        <w:rPr>
          <w:sz w:val="20"/>
          <w:szCs w:val="20"/>
          <w:color w:val="auto"/>
        </w:rPr>
      </w:pPr>
    </w:p>
    <w:p>
      <w:pPr>
        <w:spacing w:after="0" w:line="21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OTHER RECENT DEVELOPMENTS (CONT.)</w:t>
      </w:r>
    </w:p>
    <w:p>
      <w:pPr>
        <w:spacing w:after="0" w:line="147" w:lineRule="exact"/>
        <w:rPr>
          <w:sz w:val="20"/>
          <w:szCs w:val="20"/>
          <w:color w:val="auto"/>
        </w:rPr>
      </w:pPr>
    </w:p>
    <w:p>
      <w:pPr>
        <w:ind w:left="740" w:hanging="376"/>
        <w:spacing w:after="0"/>
        <w:tabs>
          <w:tab w:leader="none" w:pos="740"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w:t>
      </w:r>
    </w:p>
    <w:p>
      <w:pPr>
        <w:spacing w:after="0" w:line="147" w:lineRule="exact"/>
        <w:rPr>
          <w:rFonts w:ascii="Courier New" w:cs="Courier New" w:eastAsia="Courier New" w:hAnsi="Courier New"/>
          <w:sz w:val="12"/>
          <w:szCs w:val="12"/>
          <w:color w:val="auto"/>
        </w:rPr>
      </w:pPr>
    </w:p>
    <w:p>
      <w:pPr>
        <w:ind w:left="1100" w:hanging="368"/>
        <w:spacing w:after="0"/>
        <w:tabs>
          <w:tab w:leader="none" w:pos="1100" w:val="left"/>
        </w:tabs>
        <w:numPr>
          <w:ilvl w:val="1"/>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OPTIONS GRANTED TO THE CHIEF EXECUTIVE OFFICER ("CEO")</w:t>
      </w:r>
    </w:p>
    <w:p>
      <w:pPr>
        <w:spacing w:after="0" w:line="147" w:lineRule="exact"/>
        <w:rPr>
          <w:rFonts w:ascii="Courier New" w:cs="Courier New" w:eastAsia="Courier New" w:hAnsi="Courier New"/>
          <w:sz w:val="12"/>
          <w:szCs w:val="12"/>
          <w:color w:val="auto"/>
        </w:rPr>
      </w:pPr>
    </w:p>
    <w:p>
      <w:pPr>
        <w:ind w:left="1100" w:right="435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May 2006, the Company's Audit Committee and Board of Directors approved the grant of options to the CEO of the Company, who also serves as a director, in addition to the options granted to him in April 2005, such that in total, the CEO will hold options to purchase shares that represent 4% of the Company's shares on a fully diluted basis during the two-year period from the approval of the Audit Committee. The exercise price of the initial grant of additional options will be $1.45, the 90-day average closing price of the Company's shares prior to the Board of Directors' approval. In future dilutive events following May 2006, additional options will be granted to the CEO as described above. If the dilutive event is an equity financing, the exercise price of such additional options will equal to the price per share of such investment, otherwise, the exercise price will equal the</w:t>
      </w:r>
    </w:p>
    <w:p>
      <w:pPr>
        <w:spacing w:after="0" w:line="7" w:lineRule="exact"/>
        <w:rPr>
          <w:rFonts w:ascii="Courier New" w:cs="Courier New" w:eastAsia="Courier New" w:hAnsi="Courier New"/>
          <w:sz w:val="12"/>
          <w:szCs w:val="12"/>
          <w:color w:val="auto"/>
        </w:rPr>
      </w:pPr>
    </w:p>
    <w:p>
      <w:pPr>
        <w:ind w:left="110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30-day average closing price of the Company's shares prior to the dilutive event. The new options granted will vest in equal amounts over 4 years of employment commencing from May 2006. The options will be exercisable for a period of 10 years from the date of grant. No additional options will be granted under the CEO's employment agreement, which was approved by the Company's shareholders in October 2005. The new grant of options and its terms were approved by the Company's shareholders. As of the balance sheet date, a total of 12,068,988 options were granted to the CEO. The cost of the total options granted to the CEO was determined based on the fair value at the grant dates in accordance with Standard No. 24 and amounted to $9,221. Such amount is expensed on an accelerated basis over the vesting periods of the options.</w:t>
      </w:r>
    </w:p>
    <w:p>
      <w:pPr>
        <w:spacing w:after="0" w:line="141" w:lineRule="exact"/>
        <w:rPr>
          <w:rFonts w:ascii="Courier New" w:cs="Courier New" w:eastAsia="Courier New" w:hAnsi="Courier New"/>
          <w:sz w:val="12"/>
          <w:szCs w:val="12"/>
          <w:color w:val="auto"/>
        </w:rPr>
      </w:pPr>
    </w:p>
    <w:p>
      <w:pPr>
        <w:ind w:left="1100" w:hanging="368"/>
        <w:spacing w:after="0"/>
        <w:tabs>
          <w:tab w:leader="none" w:pos="1100" w:val="left"/>
        </w:tabs>
        <w:numPr>
          <w:ilvl w:val="1"/>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OPTIONS</w:t>
      </w:r>
    </w:p>
    <w:p>
      <w:pPr>
        <w:spacing w:after="0" w:line="147" w:lineRule="exact"/>
        <w:rPr>
          <w:rFonts w:ascii="Courier New" w:cs="Courier New" w:eastAsia="Courier New" w:hAnsi="Courier New"/>
          <w:sz w:val="12"/>
          <w:szCs w:val="12"/>
          <w:color w:val="auto"/>
        </w:rPr>
      </w:pPr>
    </w:p>
    <w:p>
      <w:pPr>
        <w:ind w:left="110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May 2006, the Company's board of directors approved a plan to offer each of the Company's current employees the opportunity to exchange their existing options to purchase ordinary shares for new options with an exercise price of $1.45, which is the average closing price of the Company's shares on the NASDAQ during the 90 consecutive trading days prior to the board of directors' approval. Accordingly 4,299,250 options were exchanged. The new options were granted based on terms similar to the existing employee option plan with new vesting periods, starting May 2006. The cost of the new options was determined based on the fair value at the grant dates in accordance with Standard No. 24 and amounted to $1,726. Such amount is amortized as an expense on an accelerated basis over the vesting periods of the new options.</w:t>
      </w:r>
    </w:p>
    <w:p>
      <w:pPr>
        <w:spacing w:after="0" w:line="141" w:lineRule="exact"/>
        <w:rPr>
          <w:rFonts w:ascii="Courier New" w:cs="Courier New" w:eastAsia="Courier New" w:hAnsi="Courier New"/>
          <w:sz w:val="12"/>
          <w:szCs w:val="12"/>
          <w:color w:val="auto"/>
        </w:rPr>
      </w:pPr>
    </w:p>
    <w:p>
      <w:pPr>
        <w:ind w:left="110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Board of Directors further approved that if the total number of employee options, including the options to the CEO, during the then upcoming 24 months will represent less than 8% of the Company's shares on a fully diluted basis, additional options will be allocated for grants to the Company's employees. As of the balance sheet date, approximately 1,600,000 options are reserved for future grant of options.</w:t>
      </w:r>
    </w:p>
    <w:p>
      <w:pPr>
        <w:spacing w:after="0" w:line="282" w:lineRule="exact"/>
        <w:rPr>
          <w:rFonts w:ascii="Courier New" w:cs="Courier New" w:eastAsia="Courier New" w:hAnsi="Courier New"/>
          <w:sz w:val="12"/>
          <w:szCs w:val="12"/>
          <w:color w:val="auto"/>
        </w:rPr>
      </w:pPr>
    </w:p>
    <w:p>
      <w:pPr>
        <w:ind w:left="2860" w:hanging="141"/>
        <w:spacing w:after="0"/>
        <w:tabs>
          <w:tab w:leader="none" w:pos="2860" w:val="left"/>
        </w:tabs>
        <w:numPr>
          <w:ilvl w:val="2"/>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18 -</w:t>
      </w:r>
    </w:p>
    <w:p>
      <w:pPr>
        <w:spacing w:after="0" w:line="200" w:lineRule="exact"/>
        <w:rPr>
          <w:sz w:val="20"/>
          <w:szCs w:val="20"/>
          <w:color w:val="auto"/>
        </w:rPr>
      </w:pPr>
    </w:p>
    <w:p>
      <w:pPr>
        <w:spacing w:after="0" w:line="21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OTHER RECENT DEVELOPMENTS (CONT.)</w:t>
      </w:r>
    </w:p>
    <w:p>
      <w:pPr>
        <w:spacing w:after="0" w:line="147" w:lineRule="exact"/>
        <w:rPr>
          <w:sz w:val="20"/>
          <w:szCs w:val="20"/>
          <w:color w:val="auto"/>
        </w:rPr>
      </w:pPr>
    </w:p>
    <w:p>
      <w:pPr>
        <w:ind w:left="740" w:hanging="376"/>
        <w:spacing w:after="0"/>
        <w:tabs>
          <w:tab w:leader="none" w:pos="740"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2005 RIGHTS OFFERING</w:t>
      </w:r>
    </w:p>
    <w:p>
      <w:pPr>
        <w:spacing w:after="0" w:line="147" w:lineRule="exact"/>
        <w:rPr>
          <w:rFonts w:ascii="Courier New" w:cs="Courier New" w:eastAsia="Courier New" w:hAnsi="Courier New"/>
          <w:sz w:val="12"/>
          <w:szCs w:val="12"/>
          <w:color w:val="auto"/>
        </w:rPr>
      </w:pPr>
    </w:p>
    <w:p>
      <w:pPr>
        <w:ind w:left="74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December 2005, the Company filed in Israel and the U.S. a prospectus for the distribution of transferable rights to purchase up to $50,000 U.S. dollar denominated debentures that are convertible into up to 45,454,545 of the Company's Ordinary Shares. The rights were distributed to the shareholders of record of the Company on December 20, 2005 (the record date), and to certain employees who on the record date held options to purchase the Company's Ordinary Shares under share option plans that entitle the option holders to participate in a rights offering. Each 138.98 Ordinary Shares and/or eligible employee options held on the record date entitled their holder to one right. The rights were exercisable until January 12, 2006. Each right entitled its holder to purchase, at a subscription price of $100.00, 100 U.S. dollar denominated convertible debentures. In connection with the exercise of the rights, the Company issued 48,169,300 convertible debentures, with each debenture of $1.00 in principal amount, or total of $48,169 principal amount of debentures,</w:t>
      </w:r>
    </w:p>
    <w:p>
      <w:pPr>
        <w:sectPr>
          <w:pgSz w:w="11900" w:h="16868" w:orient="portrait"/>
          <w:cols w:equalWidth="0" w:num="1">
            <w:col w:w="10239"/>
          </w:cols>
          <w:pgMar w:left="220" w:top="141" w:right="1440" w:bottom="0" w:gutter="0" w:footer="0" w:header="0"/>
        </w:sectPr>
      </w:pPr>
    </w:p>
    <w:bookmarkStart w:id="14" w:name="page15"/>
    <w:bookmarkEnd w:id="14"/>
    <w:p>
      <w:pPr>
        <w:ind w:left="740"/>
        <w:spacing w:after="0"/>
        <w:rPr>
          <w:sz w:val="20"/>
          <w:szCs w:val="20"/>
          <w:color w:val="auto"/>
        </w:rPr>
      </w:pPr>
      <w:r>
        <w:rPr>
          <w:rFonts w:ascii="Courier New" w:cs="Courier New" w:eastAsia="Courier New" w:hAnsi="Courier New"/>
          <w:sz w:val="12"/>
          <w:szCs w:val="12"/>
          <w:color w:val="auto"/>
        </w:rPr>
        <w:t>which bear annual interest at the rate of 5%. The principal of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debentures, together with accrued interest, is payable in one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installment on January 12, 2012.</w:t>
      </w:r>
    </w:p>
    <w:p>
      <w:pPr>
        <w:spacing w:after="0" w:line="147" w:lineRule="exact"/>
        <w:rPr>
          <w:sz w:val="20"/>
          <w:szCs w:val="20"/>
          <w:color w:val="auto"/>
        </w:rPr>
      </w:pPr>
    </w:p>
    <w:p>
      <w:pPr>
        <w:ind w:left="740" w:right="4359"/>
        <w:spacing w:after="0" w:line="250" w:lineRule="auto"/>
        <w:rPr>
          <w:sz w:val="20"/>
          <w:szCs w:val="20"/>
          <w:color w:val="auto"/>
        </w:rPr>
      </w:pPr>
      <w:r>
        <w:rPr>
          <w:rFonts w:ascii="Courier New" w:cs="Courier New" w:eastAsia="Courier New" w:hAnsi="Courier New"/>
          <w:sz w:val="12"/>
          <w:szCs w:val="12"/>
          <w:color w:val="auto"/>
        </w:rPr>
        <w:t>The debentures are convertible into the Company's Ordinary Shares at a rate of one ordinary share per $1.10 aggregate principal amount of debentures. The conversion price is subject to downward adjustment under certain circumstances in which the Company sells securities in future financings at a price per share which is lower than the conversion price, provided that such financings close through December 2006 (or under certain conditions, through June 2007).</w:t>
      </w:r>
    </w:p>
    <w:p>
      <w:pPr>
        <w:spacing w:after="0" w:line="141"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As of the balance sheet date, no such adjustment was required. During</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the nine months ended September 30, 2006, $16,424 in aggregate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principal amount of debentures was converted into 14,931,280 ordinary</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shares of the Company.</w:t>
      </w:r>
    </w:p>
    <w:p>
      <w:pPr>
        <w:spacing w:after="0" w:line="147"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Subject to the terms of the Facility Agreement, the Company may, at</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its option, announce the early redemption of the debentures, provided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that the outstanding aggregate balance of principal on account of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debentures is equal to or less than $500. The debentures are listed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and quoted on the NASDAQ Capital Market and the Tel Aviv Stock</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Exchange.</w:t>
      </w:r>
    </w:p>
    <w:p>
      <w:pPr>
        <w:spacing w:after="0" w:line="147"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Certain of the Company's Equity Investors and Wafer Partners invested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$27,811 in the framework of the rights offering.</w:t>
      </w:r>
    </w:p>
    <w:p>
      <w:pPr>
        <w:spacing w:after="0" w:line="147"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The debentures and interest thereon are unsecured and rank behind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Company's existing and future secured indebtedness, including</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indebtedness to the Banks under the Facility Agreement, as well as to</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the government of Israel in connection with grants the Company</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received under its approved enterprise programs, and to Siliconix and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SanDisk.</w:t>
      </w:r>
    </w:p>
    <w:p>
      <w:pPr>
        <w:spacing w:after="0" w:line="289"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- 19 -</w:t>
      </w:r>
    </w:p>
    <w:p>
      <w:pPr>
        <w:spacing w:after="0" w:line="200" w:lineRule="exact"/>
        <w:rPr>
          <w:sz w:val="20"/>
          <w:szCs w:val="20"/>
          <w:color w:val="auto"/>
        </w:rPr>
      </w:pPr>
    </w:p>
    <w:p>
      <w:pPr>
        <w:spacing w:after="0" w:line="21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OTHER RECENT DEVELOPMENTS (CONT.)</w:t>
      </w:r>
    </w:p>
    <w:p>
      <w:pPr>
        <w:spacing w:after="0" w:line="147" w:lineRule="exact"/>
        <w:rPr>
          <w:sz w:val="20"/>
          <w:szCs w:val="20"/>
          <w:color w:val="auto"/>
        </w:rPr>
      </w:pPr>
    </w:p>
    <w:p>
      <w:pPr>
        <w:ind w:left="740" w:hanging="376"/>
        <w:spacing w:after="0"/>
        <w:tabs>
          <w:tab w:leader="none" w:pos="740"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2005 RIGHTS OFFERING (CONT.)</w:t>
      </w:r>
    </w:p>
    <w:p>
      <w:pPr>
        <w:spacing w:after="0" w:line="147" w:lineRule="exact"/>
        <w:rPr>
          <w:rFonts w:ascii="Courier New" w:cs="Courier New" w:eastAsia="Courier New" w:hAnsi="Courier New"/>
          <w:sz w:val="12"/>
          <w:szCs w:val="12"/>
          <w:color w:val="auto"/>
        </w:rPr>
      </w:pPr>
    </w:p>
    <w:p>
      <w:pPr>
        <w:ind w:left="740" w:right="441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If on the payment date of the principal and interest on the debentures, there exists an infringement of the covenants and conditions under the Facility Agreement, the date for payment of the interest and principal on the debentures may be postponed, depending on various scenarios under the Facility Agreement until such covenant or condition is settled.</w:t>
      </w:r>
    </w:p>
    <w:p>
      <w:pPr>
        <w:spacing w:after="0" w:line="141" w:lineRule="exact"/>
        <w:rPr>
          <w:rFonts w:ascii="Courier New" w:cs="Courier New" w:eastAsia="Courier New" w:hAnsi="Courier New"/>
          <w:sz w:val="12"/>
          <w:szCs w:val="12"/>
          <w:color w:val="auto"/>
        </w:rPr>
      </w:pPr>
    </w:p>
    <w:p>
      <w:pPr>
        <w:ind w:left="740" w:right="4579"/>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5 for the accounting for the rights offering in accordance with U.S. GAAP.</w:t>
      </w:r>
    </w:p>
    <w:p>
      <w:pPr>
        <w:spacing w:after="0" w:line="138" w:lineRule="exact"/>
        <w:rPr>
          <w:rFonts w:ascii="Courier New" w:cs="Courier New" w:eastAsia="Courier New" w:hAnsi="Courier New"/>
          <w:sz w:val="12"/>
          <w:szCs w:val="12"/>
          <w:color w:val="auto"/>
        </w:rPr>
      </w:pPr>
    </w:p>
    <w:p>
      <w:pPr>
        <w:ind w:left="740" w:hanging="376"/>
        <w:spacing w:after="0"/>
        <w:tabs>
          <w:tab w:leader="none" w:pos="740"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2006 PUBLIC OFFERING</w:t>
      </w:r>
    </w:p>
    <w:p>
      <w:pPr>
        <w:spacing w:after="0" w:line="147" w:lineRule="exact"/>
        <w:rPr>
          <w:rFonts w:ascii="Courier New" w:cs="Courier New" w:eastAsia="Courier New" w:hAnsi="Courier New"/>
          <w:sz w:val="12"/>
          <w:szCs w:val="12"/>
          <w:color w:val="auto"/>
        </w:rPr>
      </w:pPr>
    </w:p>
    <w:p>
      <w:pPr>
        <w:ind w:left="74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June 2006 the Company completed an underwritten public offering of the Company's securities on the Tel-Aviv Stock Exchange (TASE) in Israel resulting in immediate gross proceeds of approximately NIS 140,000,000 (approximately $31,000). In the offering, 78,000 Units were sold at a price per Unit of NIS 1,785 (approximately $0.4). Each Unit consists of (i) convertible debentures in the face amount of NIS 2,100 (approximately $0.47), (ii) five options each exercisable for three months ending on September 27, 2006 for NIS 100 principal amount of convertible debentures at an exercise price equal to 85% of their face amount, linked to the Israeli Consumer Price Index ("CPI"), (iii) 140 warrants each exercisable for three months ending on September 27, 2006 for one ordinary share of the Company at a price of NIS 6.75 (approximately $0.00157), linked to the CPI and (iv) 70 warrants each exercisable for three years ending on June 28, 2009 for one ordinary share of the Company at a price of NIS 7.40 (approximately $0.00172), linked to the CPI. The convertible debentures are convertible into the Company's ordinary shares at a conversion rate of one ordinary share per NIS 8.40 (approximately $0.00196) principal amount of convertible debentures. The convertible debentures carry a zero coupon with principal payable at maturity in December 2011, at a premium of 37% over face value, linked to the CPI. The conversion price is subject to reduction in certain limited circumstances. In accordance with Standard No. 22, the proceeds were allocated to each of the Unit's components based on relative fair values in the first 2 days of trading. After allocation, each of the components is classified as either equity or liability based on the criteria prescribed in Standard No. 22.</w:t>
      </w:r>
    </w:p>
    <w:p>
      <w:pPr>
        <w:spacing w:after="0" w:line="282" w:lineRule="exact"/>
        <w:rPr>
          <w:rFonts w:ascii="Courier New" w:cs="Courier New" w:eastAsia="Courier New" w:hAnsi="Courier New"/>
          <w:sz w:val="12"/>
          <w:szCs w:val="12"/>
          <w:color w:val="auto"/>
        </w:rPr>
      </w:pPr>
    </w:p>
    <w:p>
      <w:pPr>
        <w:ind w:left="740" w:right="457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addition, the Company issued 300 such units in consideration for NIS 526,000 through a private placement to its market maker in connection with said offering. The offering was made in Israel to Israeli residents only. The securities offered were not registered under the Securities Act and may not be sold in the U.S. or to U.S. persons absent registration or an applicable exemption.</w:t>
      </w:r>
    </w:p>
    <w:p>
      <w:pPr>
        <w:spacing w:after="0" w:line="141" w:lineRule="exact"/>
        <w:rPr>
          <w:rFonts w:ascii="Courier New" w:cs="Courier New" w:eastAsia="Courier New" w:hAnsi="Courier New"/>
          <w:sz w:val="12"/>
          <w:szCs w:val="12"/>
          <w:color w:val="auto"/>
        </w:rPr>
      </w:pPr>
    </w:p>
    <w:p>
      <w:pPr>
        <w:ind w:left="740" w:right="457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of September 30, 2006, 391,500 options to purchase convertible debentures described in (ii) above were exercised and 350,000 short term warrants described in (iii) above were exercised into ordinary shares, totaling in proceeds of approximately $8,000.</w:t>
      </w:r>
    </w:p>
    <w:p>
      <w:pPr>
        <w:spacing w:after="0" w:line="139" w:lineRule="exact"/>
        <w:rPr>
          <w:rFonts w:ascii="Courier New" w:cs="Courier New" w:eastAsia="Courier New" w:hAnsi="Courier New"/>
          <w:sz w:val="12"/>
          <w:szCs w:val="12"/>
          <w:color w:val="auto"/>
        </w:rPr>
      </w:pPr>
    </w:p>
    <w:p>
      <w:pPr>
        <w:ind w:left="740" w:right="4579"/>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5 for the accounting for the public offering in accordance with U.S. GAAP.</w:t>
      </w:r>
    </w:p>
    <w:p>
      <w:pPr>
        <w:spacing w:after="0" w:line="279" w:lineRule="exact"/>
        <w:rPr>
          <w:rFonts w:ascii="Courier New" w:cs="Courier New" w:eastAsia="Courier New" w:hAnsi="Courier New"/>
          <w:sz w:val="12"/>
          <w:szCs w:val="12"/>
          <w:color w:val="auto"/>
        </w:rPr>
      </w:pPr>
    </w:p>
    <w:p>
      <w:pPr>
        <w:ind w:left="2860" w:hanging="141"/>
        <w:spacing w:after="0"/>
        <w:tabs>
          <w:tab w:leader="none" w:pos="2860" w:val="left"/>
        </w:tabs>
        <w:numPr>
          <w:ilvl w:val="1"/>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20 -</w:t>
      </w:r>
    </w:p>
    <w:p>
      <w:pPr>
        <w:spacing w:after="0" w:line="200" w:lineRule="exact"/>
        <w:rPr>
          <w:sz w:val="20"/>
          <w:szCs w:val="20"/>
          <w:color w:val="auto"/>
        </w:rPr>
      </w:pPr>
    </w:p>
    <w:p>
      <w:pPr>
        <w:spacing w:after="0" w:line="21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OTHER RECENT DEVELOPMENTS (CONT.)</w:t>
      </w:r>
    </w:p>
    <w:p>
      <w:pPr>
        <w:spacing w:after="0" w:line="147" w:lineRule="exact"/>
        <w:rPr>
          <w:sz w:val="20"/>
          <w:szCs w:val="20"/>
          <w:color w:val="auto"/>
        </w:rPr>
      </w:pPr>
    </w:p>
    <w:p>
      <w:pPr>
        <w:ind w:left="740" w:hanging="376"/>
        <w:spacing w:after="0"/>
        <w:tabs>
          <w:tab w:leader="none" w:pos="740"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2006 PRIVATE PLACEMENT</w:t>
      </w:r>
    </w:p>
    <w:p>
      <w:pPr>
        <w:sectPr>
          <w:pgSz w:w="11900" w:h="16838" w:orient="portrait"/>
          <w:cols w:equalWidth="0" w:num="1">
            <w:col w:w="10239"/>
          </w:cols>
          <w:pgMar w:left="220" w:top="141" w:right="1440" w:bottom="0" w:gutter="0" w:footer="0" w:header="0"/>
        </w:sectPr>
      </w:pPr>
    </w:p>
    <w:bookmarkStart w:id="15" w:name="page16"/>
    <w:bookmarkEnd w:id="15"/>
    <w:p>
      <w:pPr>
        <w:spacing w:after="0" w:line="175"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In November 2006, the Company received and accepted orders from</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Israeli investors in a private placement for 58,150 units, each</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comprised of 100 ordinary shares and 50 warrants. Each unit was sold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at a price of NIS 759 (approximately $0.177). The price of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ordinary shares included in the units was identical to the closing</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price of the Company's shares on the Tel-Aviv Stock Exchange on</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October 29, 2006 (NIS 7.59 per share). Total immediate proceeds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amounted to approximately $10,300.</w:t>
      </w:r>
    </w:p>
    <w:p>
      <w:pPr>
        <w:spacing w:after="0" w:line="147"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Under Israeli securities laws, the securities are subject to a</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statutory lock-up. The Company has undertaken to file a prospectus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with the Israel Securities Authority to allow for the unrestricted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trade of the securities.</w:t>
      </w:r>
    </w:p>
    <w:p>
      <w:pPr>
        <w:spacing w:after="0" w:line="147" w:lineRule="exact"/>
        <w:rPr>
          <w:sz w:val="20"/>
          <w:szCs w:val="20"/>
          <w:color w:val="auto"/>
        </w:rPr>
      </w:pPr>
    </w:p>
    <w:p>
      <w:pPr>
        <w:ind w:left="740" w:right="4359"/>
        <w:spacing w:after="0" w:line="250" w:lineRule="auto"/>
        <w:rPr>
          <w:sz w:val="20"/>
          <w:szCs w:val="20"/>
          <w:color w:val="auto"/>
        </w:rPr>
      </w:pPr>
      <w:r>
        <w:rPr>
          <w:rFonts w:ascii="Courier New" w:cs="Courier New" w:eastAsia="Courier New" w:hAnsi="Courier New"/>
          <w:sz w:val="12"/>
          <w:szCs w:val="12"/>
          <w:color w:val="auto"/>
        </w:rPr>
        <w:t>Each warrant is exercisable at any time during a period of four years at a price per share equal to a 25% premium to the market price of the Company's shares at the date the prospectus is published or the first date the securities may be sold under Israel's statutory lock-up rules, but not higher than NIS 9.48 (approximately $0.0022).</w:t>
      </w:r>
    </w:p>
    <w:p>
      <w:pPr>
        <w:spacing w:after="0" w:line="141"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In addition, the Company granted a green shoe option to the placement</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agents for up to approximately $2,500, which is exercisable until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earlier of December 1, 2006 or the date the prospectus is published,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unless agreed to otherwise.</w:t>
      </w:r>
    </w:p>
    <w:p>
      <w:pPr>
        <w:spacing w:after="0" w:line="147" w:lineRule="exact"/>
        <w:rPr>
          <w:sz w:val="20"/>
          <w:szCs w:val="20"/>
          <w:color w:val="auto"/>
        </w:rPr>
      </w:pPr>
    </w:p>
    <w:p>
      <w:pPr>
        <w:ind w:left="740" w:hanging="376"/>
        <w:spacing w:after="0"/>
        <w:tabs>
          <w:tab w:leader="none" w:pos="74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AUTHORIZED SHARES</w:t>
      </w:r>
    </w:p>
    <w:p>
      <w:pPr>
        <w:spacing w:after="0" w:line="147" w:lineRule="exact"/>
        <w:rPr>
          <w:rFonts w:ascii="Courier New" w:cs="Courier New" w:eastAsia="Courier New" w:hAnsi="Courier New"/>
          <w:sz w:val="12"/>
          <w:szCs w:val="12"/>
          <w:color w:val="auto"/>
        </w:rPr>
      </w:pPr>
    </w:p>
    <w:p>
      <w:pPr>
        <w:ind w:left="740" w:right="441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March 2006, the Board of Directors of the Company approved the increase of the Company's authorized shares from 500,000,000 to 800,000,000. This increase was approved by the Company's shareholders in September 2006.</w:t>
      </w:r>
    </w:p>
    <w:p>
      <w:pPr>
        <w:spacing w:after="0" w:line="280" w:lineRule="exact"/>
        <w:rPr>
          <w:rFonts w:ascii="Courier New" w:cs="Courier New" w:eastAsia="Courier New" w:hAnsi="Courier New"/>
          <w:sz w:val="12"/>
          <w:szCs w:val="12"/>
          <w:color w:val="auto"/>
        </w:rPr>
      </w:pPr>
    </w:p>
    <w:p>
      <w:pPr>
        <w:ind w:left="2860" w:hanging="141"/>
        <w:spacing w:after="0"/>
        <w:tabs>
          <w:tab w:leader="none" w:pos="2860" w:val="left"/>
        </w:tabs>
        <w:numPr>
          <w:ilvl w:val="1"/>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21 -</w:t>
      </w:r>
    </w:p>
    <w:p>
      <w:pPr>
        <w:spacing w:after="0" w:line="200" w:lineRule="exact"/>
        <w:rPr>
          <w:sz w:val="20"/>
          <w:szCs w:val="20"/>
          <w:color w:val="auto"/>
        </w:rPr>
      </w:pPr>
    </w:p>
    <w:p>
      <w:pPr>
        <w:spacing w:after="0" w:line="21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MATERIAL DIFFERENCES BETWEEN ISRAELI AND U.S. GAAP</w:t>
      </w:r>
    </w:p>
    <w:p>
      <w:pPr>
        <w:spacing w:after="0" w:line="147" w:lineRule="exact"/>
        <w:rPr>
          <w:sz w:val="20"/>
          <w:szCs w:val="20"/>
          <w:color w:val="auto"/>
        </w:rPr>
      </w:pPr>
    </w:p>
    <w:p>
      <w:pPr>
        <w:ind w:left="360" w:right="4359"/>
        <w:spacing w:after="0" w:line="251" w:lineRule="auto"/>
        <w:rPr>
          <w:sz w:val="20"/>
          <w:szCs w:val="20"/>
          <w:color w:val="auto"/>
        </w:rPr>
      </w:pPr>
      <w:r>
        <w:rPr>
          <w:rFonts w:ascii="Courier New" w:cs="Courier New" w:eastAsia="Courier New" w:hAnsi="Courier New"/>
          <w:sz w:val="12"/>
          <w:szCs w:val="12"/>
          <w:color w:val="auto"/>
        </w:rPr>
        <w:t>With regard to the Company's interim financial statements, the material differences between GAAP in Israel and in the U.S. relate to the following. See I below for the presentation of the Company's unaudited balance sheet as of September 30, 2006 in accordance with U.S. GAAP.</w:t>
      </w:r>
    </w:p>
    <w:p>
      <w:pPr>
        <w:spacing w:after="0" w:line="139" w:lineRule="exact"/>
        <w:rPr>
          <w:sz w:val="20"/>
          <w:szCs w:val="20"/>
          <w:color w:val="auto"/>
        </w:rPr>
      </w:pPr>
    </w:p>
    <w:p>
      <w:pPr>
        <w:ind w:left="740" w:hanging="376"/>
        <w:spacing w:after="0"/>
        <w:tabs>
          <w:tab w:leader="none" w:pos="740" w:val="left"/>
        </w:tabs>
        <w:numPr>
          <w:ilvl w:val="0"/>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FASB</w:t>
      </w:r>
    </w:p>
    <w:p>
      <w:pPr>
        <w:spacing w:after="0" w:line="147" w:lineRule="exact"/>
        <w:rPr>
          <w:rFonts w:ascii="Courier New" w:cs="Courier New" w:eastAsia="Courier New" w:hAnsi="Courier New"/>
          <w:sz w:val="12"/>
          <w:szCs w:val="12"/>
          <w:color w:val="auto"/>
        </w:rPr>
      </w:pPr>
    </w:p>
    <w:p>
      <w:pPr>
        <w:ind w:left="7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SFAS NO. 155. ACCOUNTING FOR CERTAIN HYBRID FINANCIAL INSTRUMENTS -</w:t>
      </w:r>
    </w:p>
    <w:p>
      <w:pPr>
        <w:spacing w:after="0" w:line="147" w:lineRule="exact"/>
        <w:rPr>
          <w:rFonts w:ascii="Courier New" w:cs="Courier New" w:eastAsia="Courier New" w:hAnsi="Courier New"/>
          <w:sz w:val="12"/>
          <w:szCs w:val="12"/>
          <w:color w:val="auto"/>
        </w:rPr>
      </w:pPr>
    </w:p>
    <w:p>
      <w:pPr>
        <w:ind w:left="740" w:right="435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February 2006, the FASB issued SFAS 155, "Accounting for Certain Hybrid Financial Instruments". Key provisions of SFAS 155 include: (1) a broad fair value measurement option for certain hybrid financial instruments that contain an embedded derivative that would otherwise require bifurcation; (2) clarification that only the simplest separations of interest payments and principal payments qualify for the exception afforded to interest-only strips and principal-only strips from derivative accounting under paragraph 14 of FAS 133 (thereby narrowing such exception); (3) a requirement that beneficial interests in securitized financial assets be analyzed to determine whether they are freestanding derivatives or whether they are hybrid instruments that contain embedded derivatives requiring bifurcation;</w:t>
      </w:r>
    </w:p>
    <w:p>
      <w:pPr>
        <w:spacing w:after="0" w:line="6" w:lineRule="exact"/>
        <w:rPr>
          <w:rFonts w:ascii="Courier New" w:cs="Courier New" w:eastAsia="Courier New" w:hAnsi="Courier New"/>
          <w:sz w:val="12"/>
          <w:szCs w:val="12"/>
          <w:color w:val="auto"/>
        </w:rPr>
      </w:pPr>
    </w:p>
    <w:p>
      <w:pPr>
        <w:ind w:left="740" w:right="4359" w:hanging="8"/>
        <w:spacing w:after="0" w:line="250" w:lineRule="auto"/>
        <w:tabs>
          <w:tab w:leader="none" w:pos="1035" w:val="left"/>
        </w:tabs>
        <w:numPr>
          <w:ilvl w:val="1"/>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clarification that concentrations of credit risk in the form of subordination are not embedded derivatives; and (5) elimination of the prohibition on a QSPE holding passive derivative financial instruments that pertain to beneficial interests that are or contain a derivative financial instrument. In general, these changes will reduce the operational complexity associated with bifurcating embedded derivatives, and increase the number of beneficial interests in securitization transactions, including interest-only strips and principal-only strips, required to be accounted for in accordance with FAS 133. Management does not believe that SFAS 155 will have a material effect on the financial condition, results of operations, or liquidity of the Company.</w:t>
      </w:r>
    </w:p>
    <w:p>
      <w:pPr>
        <w:spacing w:after="0" w:line="141"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FIN NO. 48. ACCOUNTING FOR UNCERTAINTY IN INCOME TAXES -</w:t>
      </w:r>
    </w:p>
    <w:p>
      <w:pPr>
        <w:spacing w:after="0" w:line="147" w:lineRule="exact"/>
        <w:rPr>
          <w:sz w:val="20"/>
          <w:szCs w:val="20"/>
          <w:color w:val="auto"/>
        </w:rPr>
      </w:pPr>
    </w:p>
    <w:p>
      <w:pPr>
        <w:ind w:left="740" w:right="4359"/>
        <w:spacing w:after="0" w:line="250" w:lineRule="auto"/>
        <w:rPr>
          <w:sz w:val="20"/>
          <w:szCs w:val="20"/>
          <w:color w:val="auto"/>
        </w:rPr>
      </w:pPr>
      <w:r>
        <w:rPr>
          <w:rFonts w:ascii="Courier New" w:cs="Courier New" w:eastAsia="Courier New" w:hAnsi="Courier New"/>
          <w:sz w:val="12"/>
          <w:szCs w:val="12"/>
          <w:color w:val="auto"/>
        </w:rPr>
        <w:t>On July 13, 2006, the FASB issued Interpretation No. 48, "Accounting for Uncertainty in Income Taxes - an interpretation of FASB Statement No. 109" ("FIN 48"), which clarifies the accounting for uncertainty in tax positions. This Interpretation requires recognition in the financial statements of the impact of a tax position, if that position is more likely than not of being sustained on audit, based on the technical merits of the position. The provisions of FIN 48 are effective for the 2007 fiscal year with the cumulative effect of the change in accounting principle recorded as an adjustment to opening balance of retained earnings. Management does not believe that FIN 48 will have a material effect on the financial condition, results of operations, or liquidity of the Company.</w:t>
      </w:r>
    </w:p>
    <w:p>
      <w:pPr>
        <w:spacing w:after="0" w:line="283"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- 22 -</w:t>
      </w:r>
    </w:p>
    <w:p>
      <w:pPr>
        <w:spacing w:after="0" w:line="200" w:lineRule="exact"/>
        <w:rPr>
          <w:sz w:val="20"/>
          <w:szCs w:val="20"/>
          <w:color w:val="auto"/>
        </w:rPr>
      </w:pPr>
    </w:p>
    <w:p>
      <w:pPr>
        <w:spacing w:after="0" w:line="21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MATERIAL DIFFERENCES BETWEEN ISRAELI AND U.S. GAAP (CONT.)</w:t>
      </w:r>
    </w:p>
    <w:p>
      <w:pPr>
        <w:spacing w:after="0" w:line="147" w:lineRule="exact"/>
        <w:rPr>
          <w:sz w:val="20"/>
          <w:szCs w:val="20"/>
          <w:color w:val="auto"/>
        </w:rPr>
      </w:pPr>
    </w:p>
    <w:p>
      <w:pPr>
        <w:ind w:left="740" w:right="4879" w:hanging="376"/>
        <w:spacing w:after="0" w:line="253" w:lineRule="auto"/>
        <w:tabs>
          <w:tab w:leader="none" w:pos="740"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PRESENTATION OF DESIGNATED CASH AND SHORT-TERM INTEREST-BEARING DEPOSITS</w:t>
      </w:r>
    </w:p>
    <w:p>
      <w:pPr>
        <w:spacing w:after="0" w:line="138" w:lineRule="exact"/>
        <w:rPr>
          <w:rFonts w:ascii="Courier New" w:cs="Courier New" w:eastAsia="Courier New" w:hAnsi="Courier New"/>
          <w:sz w:val="12"/>
          <w:szCs w:val="12"/>
          <w:color w:val="auto"/>
        </w:rPr>
      </w:pPr>
    </w:p>
    <w:p>
      <w:pPr>
        <w:ind w:left="740" w:right="449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accordance with U.S. GAAP, the Company's designated cash and short-term interest-bearing deposits should be excluded from current assets and presented separately as a non-current asset. Accordingly, as of December 31, 2005 $31,661 was reclassified from current assets to a long-term asset.</w:t>
      </w:r>
    </w:p>
    <w:p>
      <w:pPr>
        <w:spacing w:after="0" w:line="141" w:lineRule="exact"/>
        <w:rPr>
          <w:rFonts w:ascii="Courier New" w:cs="Courier New" w:eastAsia="Courier New" w:hAnsi="Courier New"/>
          <w:sz w:val="12"/>
          <w:szCs w:val="12"/>
          <w:color w:val="auto"/>
        </w:rPr>
      </w:pPr>
    </w:p>
    <w:p>
      <w:pPr>
        <w:ind w:left="740" w:right="4719" w:hanging="376"/>
        <w:spacing w:after="0" w:line="503" w:lineRule="auto"/>
        <w:tabs>
          <w:tab w:leader="none" w:pos="740"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PRESENTATION OF NET LONG-TERM LIABILITIES IN RESPECT OF EMPLOYEES Under U.S. GAAP, assets and liabilities relating to severance</w:t>
      </w:r>
    </w:p>
    <w:p>
      <w:pPr>
        <w:sectPr>
          <w:pgSz w:w="11900" w:h="17013" w:orient="portrait"/>
          <w:cols w:equalWidth="0" w:num="1">
            <w:col w:w="10239"/>
          </w:cols>
          <w:pgMar w:left="220" w:top="141" w:right="1440" w:bottom="0" w:gutter="0" w:footer="0" w:header="0"/>
        </w:sectPr>
      </w:pPr>
    </w:p>
    <w:bookmarkStart w:id="16" w:name="page17"/>
    <w:bookmarkEnd w:id="16"/>
    <w:p>
      <w:pPr>
        <w:spacing w:after="0" w:line="24" w:lineRule="exact"/>
        <w:rPr>
          <w:sz w:val="20"/>
          <w:szCs w:val="20"/>
          <w:color w:val="auto"/>
        </w:rPr>
      </w:pPr>
    </w:p>
    <w:p>
      <w:pPr>
        <w:ind w:left="740" w:right="4359"/>
        <w:spacing w:after="0" w:line="250" w:lineRule="auto"/>
        <w:rPr>
          <w:sz w:val="20"/>
          <w:szCs w:val="20"/>
          <w:color w:val="auto"/>
        </w:rPr>
      </w:pPr>
      <w:r>
        <w:rPr>
          <w:rFonts w:ascii="Courier New" w:cs="Courier New" w:eastAsia="Courier New" w:hAnsi="Courier New"/>
          <w:sz w:val="12"/>
          <w:szCs w:val="12"/>
          <w:color w:val="auto"/>
        </w:rPr>
        <w:t>arrangements are to be presented separately and are not to be offset, while according to Israeli GAAP such an offset is required. Accordingly, as of September 30, 2006, an amount of $13,933 was reclassified from other long-term liabilities to long-term investments (as of December 31, 2005 - $13,658).</w:t>
      </w:r>
    </w:p>
    <w:p>
      <w:pPr>
        <w:spacing w:after="0" w:line="141" w:lineRule="exact"/>
        <w:rPr>
          <w:sz w:val="20"/>
          <w:szCs w:val="20"/>
          <w:color w:val="auto"/>
        </w:rPr>
      </w:pPr>
    </w:p>
    <w:p>
      <w:pPr>
        <w:ind w:left="740" w:hanging="376"/>
        <w:spacing w:after="0"/>
        <w:tabs>
          <w:tab w:leader="none" w:pos="740"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HEDGING ACTIVITIES IN ACCORDANCE WITH U.S. GAAP (SFAS 133)</w:t>
      </w:r>
    </w:p>
    <w:p>
      <w:pPr>
        <w:spacing w:after="0" w:line="147" w:lineRule="exact"/>
        <w:rPr>
          <w:rFonts w:ascii="Courier New" w:cs="Courier New" w:eastAsia="Courier New" w:hAnsi="Courier New"/>
          <w:sz w:val="12"/>
          <w:szCs w:val="12"/>
          <w:color w:val="auto"/>
        </w:rPr>
      </w:pPr>
    </w:p>
    <w:p>
      <w:pPr>
        <w:ind w:left="74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SFAS 133 as amended and the related interpretations thereon with respect to the Company's hedging transactions as of September 30, 2006 would have resulted in: an increase in other long-term investments in the amount of $1,636; a decrease in other comprehensive loss for the nine months ended September 30, 2006 in the net amount of $865; an accumulated other comprehensive loss component of equity balance as of September 30, 2006 in the amount of $689; and in a decrease of $2,325 in property and equipment, net as of September 30, 2006.</w:t>
      </w:r>
    </w:p>
    <w:p>
      <w:pPr>
        <w:spacing w:after="0" w:line="141" w:lineRule="exact"/>
        <w:rPr>
          <w:rFonts w:ascii="Courier New" w:cs="Courier New" w:eastAsia="Courier New" w:hAnsi="Courier New"/>
          <w:sz w:val="12"/>
          <w:szCs w:val="12"/>
          <w:color w:val="auto"/>
        </w:rPr>
      </w:pPr>
    </w:p>
    <w:p>
      <w:pPr>
        <w:ind w:left="740" w:hanging="376"/>
        <w:spacing w:after="0"/>
        <w:tabs>
          <w:tab w:leader="none" w:pos="740"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DEFERRED FINANCING CHARGES</w:t>
      </w:r>
    </w:p>
    <w:p>
      <w:pPr>
        <w:spacing w:after="0" w:line="147" w:lineRule="exact"/>
        <w:rPr>
          <w:rFonts w:ascii="Courier New" w:cs="Courier New" w:eastAsia="Courier New" w:hAnsi="Courier New"/>
          <w:sz w:val="12"/>
          <w:szCs w:val="12"/>
          <w:color w:val="auto"/>
        </w:rPr>
      </w:pPr>
    </w:p>
    <w:p>
      <w:pPr>
        <w:ind w:left="740" w:right="441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deferred-financing charges are to be presented in other assets, while according to Israeli GAAP effective January 1, 2006 such amount is required to be offset from the related long-term debt. Accordingly, as of September 30, 2006, an amount of $15,083 was reclassified from long-term debt to other assets.</w:t>
      </w:r>
    </w:p>
    <w:p>
      <w:pPr>
        <w:spacing w:after="0" w:line="283" w:lineRule="exact"/>
        <w:rPr>
          <w:rFonts w:ascii="Courier New" w:cs="Courier New" w:eastAsia="Courier New" w:hAnsi="Courier New"/>
          <w:sz w:val="12"/>
          <w:szCs w:val="12"/>
          <w:color w:val="auto"/>
        </w:rPr>
      </w:pPr>
    </w:p>
    <w:p>
      <w:pPr>
        <w:ind w:left="2860" w:hanging="141"/>
        <w:spacing w:after="0"/>
        <w:tabs>
          <w:tab w:leader="none" w:pos="2860" w:val="left"/>
        </w:tabs>
        <w:numPr>
          <w:ilvl w:val="1"/>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23 -</w:t>
      </w:r>
    </w:p>
    <w:p>
      <w:pPr>
        <w:spacing w:after="0" w:line="200" w:lineRule="exact"/>
        <w:rPr>
          <w:sz w:val="20"/>
          <w:szCs w:val="20"/>
          <w:color w:val="auto"/>
        </w:rPr>
      </w:pPr>
    </w:p>
    <w:p>
      <w:pPr>
        <w:spacing w:after="0" w:line="21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MATERIAL DIFFERENCES BETWEEN ISRAELI AND U.S. GAAP (CONT.)</w:t>
      </w:r>
    </w:p>
    <w:p>
      <w:pPr>
        <w:spacing w:after="0" w:line="147" w:lineRule="exact"/>
        <w:rPr>
          <w:sz w:val="20"/>
          <w:szCs w:val="20"/>
          <w:color w:val="auto"/>
        </w:rPr>
      </w:pPr>
    </w:p>
    <w:p>
      <w:pPr>
        <w:ind w:left="740" w:hanging="376"/>
        <w:spacing w:after="0"/>
        <w:tabs>
          <w:tab w:leader="none" w:pos="740"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ISSUANCE OF CONVERTIBLE DEBENTURES</w:t>
      </w:r>
    </w:p>
    <w:p>
      <w:pPr>
        <w:spacing w:after="0" w:line="147" w:lineRule="exact"/>
        <w:rPr>
          <w:rFonts w:ascii="Courier New" w:cs="Courier New" w:eastAsia="Courier New" w:hAnsi="Courier New"/>
          <w:sz w:val="12"/>
          <w:szCs w:val="12"/>
          <w:color w:val="auto"/>
        </w:rPr>
      </w:pPr>
    </w:p>
    <w:p>
      <w:pPr>
        <w:ind w:left="74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Accounting Principles Board Opinion No. 14 ("APB 14"), the proceeds from the sale of the securities in January 2002 are to be allocated to each of the securities issued based on their relative fair value, while according to Israeli GAAP such treatment was not required. Complying with APB 14, based on the average market value of each of the components issued in the first three days following their issuance (in January 2002), would have resulted in an increase in shareholders' equity as of the issuance date in the amount of $2,363 (net of $196 related issuance expenses), and a decrease in convertible debentures as of such date in the amount of $2,559. The additional accumulated effect of amortization of the discount on the convertible debentures under U.S.GAAP as of September30, 2006 would have been $1,375. Commencing with the adoption of Standard No. 22 in January 2006, allocation of proceeds in a unit, to its components, is based on relative fair values under Israeli GAAP as well as under US GAAP.</w:t>
      </w:r>
    </w:p>
    <w:p>
      <w:pPr>
        <w:spacing w:after="0" w:line="141" w:lineRule="exact"/>
        <w:rPr>
          <w:rFonts w:ascii="Courier New" w:cs="Courier New" w:eastAsia="Courier New" w:hAnsi="Courier New"/>
          <w:sz w:val="12"/>
          <w:szCs w:val="12"/>
          <w:color w:val="auto"/>
        </w:rPr>
      </w:pPr>
    </w:p>
    <w:p>
      <w:pPr>
        <w:ind w:left="74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convertible debentures have to be evaluated to determine if they contain embedded derivative that warrant bifurcation. Conversion feature embedded in convertible debentures will need to be evaluated as to whether they can be classified as equity based on the criteria established in EITF Issue 00-19 and 05-2. The Company evaluated the conversion features embedded in its debentures (i.e., sale of convertible debentures in 2002 - "2002 debentures", sale of convertible debentures in 2005 "2005 debentures" and sale of convertible debentures in 2006 "2006 debentures") and concluded that the conversion feature embedded in the 2005 and 2006 debentures warrant bifurcation while the conversion feature embedded in the 2002 debentures is scoped out (for the discussion on the accounting for the debentures under Israeli GAAP see Note 1A(3)b).</w:t>
      </w:r>
    </w:p>
    <w:p>
      <w:pPr>
        <w:spacing w:after="0" w:line="141" w:lineRule="exact"/>
        <w:rPr>
          <w:rFonts w:ascii="Courier New" w:cs="Courier New" w:eastAsia="Courier New" w:hAnsi="Courier New"/>
          <w:sz w:val="12"/>
          <w:szCs w:val="12"/>
          <w:color w:val="auto"/>
        </w:rPr>
      </w:pPr>
    </w:p>
    <w:p>
      <w:pPr>
        <w:ind w:left="7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2002 DEBENTURES:</w:t>
      </w:r>
    </w:p>
    <w:p>
      <w:pPr>
        <w:spacing w:after="0" w:line="147" w:lineRule="exact"/>
        <w:rPr>
          <w:rFonts w:ascii="Courier New" w:cs="Courier New" w:eastAsia="Courier New" w:hAnsi="Courier New"/>
          <w:sz w:val="12"/>
          <w:szCs w:val="12"/>
          <w:color w:val="auto"/>
        </w:rPr>
      </w:pPr>
    </w:p>
    <w:p>
      <w:pPr>
        <w:ind w:left="740" w:right="4359"/>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the equity component, in the amount of $1,681, classified in equity under Israeli GAAP was reclassified to liability.</w:t>
      </w:r>
    </w:p>
    <w:p>
      <w:pPr>
        <w:spacing w:after="0" w:line="138" w:lineRule="exact"/>
        <w:rPr>
          <w:rFonts w:ascii="Courier New" w:cs="Courier New" w:eastAsia="Courier New" w:hAnsi="Courier New"/>
          <w:sz w:val="12"/>
          <w:szCs w:val="12"/>
          <w:color w:val="auto"/>
        </w:rPr>
      </w:pPr>
    </w:p>
    <w:p>
      <w:pPr>
        <w:ind w:left="7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2005 DEBENTURES:</w:t>
      </w:r>
    </w:p>
    <w:p>
      <w:pPr>
        <w:spacing w:after="0" w:line="147" w:lineRule="exact"/>
        <w:rPr>
          <w:rFonts w:ascii="Courier New" w:cs="Courier New" w:eastAsia="Courier New" w:hAnsi="Courier New"/>
          <w:sz w:val="12"/>
          <w:szCs w:val="12"/>
          <w:color w:val="auto"/>
        </w:rPr>
      </w:pPr>
    </w:p>
    <w:p>
      <w:pPr>
        <w:ind w:left="74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the equity component, in the amount of $13,377 classified as equity under Israeli GAAP was reclassified to liability and the conversion feature was bifurcated from the debt host and marked to market through earnings. The initial amount allocated to the bifurcated conversion feature was determined using the "with and without" method based on the fair value of the embedded derivative prescribed in DIG Issue B6.</w:t>
      </w:r>
    </w:p>
    <w:p>
      <w:pPr>
        <w:spacing w:after="0" w:line="141" w:lineRule="exact"/>
        <w:rPr>
          <w:rFonts w:ascii="Courier New" w:cs="Courier New" w:eastAsia="Courier New" w:hAnsi="Courier New"/>
          <w:sz w:val="12"/>
          <w:szCs w:val="12"/>
          <w:color w:val="auto"/>
        </w:rPr>
      </w:pPr>
    </w:p>
    <w:p>
      <w:pPr>
        <w:ind w:left="7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2006 DEBENTURES:</w:t>
      </w:r>
    </w:p>
    <w:p>
      <w:pPr>
        <w:spacing w:after="0" w:line="147" w:lineRule="exact"/>
        <w:rPr>
          <w:rFonts w:ascii="Courier New" w:cs="Courier New" w:eastAsia="Courier New" w:hAnsi="Courier New"/>
          <w:sz w:val="12"/>
          <w:szCs w:val="12"/>
          <w:color w:val="auto"/>
        </w:rPr>
      </w:pPr>
    </w:p>
    <w:p>
      <w:pPr>
        <w:ind w:left="74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the equity component, in the amount of $6,006, classified in equity under Israeli GAAP was reclassified to liability. The conversion feature was bifurcated from the debt host and marked to market through earnings. The amount allocated to the bifurcated conversion feature was determined using the "with and without" method.</w:t>
      </w:r>
    </w:p>
    <w:p>
      <w:pPr>
        <w:spacing w:after="0" w:line="283" w:lineRule="exact"/>
        <w:rPr>
          <w:rFonts w:ascii="Courier New" w:cs="Courier New" w:eastAsia="Courier New" w:hAnsi="Courier New"/>
          <w:sz w:val="12"/>
          <w:szCs w:val="12"/>
          <w:color w:val="auto"/>
        </w:rPr>
      </w:pPr>
    </w:p>
    <w:p>
      <w:pPr>
        <w:ind w:left="2860" w:hanging="141"/>
        <w:spacing w:after="0"/>
        <w:tabs>
          <w:tab w:leader="none" w:pos="2860" w:val="left"/>
        </w:tabs>
        <w:numPr>
          <w:ilvl w:val="1"/>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24 -</w:t>
      </w:r>
    </w:p>
    <w:p>
      <w:pPr>
        <w:spacing w:after="0" w:line="200" w:lineRule="exact"/>
        <w:rPr>
          <w:sz w:val="20"/>
          <w:szCs w:val="20"/>
          <w:color w:val="auto"/>
        </w:rPr>
      </w:pPr>
    </w:p>
    <w:p>
      <w:pPr>
        <w:spacing w:after="0" w:line="21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MATERIAL DIFFERENCES BETWEEN ISRAELI AND U.S. GAAP (CONT.)</w:t>
      </w:r>
    </w:p>
    <w:p>
      <w:pPr>
        <w:spacing w:after="0" w:line="147" w:lineRule="exact"/>
        <w:rPr>
          <w:sz w:val="20"/>
          <w:szCs w:val="20"/>
          <w:color w:val="auto"/>
        </w:rPr>
      </w:pPr>
    </w:p>
    <w:p>
      <w:pPr>
        <w:ind w:left="740" w:hanging="376"/>
        <w:spacing w:after="0"/>
        <w:tabs>
          <w:tab w:leader="none" w:pos="740" w:val="left"/>
        </w:tabs>
        <w:numPr>
          <w:ilvl w:val="0"/>
          <w:numId w:val="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ISSUANCE OF CONVERTIBLE DEBENTURES (CONT.)</w:t>
      </w:r>
    </w:p>
    <w:p>
      <w:pPr>
        <w:spacing w:after="0" w:line="147" w:lineRule="exact"/>
        <w:rPr>
          <w:rFonts w:ascii="Courier New" w:cs="Courier New" w:eastAsia="Courier New" w:hAnsi="Courier New"/>
          <w:sz w:val="12"/>
          <w:szCs w:val="12"/>
          <w:color w:val="auto"/>
        </w:rPr>
      </w:pPr>
    </w:p>
    <w:p>
      <w:pPr>
        <w:ind w:left="740"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All the above resulted as of September 30, 2006 mainly in an increase in convertible debentures in the amount of $20,013; a decrease in the shareholder's equity in the amount of $19,132 and an increase in other assets in the amount of $932. The Company's loss for the nine-month period ended September 30, 2006 would have increased in the amount of $1,154</w:t>
      </w:r>
    </w:p>
    <w:p>
      <w:pPr>
        <w:spacing w:after="0" w:line="141" w:lineRule="exact"/>
        <w:rPr>
          <w:rFonts w:ascii="Courier New" w:cs="Courier New" w:eastAsia="Courier New" w:hAnsi="Courier New"/>
          <w:sz w:val="12"/>
          <w:szCs w:val="12"/>
          <w:color w:val="auto"/>
        </w:rPr>
      </w:pPr>
    </w:p>
    <w:p>
      <w:pPr>
        <w:ind w:left="740" w:hanging="376"/>
        <w:spacing w:after="0"/>
        <w:tabs>
          <w:tab w:leader="none" w:pos="740" w:val="left"/>
        </w:tabs>
        <w:numPr>
          <w:ilvl w:val="0"/>
          <w:numId w:val="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STOCK BASED COMPENSATION</w:t>
      </w:r>
    </w:p>
    <w:p>
      <w:pPr>
        <w:spacing w:after="0" w:line="147" w:lineRule="exact"/>
        <w:rPr>
          <w:rFonts w:ascii="Courier New" w:cs="Courier New" w:eastAsia="Courier New" w:hAnsi="Courier New"/>
          <w:sz w:val="12"/>
          <w:szCs w:val="12"/>
          <w:color w:val="auto"/>
        </w:rPr>
      </w:pPr>
    </w:p>
    <w:p>
      <w:pPr>
        <w:ind w:left="7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adopted, effective January 1, 2006, SFAS 123R according to</w:t>
      </w:r>
    </w:p>
    <w:p>
      <w:pPr>
        <w:sectPr>
          <w:pgSz w:w="11900" w:h="16862" w:orient="portrait"/>
          <w:cols w:equalWidth="0" w:num="1">
            <w:col w:w="10239"/>
          </w:cols>
          <w:pgMar w:left="220" w:top="141" w:right="1440" w:bottom="0" w:gutter="0" w:footer="0" w:header="0"/>
        </w:sectPr>
      </w:pPr>
    </w:p>
    <w:bookmarkStart w:id="17" w:name="page18"/>
    <w:bookmarkEnd w:id="17"/>
    <w:p>
      <w:pPr>
        <w:spacing w:after="0" w:line="45"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which the compensation expense related to employee and directors share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option awards would have been resulted in an increase in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compensations expenses for the period ending September 30, 2006 in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amount of $1,140. The Company elected the modified prospective method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as its transition method.</w:t>
      </w:r>
    </w:p>
    <w:p>
      <w:pPr>
        <w:spacing w:after="0" w:line="147" w:lineRule="exact"/>
        <w:rPr>
          <w:sz w:val="20"/>
          <w:szCs w:val="20"/>
          <w:color w:val="auto"/>
        </w:rPr>
      </w:pPr>
    </w:p>
    <w:p>
      <w:pPr>
        <w:ind w:left="740" w:hanging="376"/>
        <w:spacing w:after="0"/>
        <w:tabs>
          <w:tab w:leader="none" w:pos="740"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w:t>
      </w:r>
    </w:p>
    <w:p>
      <w:pPr>
        <w:spacing w:after="0" w:line="147" w:lineRule="exact"/>
        <w:rPr>
          <w:rFonts w:ascii="Courier New" w:cs="Courier New" w:eastAsia="Courier New" w:hAnsi="Courier New"/>
          <w:sz w:val="12"/>
          <w:szCs w:val="12"/>
          <w:color w:val="auto"/>
        </w:rPr>
      </w:pPr>
    </w:p>
    <w:p>
      <w:pPr>
        <w:ind w:left="740" w:right="5020"/>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the debt modification under the Amendment is considered troubled debt restructuring within the scope of FASB No. 15 ACCOUNTING BY DEBTORS AND CREDITORS FOR TROUBLED DEBT RESTRUCTURINGS which requires the following: (i) the amount considered settled for shares and classified in equity is based on the price per share as quoted at the closing date;(ii) the remaining balance after deduction of the amount used as proceeds for the share issuance in 1 above, will remain outstanding, ;.(iii) a new, lower effective interest rate will be calculated as the interest rate that equates future payments to the outstanding balance; and (iv) no gains or losses are recognized in the current period.</w:t>
      </w:r>
    </w:p>
    <w:p>
      <w:pPr>
        <w:spacing w:after="0" w:line="141" w:lineRule="exact"/>
        <w:rPr>
          <w:rFonts w:ascii="Courier New" w:cs="Courier New" w:eastAsia="Courier New" w:hAnsi="Courier New"/>
          <w:sz w:val="12"/>
          <w:szCs w:val="12"/>
          <w:color w:val="auto"/>
        </w:rPr>
      </w:pPr>
    </w:p>
    <w:p>
      <w:pPr>
        <w:ind w:left="740" w:right="5020"/>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the debt modification under the Amendment is considered to include an embedded derivative that should be separately accounted for. The Company considered the obligation to issue shares as agreed with the Banks and determined that it contains two components (i) a contingent component and (ii) an uncontingent component. The contingent component is the obligation to issue shares equal to half of the amount of the Decreased Amount if the Fourth Quarter 2010 Price is less than $3.49. The uncontingent component is the obligation to issue shares equal to half of the Decreased Amount regardless of the Fourth Quarter 2010 Price. The Company accounted for the uncontingent component as an additional interest expense and calculated the effective interest rate to include such expense. The Company treated the uncontingent component as an embedded derivative that needs to be bifurcated and separately accounted for based on fair value. Initial separation of the embedded derivative will be done using the "with and without" method described in DIG Issue B6. Changes in the fair value of the embedded derivative will be included in financing expenses. All the above resulted in a decrease of $80,071 in the shareholders equity for the nine months ended September 30, 2006 and an increase of the same amount in the long-term loans from the banks as of September 30, 2006.</w:t>
      </w:r>
    </w:p>
    <w:p>
      <w:pPr>
        <w:spacing w:after="0" w:line="200" w:lineRule="exact"/>
        <w:rPr>
          <w:sz w:val="20"/>
          <w:szCs w:val="20"/>
          <w:color w:val="auto"/>
        </w:rPr>
      </w:pPr>
    </w:p>
    <w:p>
      <w:pPr>
        <w:spacing w:after="0" w:line="224"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- 25 -</w:t>
      </w:r>
    </w:p>
    <w:p>
      <w:pPr>
        <w:spacing w:after="0" w:line="270" w:lineRule="exact"/>
        <w:rPr>
          <w:sz w:val="20"/>
          <w:szCs w:val="20"/>
          <w:color w:val="auto"/>
        </w:rPr>
      </w:pPr>
    </w:p>
    <w:p>
      <w:pPr>
        <w:jc w:val="center"/>
        <w:ind w:right="508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5080"/>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MATERIAL DIFFERENCES BETWEEN ISRAELI AND U.S. GAAP (CONT.)</w:t>
      </w:r>
    </w:p>
    <w:p>
      <w:pPr>
        <w:spacing w:after="0" w:line="147" w:lineRule="exact"/>
        <w:rPr>
          <w:sz w:val="20"/>
          <w:szCs w:val="20"/>
          <w:color w:val="auto"/>
        </w:rPr>
      </w:pPr>
    </w:p>
    <w:p>
      <w:pPr>
        <w:ind w:left="740" w:hanging="376"/>
        <w:spacing w:after="0"/>
        <w:tabs>
          <w:tab w:leader="none" w:pos="740" w:val="left"/>
        </w:tabs>
        <w:numPr>
          <w:ilvl w:val="0"/>
          <w:numId w:val="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BALANCE SHEETS IN ACCORDANCE WITH U.S. GAAP</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AS OF SEPTEMBER 30, 2006</w:t>
            </w: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gridSpan w:val="3"/>
          </w:tcPr>
          <w:p>
            <w:pPr>
              <w:jc w:val="center"/>
              <w:ind w:left="339"/>
              <w:spacing w:after="0"/>
              <w:rPr>
                <w:sz w:val="20"/>
                <w:szCs w:val="20"/>
                <w:color w:val="auto"/>
              </w:rPr>
            </w:pPr>
            <w:r>
              <w:rPr>
                <w:rFonts w:ascii="Courier New" w:cs="Courier New" w:eastAsia="Courier New" w:hAnsi="Courier New"/>
                <w:sz w:val="12"/>
                <w:szCs w:val="12"/>
                <w:color w:val="auto"/>
              </w:rPr>
              <w:t>AS OF DECEMBER 31, 2005</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40" w:type="dxa"/>
            <w:vAlign w:val="bottom"/>
            <w:gridSpan w:val="6"/>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310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3600" w:type="dxa"/>
            <w:vAlign w:val="bottom"/>
          </w:tcPr>
          <w:p>
            <w:pPr>
              <w:spacing w:after="0"/>
              <w:rPr>
                <w:sz w:val="12"/>
                <w:szCs w:val="12"/>
                <w:color w:val="auto"/>
              </w:rPr>
            </w:pPr>
          </w:p>
        </w:tc>
        <w:tc>
          <w:tcPr>
            <w:tcW w:w="9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U.S.</w:t>
            </w:r>
          </w:p>
        </w:tc>
        <w:tc>
          <w:tcPr>
            <w:tcW w:w="220" w:type="dxa"/>
            <w:vAlign w:val="bottom"/>
          </w:tcPr>
          <w:p>
            <w:pPr>
              <w:spacing w:after="0"/>
              <w:rPr>
                <w:sz w:val="12"/>
                <w:szCs w:val="12"/>
                <w:color w:val="auto"/>
              </w:rPr>
            </w:pPr>
          </w:p>
        </w:tc>
        <w:tc>
          <w:tcPr>
            <w:tcW w:w="820" w:type="dxa"/>
            <w:vAlign w:val="bottom"/>
          </w:tcPr>
          <w:p>
            <w:pPr>
              <w:spacing w:after="0"/>
              <w:rPr>
                <w:sz w:val="20"/>
                <w:szCs w:val="20"/>
                <w:color w:val="auto"/>
              </w:rPr>
            </w:pPr>
            <w:r>
              <w:rPr>
                <w:rFonts w:ascii="Courier New" w:cs="Courier New" w:eastAsia="Courier New" w:hAnsi="Courier New"/>
                <w:sz w:val="12"/>
                <w:szCs w:val="12"/>
                <w:color w:val="auto"/>
              </w:rPr>
              <w:t>AS PER</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AS PER</w:t>
            </w:r>
          </w:p>
        </w:tc>
        <w:tc>
          <w:tcPr>
            <w:tcW w:w="110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AS PER</w:t>
            </w: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Courier New" w:cs="Courier New" w:eastAsia="Courier New" w:hAnsi="Courier New"/>
                <w:sz w:val="12"/>
                <w:szCs w:val="12"/>
                <w:color w:val="auto"/>
              </w:rPr>
              <w:t>AS PER</w:t>
            </w:r>
          </w:p>
        </w:tc>
      </w:tr>
      <w:tr>
        <w:trPr>
          <w:trHeight w:val="142"/>
        </w:trPr>
        <w:tc>
          <w:tcPr>
            <w:tcW w:w="3600" w:type="dxa"/>
            <w:vAlign w:val="bottom"/>
          </w:tcPr>
          <w:p>
            <w:pPr>
              <w:spacing w:after="0"/>
              <w:rPr>
                <w:sz w:val="12"/>
                <w:szCs w:val="12"/>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GAAP</w:t>
            </w:r>
          </w:p>
        </w:tc>
        <w:tc>
          <w:tcPr>
            <w:tcW w:w="220" w:type="dxa"/>
            <w:vAlign w:val="bottom"/>
          </w:tcPr>
          <w:p>
            <w:pPr>
              <w:spacing w:after="0"/>
              <w:rPr>
                <w:sz w:val="12"/>
                <w:szCs w:val="12"/>
                <w:color w:val="auto"/>
              </w:rPr>
            </w:pPr>
          </w:p>
        </w:tc>
        <w:tc>
          <w:tcPr>
            <w:tcW w:w="820" w:type="dxa"/>
            <w:vAlign w:val="bottom"/>
          </w:tcPr>
          <w:p>
            <w:pPr>
              <w:spacing w:after="0"/>
              <w:rPr>
                <w:sz w:val="20"/>
                <w:szCs w:val="20"/>
                <w:color w:val="auto"/>
              </w:rPr>
            </w:pPr>
            <w:r>
              <w:rPr>
                <w:rFonts w:ascii="Courier New" w:cs="Courier New" w:eastAsia="Courier New" w:hAnsi="Courier New"/>
                <w:sz w:val="12"/>
                <w:szCs w:val="12"/>
                <w:color w:val="auto"/>
              </w:rPr>
              <w:t>ISRAELI</w:t>
            </w:r>
          </w:p>
        </w:tc>
        <w:tc>
          <w:tcPr>
            <w:tcW w:w="320" w:type="dxa"/>
            <w:vAlign w:val="bottom"/>
          </w:tcPr>
          <w:p>
            <w:pPr>
              <w:spacing w:after="0"/>
              <w:rPr>
                <w:sz w:val="12"/>
                <w:szCs w:val="12"/>
                <w:color w:val="auto"/>
              </w:rPr>
            </w:pPr>
          </w:p>
        </w:tc>
        <w:tc>
          <w:tcPr>
            <w:tcW w:w="820" w:type="dxa"/>
            <w:vAlign w:val="bottom"/>
          </w:tcPr>
          <w:p>
            <w:pPr>
              <w:ind w:left="40"/>
              <w:spacing w:after="0"/>
              <w:rPr>
                <w:sz w:val="20"/>
                <w:szCs w:val="20"/>
                <w:color w:val="auto"/>
              </w:rPr>
            </w:pPr>
            <w:r>
              <w:rPr>
                <w:rFonts w:ascii="Courier New" w:cs="Courier New" w:eastAsia="Courier New" w:hAnsi="Courier New"/>
                <w:sz w:val="12"/>
                <w:szCs w:val="12"/>
                <w:color w:val="auto"/>
              </w:rPr>
              <w:t>ADJUST-</w:t>
            </w:r>
          </w:p>
        </w:tc>
        <w:tc>
          <w:tcPr>
            <w:tcW w:w="240" w:type="dxa"/>
            <w:vAlign w:val="bottom"/>
          </w:tcPr>
          <w:p>
            <w:pPr>
              <w:spacing w:after="0"/>
              <w:rPr>
                <w:sz w:val="12"/>
                <w:szCs w:val="12"/>
                <w:color w:val="auto"/>
              </w:rPr>
            </w:pPr>
          </w:p>
        </w:tc>
        <w:tc>
          <w:tcPr>
            <w:tcW w:w="8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U.S.</w:t>
            </w:r>
          </w:p>
        </w:tc>
        <w:tc>
          <w:tcPr>
            <w:tcW w:w="110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ISRAELI</w:t>
            </w:r>
          </w:p>
        </w:tc>
        <w:tc>
          <w:tcPr>
            <w:tcW w:w="1320" w:type="dxa"/>
            <w:vAlign w:val="bottom"/>
            <w:gridSpan w:val="2"/>
          </w:tcPr>
          <w:p>
            <w:pPr>
              <w:jc w:val="center"/>
              <w:ind w:right="299"/>
              <w:spacing w:after="0"/>
              <w:rPr>
                <w:sz w:val="20"/>
                <w:szCs w:val="20"/>
                <w:color w:val="auto"/>
              </w:rPr>
            </w:pPr>
            <w:r>
              <w:rPr>
                <w:rFonts w:ascii="Courier New" w:cs="Courier New" w:eastAsia="Courier New" w:hAnsi="Courier New"/>
                <w:sz w:val="12"/>
                <w:szCs w:val="12"/>
                <w:color w:val="auto"/>
              </w:rPr>
              <w:t>ADJUST-</w:t>
            </w:r>
          </w:p>
        </w:tc>
        <w:tc>
          <w:tcPr>
            <w:tcW w:w="80" w:type="dxa"/>
            <w:vAlign w:val="bottom"/>
          </w:tcPr>
          <w:p>
            <w:pPr>
              <w:spacing w:after="0"/>
              <w:rPr>
                <w:sz w:val="12"/>
                <w:szCs w:val="12"/>
                <w:color w:val="auto"/>
              </w:rPr>
            </w:pPr>
          </w:p>
        </w:tc>
        <w:tc>
          <w:tcPr>
            <w:tcW w:w="600" w:type="dxa"/>
            <w:vAlign w:val="bottom"/>
          </w:tcPr>
          <w:p>
            <w:pPr>
              <w:jc w:val="right"/>
              <w:ind w:right="239"/>
              <w:spacing w:after="0"/>
              <w:rPr>
                <w:sz w:val="20"/>
                <w:szCs w:val="20"/>
                <w:color w:val="auto"/>
              </w:rPr>
            </w:pPr>
            <w:r>
              <w:rPr>
                <w:rFonts w:ascii="Courier New" w:cs="Courier New" w:eastAsia="Courier New" w:hAnsi="Courier New"/>
                <w:sz w:val="12"/>
                <w:szCs w:val="12"/>
                <w:color w:val="auto"/>
                <w:w w:val="97"/>
              </w:rPr>
              <w:t>U.S.</w:t>
            </w:r>
          </w:p>
        </w:tc>
      </w:tr>
      <w:tr>
        <w:trPr>
          <w:trHeight w:val="142"/>
        </w:trPr>
        <w:tc>
          <w:tcPr>
            <w:tcW w:w="3600" w:type="dxa"/>
            <w:vAlign w:val="bottom"/>
          </w:tcPr>
          <w:p>
            <w:pPr>
              <w:spacing w:after="0"/>
              <w:rPr>
                <w:sz w:val="12"/>
                <w:szCs w:val="12"/>
                <w:color w:val="auto"/>
              </w:rPr>
            </w:pPr>
          </w:p>
        </w:tc>
        <w:tc>
          <w:tcPr>
            <w:tcW w:w="9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REMARK</w:t>
            </w:r>
          </w:p>
        </w:tc>
        <w:tc>
          <w:tcPr>
            <w:tcW w:w="220" w:type="dxa"/>
            <w:vAlign w:val="bottom"/>
          </w:tcPr>
          <w:p>
            <w:pPr>
              <w:spacing w:after="0"/>
              <w:rPr>
                <w:sz w:val="12"/>
                <w:szCs w:val="12"/>
                <w:color w:val="auto"/>
              </w:rPr>
            </w:pPr>
          </w:p>
        </w:tc>
        <w:tc>
          <w:tcPr>
            <w:tcW w:w="82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GAAP</w:t>
            </w:r>
          </w:p>
        </w:tc>
        <w:tc>
          <w:tcPr>
            <w:tcW w:w="320" w:type="dxa"/>
            <w:vAlign w:val="bottom"/>
          </w:tcPr>
          <w:p>
            <w:pPr>
              <w:spacing w:after="0"/>
              <w:rPr>
                <w:sz w:val="12"/>
                <w:szCs w:val="12"/>
                <w:color w:val="auto"/>
              </w:rPr>
            </w:pPr>
          </w:p>
        </w:tc>
        <w:tc>
          <w:tcPr>
            <w:tcW w:w="820" w:type="dxa"/>
            <w:vAlign w:val="bottom"/>
          </w:tcPr>
          <w:p>
            <w:pPr>
              <w:ind w:left="40"/>
              <w:spacing w:after="0"/>
              <w:rPr>
                <w:sz w:val="20"/>
                <w:szCs w:val="20"/>
                <w:color w:val="auto"/>
              </w:rPr>
            </w:pPr>
            <w:r>
              <w:rPr>
                <w:rFonts w:ascii="Courier New" w:cs="Courier New" w:eastAsia="Courier New" w:hAnsi="Courier New"/>
                <w:sz w:val="12"/>
                <w:szCs w:val="12"/>
                <w:color w:val="auto"/>
              </w:rPr>
              <w:t>MENTS</w:t>
            </w:r>
          </w:p>
        </w:tc>
        <w:tc>
          <w:tcPr>
            <w:tcW w:w="240" w:type="dxa"/>
            <w:vAlign w:val="bottom"/>
          </w:tcPr>
          <w:p>
            <w:pPr>
              <w:spacing w:after="0"/>
              <w:rPr>
                <w:sz w:val="12"/>
                <w:szCs w:val="12"/>
                <w:color w:val="auto"/>
              </w:rPr>
            </w:pPr>
          </w:p>
        </w:tc>
        <w:tc>
          <w:tcPr>
            <w:tcW w:w="8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GAAP</w:t>
            </w:r>
          </w:p>
        </w:tc>
        <w:tc>
          <w:tcPr>
            <w:tcW w:w="340" w:type="dxa"/>
            <w:vAlign w:val="bottom"/>
          </w:tcPr>
          <w:p>
            <w:pPr>
              <w:spacing w:after="0"/>
              <w:rPr>
                <w:sz w:val="12"/>
                <w:szCs w:val="12"/>
                <w:color w:val="auto"/>
              </w:rPr>
            </w:pPr>
          </w:p>
        </w:tc>
        <w:tc>
          <w:tcPr>
            <w:tcW w:w="7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GAAP</w:t>
            </w:r>
          </w:p>
        </w:tc>
        <w:tc>
          <w:tcPr>
            <w:tcW w:w="1320" w:type="dxa"/>
            <w:vAlign w:val="bottom"/>
            <w:gridSpan w:val="2"/>
          </w:tcPr>
          <w:p>
            <w:pPr>
              <w:jc w:val="center"/>
              <w:ind w:right="299"/>
              <w:spacing w:after="0"/>
              <w:rPr>
                <w:sz w:val="20"/>
                <w:szCs w:val="20"/>
                <w:color w:val="auto"/>
              </w:rPr>
            </w:pPr>
            <w:r>
              <w:rPr>
                <w:rFonts w:ascii="Courier New" w:cs="Courier New" w:eastAsia="Courier New" w:hAnsi="Courier New"/>
                <w:sz w:val="12"/>
                <w:szCs w:val="12"/>
                <w:color w:val="auto"/>
                <w:w w:val="99"/>
              </w:rPr>
              <w:t>MENTS</w:t>
            </w:r>
          </w:p>
        </w:tc>
        <w:tc>
          <w:tcPr>
            <w:tcW w:w="80" w:type="dxa"/>
            <w:vAlign w:val="bottom"/>
          </w:tcPr>
          <w:p>
            <w:pPr>
              <w:spacing w:after="0"/>
              <w:rPr>
                <w:sz w:val="12"/>
                <w:szCs w:val="12"/>
                <w:color w:val="auto"/>
              </w:rPr>
            </w:pPr>
          </w:p>
        </w:tc>
        <w:tc>
          <w:tcPr>
            <w:tcW w:w="600" w:type="dxa"/>
            <w:vAlign w:val="bottom"/>
          </w:tcPr>
          <w:p>
            <w:pPr>
              <w:jc w:val="right"/>
              <w:ind w:right="239"/>
              <w:spacing w:after="0"/>
              <w:rPr>
                <w:sz w:val="20"/>
                <w:szCs w:val="20"/>
                <w:color w:val="auto"/>
              </w:rPr>
            </w:pPr>
            <w:r>
              <w:rPr>
                <w:rFonts w:ascii="Courier New" w:cs="Courier New" w:eastAsia="Courier New" w:hAnsi="Courier New"/>
                <w:sz w:val="12"/>
                <w:szCs w:val="12"/>
                <w:color w:val="auto"/>
                <w:w w:val="97"/>
              </w:rPr>
              <w:t>GAAP</w:t>
            </w:r>
          </w:p>
        </w:tc>
      </w:tr>
      <w:tr>
        <w:trPr>
          <w:trHeight w:val="142"/>
        </w:trPr>
        <w:tc>
          <w:tcPr>
            <w:tcW w:w="3600" w:type="dxa"/>
            <w:vAlign w:val="bottom"/>
          </w:tcPr>
          <w:p>
            <w:pPr>
              <w:spacing w:after="0"/>
              <w:rPr>
                <w:sz w:val="12"/>
                <w:szCs w:val="12"/>
                <w:color w:val="auto"/>
              </w:rPr>
            </w:pP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3600" w:type="dxa"/>
            <w:vAlign w:val="bottom"/>
          </w:tcPr>
          <w:p>
            <w:pPr>
              <w:spacing w:after="0"/>
              <w:rPr>
                <w:sz w:val="20"/>
                <w:szCs w:val="20"/>
                <w:color w:val="auto"/>
              </w:rPr>
            </w:pPr>
            <w:r>
              <w:rPr>
                <w:rFonts w:ascii="Courier New" w:cs="Courier New" w:eastAsia="Courier New" w:hAnsi="Courier New"/>
                <w:sz w:val="12"/>
                <w:szCs w:val="12"/>
                <w:color w:val="auto"/>
              </w:rPr>
              <w:t>A S S E T 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83"/>
        </w:trPr>
        <w:tc>
          <w:tcPr>
            <w:tcW w:w="3600" w:type="dxa"/>
            <w:vAlign w:val="bottom"/>
          </w:tcPr>
          <w:p>
            <w:pPr>
              <w:ind w:left="220"/>
              <w:spacing w:after="0"/>
              <w:rPr>
                <w:sz w:val="20"/>
                <w:szCs w:val="20"/>
                <w:color w:val="auto"/>
              </w:rPr>
            </w:pPr>
            <w:r>
              <w:rPr>
                <w:rFonts w:ascii="Courier New" w:cs="Courier New" w:eastAsia="Courier New" w:hAnsi="Courier New"/>
                <w:sz w:val="12"/>
                <w:szCs w:val="12"/>
                <w:color w:val="auto"/>
              </w:rPr>
              <w:t>CURRENT ASSETS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42"/>
        </w:trPr>
        <w:tc>
          <w:tcPr>
            <w:tcW w:w="3600" w:type="dxa"/>
            <w:vAlign w:val="bottom"/>
          </w:tcPr>
          <w:p>
            <w:pPr>
              <w:ind w:left="300"/>
              <w:spacing w:after="0"/>
              <w:rPr>
                <w:sz w:val="20"/>
                <w:szCs w:val="20"/>
                <w:color w:val="auto"/>
              </w:rPr>
            </w:pPr>
            <w:r>
              <w:rPr>
                <w:rFonts w:ascii="Courier New" w:cs="Courier New" w:eastAsia="Courier New" w:hAnsi="Courier New"/>
                <w:sz w:val="12"/>
                <w:szCs w:val="12"/>
                <w:color w:val="auto"/>
              </w:rPr>
              <w:t>CASH AND CASH EQUIVALENTS</w:t>
            </w:r>
          </w:p>
        </w:tc>
        <w:tc>
          <w:tcPr>
            <w:tcW w:w="9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61,746</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61,746</w:t>
            </w:r>
          </w:p>
        </w:tc>
        <w:tc>
          <w:tcPr>
            <w:tcW w:w="34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7,337</w:t>
            </w:r>
          </w:p>
        </w:tc>
        <w:tc>
          <w:tcPr>
            <w:tcW w:w="440" w:type="dxa"/>
            <w:vAlign w:val="bottom"/>
          </w:tcPr>
          <w:p>
            <w:pPr>
              <w:spacing w:after="0"/>
              <w:rPr>
                <w:sz w:val="12"/>
                <w:szCs w:val="12"/>
                <w:color w:val="auto"/>
              </w:rPr>
            </w:pPr>
          </w:p>
        </w:tc>
        <w:tc>
          <w:tcPr>
            <w:tcW w:w="8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20"/>
                <w:szCs w:val="20"/>
                <w:color w:val="auto"/>
              </w:rPr>
            </w:pPr>
            <w:r>
              <w:rPr>
                <w:rFonts w:ascii="Courier New" w:cs="Courier New" w:eastAsia="Courier New" w:hAnsi="Courier New"/>
                <w:sz w:val="12"/>
                <w:szCs w:val="12"/>
                <w:color w:val="auto"/>
                <w:w w:val="82"/>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7,337</w:t>
            </w:r>
          </w:p>
        </w:tc>
      </w:tr>
      <w:tr>
        <w:trPr>
          <w:trHeight w:val="142"/>
        </w:trPr>
        <w:tc>
          <w:tcPr>
            <w:tcW w:w="3600" w:type="dxa"/>
            <w:vAlign w:val="bottom"/>
          </w:tcPr>
          <w:p>
            <w:pPr>
              <w:ind w:left="300"/>
              <w:spacing w:after="0"/>
              <w:rPr>
                <w:sz w:val="20"/>
                <w:szCs w:val="20"/>
                <w:color w:val="auto"/>
              </w:rPr>
            </w:pPr>
            <w:r>
              <w:rPr>
                <w:rFonts w:ascii="Courier New" w:cs="Courier New" w:eastAsia="Courier New" w:hAnsi="Courier New"/>
                <w:sz w:val="12"/>
                <w:szCs w:val="12"/>
                <w:color w:val="auto"/>
              </w:rPr>
              <w:t>DESIGNATED CASH AND SHORT-TERM INTEREST -</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2"/>
        </w:trPr>
        <w:tc>
          <w:tcPr>
            <w:tcW w:w="3600" w:type="dxa"/>
            <w:vAlign w:val="bottom"/>
          </w:tcPr>
          <w:p>
            <w:pPr>
              <w:ind w:left="440"/>
              <w:spacing w:after="0"/>
              <w:rPr>
                <w:sz w:val="20"/>
                <w:szCs w:val="20"/>
                <w:color w:val="auto"/>
              </w:rPr>
            </w:pPr>
            <w:r>
              <w:rPr>
                <w:rFonts w:ascii="Courier New" w:cs="Courier New" w:eastAsia="Courier New" w:hAnsi="Courier New"/>
                <w:sz w:val="12"/>
                <w:szCs w:val="12"/>
                <w:color w:val="auto"/>
              </w:rPr>
              <w:t>BEARING DEPOSITS</w:t>
            </w:r>
          </w:p>
        </w:tc>
        <w:tc>
          <w:tcPr>
            <w:tcW w:w="960" w:type="dxa"/>
            <w:vAlign w:val="bottom"/>
          </w:tcPr>
          <w:p>
            <w:pPr>
              <w:jc w:val="center"/>
              <w:ind w:left="99"/>
              <w:spacing w:after="0"/>
              <w:rPr>
                <w:sz w:val="20"/>
                <w:szCs w:val="20"/>
                <w:color w:val="auto"/>
              </w:rPr>
            </w:pPr>
            <w:r>
              <w:rPr>
                <w:rFonts w:ascii="Courier New" w:cs="Courier New" w:eastAsia="Courier New" w:hAnsi="Courier New"/>
                <w:sz w:val="12"/>
                <w:szCs w:val="12"/>
                <w:color w:val="auto"/>
              </w:rPr>
              <w:t>B</w:t>
            </w:r>
          </w:p>
        </w:tc>
        <w:tc>
          <w:tcPr>
            <w:tcW w:w="220" w:type="dxa"/>
            <w:vAlign w:val="bottom"/>
          </w:tcPr>
          <w:p>
            <w:pPr>
              <w:spacing w:after="0"/>
              <w:rPr>
                <w:sz w:val="12"/>
                <w:szCs w:val="12"/>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31,661</w:t>
            </w:r>
          </w:p>
        </w:tc>
        <w:tc>
          <w:tcPr>
            <w:tcW w:w="13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rPr>
              <w:t>(31,661)</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3600" w:type="dxa"/>
            <w:vAlign w:val="bottom"/>
          </w:tcPr>
          <w:p>
            <w:pPr>
              <w:ind w:left="300"/>
              <w:spacing w:after="0"/>
              <w:rPr>
                <w:sz w:val="20"/>
                <w:szCs w:val="20"/>
                <w:color w:val="auto"/>
              </w:rPr>
            </w:pPr>
            <w:r>
              <w:rPr>
                <w:rFonts w:ascii="Courier New" w:cs="Courier New" w:eastAsia="Courier New" w:hAnsi="Courier New"/>
                <w:sz w:val="12"/>
                <w:szCs w:val="12"/>
                <w:color w:val="auto"/>
              </w:rPr>
              <w:t>TRADE ACCOUNTS RECEIVABLE :</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2"/>
        </w:trPr>
        <w:tc>
          <w:tcPr>
            <w:tcW w:w="3600" w:type="dxa"/>
            <w:vAlign w:val="bottom"/>
          </w:tcPr>
          <w:p>
            <w:pPr>
              <w:ind w:left="440"/>
              <w:spacing w:after="0"/>
              <w:rPr>
                <w:sz w:val="20"/>
                <w:szCs w:val="20"/>
                <w:color w:val="auto"/>
              </w:rPr>
            </w:pPr>
            <w:r>
              <w:rPr>
                <w:rFonts w:ascii="Courier New" w:cs="Courier New" w:eastAsia="Courier New" w:hAnsi="Courier New"/>
                <w:sz w:val="12"/>
                <w:szCs w:val="12"/>
                <w:color w:val="auto"/>
              </w:rPr>
              <w:t>RELATED PARTIES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8,928</w:t>
            </w:r>
          </w:p>
        </w:tc>
        <w:tc>
          <w:tcPr>
            <w:tcW w:w="32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8,928</w:t>
            </w:r>
          </w:p>
        </w:tc>
        <w:tc>
          <w:tcPr>
            <w:tcW w:w="34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5,309</w:t>
            </w:r>
          </w:p>
        </w:tc>
        <w:tc>
          <w:tcPr>
            <w:tcW w:w="440" w:type="dxa"/>
            <w:vAlign w:val="bottom"/>
          </w:tcPr>
          <w:p>
            <w:pPr>
              <w:spacing w:after="0"/>
              <w:rPr>
                <w:sz w:val="12"/>
                <w:szCs w:val="12"/>
                <w:color w:val="auto"/>
              </w:rPr>
            </w:pPr>
          </w:p>
        </w:tc>
        <w:tc>
          <w:tcPr>
            <w:tcW w:w="8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5,309</w:t>
            </w:r>
          </w:p>
        </w:tc>
      </w:tr>
      <w:tr>
        <w:trPr>
          <w:trHeight w:val="142"/>
        </w:trPr>
        <w:tc>
          <w:tcPr>
            <w:tcW w:w="3600" w:type="dxa"/>
            <w:vAlign w:val="bottom"/>
          </w:tcPr>
          <w:p>
            <w:pPr>
              <w:ind w:left="440"/>
              <w:spacing w:after="0"/>
              <w:rPr>
                <w:sz w:val="20"/>
                <w:szCs w:val="20"/>
                <w:color w:val="auto"/>
              </w:rPr>
            </w:pPr>
            <w:r>
              <w:rPr>
                <w:rFonts w:ascii="Courier New" w:cs="Courier New" w:eastAsia="Courier New" w:hAnsi="Courier New"/>
                <w:sz w:val="12"/>
                <w:szCs w:val="12"/>
                <w:color w:val="auto"/>
              </w:rPr>
              <w:t>OTHERS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16,708</w:t>
            </w:r>
          </w:p>
        </w:tc>
        <w:tc>
          <w:tcPr>
            <w:tcW w:w="32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16,708</w:t>
            </w:r>
          </w:p>
        </w:tc>
        <w:tc>
          <w:tcPr>
            <w:tcW w:w="34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11,467</w:t>
            </w:r>
          </w:p>
        </w:tc>
        <w:tc>
          <w:tcPr>
            <w:tcW w:w="440" w:type="dxa"/>
            <w:vAlign w:val="bottom"/>
          </w:tcPr>
          <w:p>
            <w:pPr>
              <w:spacing w:after="0"/>
              <w:rPr>
                <w:sz w:val="12"/>
                <w:szCs w:val="12"/>
                <w:color w:val="auto"/>
              </w:rPr>
            </w:pPr>
          </w:p>
        </w:tc>
        <w:tc>
          <w:tcPr>
            <w:tcW w:w="8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11,467</w:t>
            </w:r>
          </w:p>
        </w:tc>
      </w:tr>
      <w:tr>
        <w:trPr>
          <w:trHeight w:val="142"/>
        </w:trPr>
        <w:tc>
          <w:tcPr>
            <w:tcW w:w="3600" w:type="dxa"/>
            <w:vAlign w:val="bottom"/>
          </w:tcPr>
          <w:p>
            <w:pPr>
              <w:ind w:left="300"/>
              <w:spacing w:after="0"/>
              <w:rPr>
                <w:sz w:val="20"/>
                <w:szCs w:val="20"/>
                <w:color w:val="auto"/>
              </w:rPr>
            </w:pPr>
            <w:r>
              <w:rPr>
                <w:rFonts w:ascii="Courier New" w:cs="Courier New" w:eastAsia="Courier New" w:hAnsi="Courier New"/>
                <w:sz w:val="12"/>
                <w:szCs w:val="12"/>
                <w:color w:val="auto"/>
              </w:rPr>
              <w:t>OTHER RECEIVABLES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12,807</w:t>
            </w:r>
          </w:p>
        </w:tc>
        <w:tc>
          <w:tcPr>
            <w:tcW w:w="32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12,807</w:t>
            </w:r>
          </w:p>
        </w:tc>
        <w:tc>
          <w:tcPr>
            <w:tcW w:w="34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9,043</w:t>
            </w:r>
          </w:p>
        </w:tc>
        <w:tc>
          <w:tcPr>
            <w:tcW w:w="440" w:type="dxa"/>
            <w:vAlign w:val="bottom"/>
          </w:tcPr>
          <w:p>
            <w:pPr>
              <w:spacing w:after="0"/>
              <w:rPr>
                <w:sz w:val="12"/>
                <w:szCs w:val="12"/>
                <w:color w:val="auto"/>
              </w:rPr>
            </w:pPr>
          </w:p>
        </w:tc>
        <w:tc>
          <w:tcPr>
            <w:tcW w:w="8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9,043</w:t>
            </w:r>
          </w:p>
        </w:tc>
      </w:tr>
      <w:tr>
        <w:trPr>
          <w:trHeight w:val="142"/>
        </w:trPr>
        <w:tc>
          <w:tcPr>
            <w:tcW w:w="3600" w:type="dxa"/>
            <w:vAlign w:val="bottom"/>
          </w:tcPr>
          <w:p>
            <w:pPr>
              <w:ind w:left="300"/>
              <w:spacing w:after="0"/>
              <w:rPr>
                <w:sz w:val="20"/>
                <w:szCs w:val="20"/>
                <w:color w:val="auto"/>
              </w:rPr>
            </w:pPr>
            <w:r>
              <w:rPr>
                <w:rFonts w:ascii="Courier New" w:cs="Courier New" w:eastAsia="Courier New" w:hAnsi="Courier New"/>
                <w:sz w:val="12"/>
                <w:szCs w:val="12"/>
                <w:color w:val="auto"/>
              </w:rPr>
              <w:t>INVENTORIES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38,519</w:t>
            </w:r>
          </w:p>
        </w:tc>
        <w:tc>
          <w:tcPr>
            <w:tcW w:w="32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38,519</w:t>
            </w:r>
          </w:p>
        </w:tc>
        <w:tc>
          <w:tcPr>
            <w:tcW w:w="34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24,376</w:t>
            </w:r>
          </w:p>
        </w:tc>
        <w:tc>
          <w:tcPr>
            <w:tcW w:w="440" w:type="dxa"/>
            <w:vAlign w:val="bottom"/>
          </w:tcPr>
          <w:p>
            <w:pPr>
              <w:spacing w:after="0"/>
              <w:rPr>
                <w:sz w:val="12"/>
                <w:szCs w:val="12"/>
                <w:color w:val="auto"/>
              </w:rPr>
            </w:pPr>
          </w:p>
        </w:tc>
        <w:tc>
          <w:tcPr>
            <w:tcW w:w="8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24,376</w:t>
            </w:r>
          </w:p>
        </w:tc>
      </w:tr>
      <w:tr>
        <w:trPr>
          <w:trHeight w:val="142"/>
        </w:trPr>
        <w:tc>
          <w:tcPr>
            <w:tcW w:w="3600" w:type="dxa"/>
            <w:vAlign w:val="bottom"/>
          </w:tcPr>
          <w:p>
            <w:pPr>
              <w:ind w:left="300"/>
              <w:spacing w:after="0"/>
              <w:rPr>
                <w:sz w:val="20"/>
                <w:szCs w:val="20"/>
                <w:color w:val="auto"/>
              </w:rPr>
            </w:pPr>
            <w:r>
              <w:rPr>
                <w:rFonts w:ascii="Courier New" w:cs="Courier New" w:eastAsia="Courier New" w:hAnsi="Courier New"/>
                <w:sz w:val="12"/>
                <w:szCs w:val="12"/>
                <w:color w:val="auto"/>
              </w:rPr>
              <w:t>OTHER CURRENT ASSETS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1,737</w:t>
            </w:r>
          </w:p>
        </w:tc>
        <w:tc>
          <w:tcPr>
            <w:tcW w:w="32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1,737</w:t>
            </w:r>
          </w:p>
        </w:tc>
        <w:tc>
          <w:tcPr>
            <w:tcW w:w="34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1,048</w:t>
            </w:r>
          </w:p>
        </w:tc>
        <w:tc>
          <w:tcPr>
            <w:tcW w:w="440" w:type="dxa"/>
            <w:vAlign w:val="bottom"/>
          </w:tcPr>
          <w:p>
            <w:pPr>
              <w:spacing w:after="0"/>
              <w:rPr>
                <w:sz w:val="12"/>
                <w:szCs w:val="12"/>
                <w:color w:val="auto"/>
              </w:rPr>
            </w:pPr>
          </w:p>
        </w:tc>
        <w:tc>
          <w:tcPr>
            <w:tcW w:w="8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1,048</w:t>
            </w:r>
          </w:p>
        </w:tc>
      </w:tr>
      <w:tr>
        <w:trPr>
          <w:trHeight w:val="142"/>
        </w:trPr>
        <w:tc>
          <w:tcPr>
            <w:tcW w:w="3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gridSpan w:val="2"/>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3600" w:type="dxa"/>
            <w:vAlign w:val="bottom"/>
          </w:tcPr>
          <w:p>
            <w:pPr>
              <w:ind w:left="520"/>
              <w:spacing w:after="0"/>
              <w:rPr>
                <w:sz w:val="20"/>
                <w:szCs w:val="20"/>
                <w:color w:val="auto"/>
              </w:rPr>
            </w:pPr>
            <w:r>
              <w:rPr>
                <w:rFonts w:ascii="Courier New" w:cs="Courier New" w:eastAsia="Courier New" w:hAnsi="Courier New"/>
                <w:sz w:val="12"/>
                <w:szCs w:val="12"/>
                <w:color w:val="auto"/>
              </w:rPr>
              <w:t>TOTAL CURRENT ASSETS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140,445</w:t>
            </w:r>
          </w:p>
        </w:tc>
        <w:tc>
          <w:tcPr>
            <w:tcW w:w="32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140,445</w:t>
            </w:r>
          </w:p>
        </w:tc>
        <w:tc>
          <w:tcPr>
            <w:tcW w:w="34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90,241</w:t>
            </w:r>
          </w:p>
        </w:tc>
        <w:tc>
          <w:tcPr>
            <w:tcW w:w="132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rPr>
              <w:t>(31,661)</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58,580</w:t>
            </w:r>
          </w:p>
        </w:tc>
      </w:tr>
      <w:tr>
        <w:trPr>
          <w:trHeight w:val="142"/>
        </w:trPr>
        <w:tc>
          <w:tcPr>
            <w:tcW w:w="3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gridSpan w:val="2"/>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3600" w:type="dxa"/>
            <w:vAlign w:val="bottom"/>
          </w:tcPr>
          <w:p>
            <w:pPr>
              <w:ind w:left="220"/>
              <w:spacing w:after="0"/>
              <w:rPr>
                <w:sz w:val="20"/>
                <w:szCs w:val="20"/>
                <w:color w:val="auto"/>
              </w:rPr>
            </w:pPr>
            <w:r>
              <w:rPr>
                <w:rFonts w:ascii="Courier New" w:cs="Courier New" w:eastAsia="Courier New" w:hAnsi="Courier New"/>
                <w:sz w:val="12"/>
                <w:szCs w:val="12"/>
                <w:color w:val="auto"/>
              </w:rPr>
              <w:t>LONG-TERM INVESTMENTS</w:t>
            </w:r>
          </w:p>
        </w:tc>
        <w:tc>
          <w:tcPr>
            <w:tcW w:w="960" w:type="dxa"/>
            <w:vAlign w:val="bottom"/>
          </w:tcPr>
          <w:p>
            <w:pPr>
              <w:jc w:val="center"/>
              <w:ind w:left="79"/>
              <w:spacing w:after="0"/>
              <w:rPr>
                <w:sz w:val="20"/>
                <w:szCs w:val="20"/>
                <w:color w:val="auto"/>
              </w:rPr>
            </w:pPr>
            <w:r>
              <w:rPr>
                <w:rFonts w:ascii="Courier New" w:cs="Courier New" w:eastAsia="Courier New" w:hAnsi="Courier New"/>
                <w:sz w:val="12"/>
                <w:szCs w:val="12"/>
                <w:color w:val="auto"/>
              </w:rPr>
              <w:t>C,D</w:t>
            </w:r>
          </w:p>
        </w:tc>
        <w:tc>
          <w:tcPr>
            <w:tcW w:w="220" w:type="dxa"/>
            <w:vAlign w:val="bottom"/>
          </w:tcPr>
          <w:p>
            <w:pPr>
              <w:spacing w:after="0"/>
              <w:rPr>
                <w:sz w:val="24"/>
                <w:szCs w:val="24"/>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24"/>
                <w:szCs w:val="24"/>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15,569</w:t>
            </w:r>
          </w:p>
        </w:tc>
        <w:tc>
          <w:tcPr>
            <w:tcW w:w="240" w:type="dxa"/>
            <w:vAlign w:val="bottom"/>
          </w:tcPr>
          <w:p>
            <w:pPr>
              <w:spacing w:after="0"/>
              <w:rPr>
                <w:sz w:val="24"/>
                <w:szCs w:val="24"/>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15,569</w:t>
            </w:r>
          </w:p>
        </w:tc>
        <w:tc>
          <w:tcPr>
            <w:tcW w:w="340" w:type="dxa"/>
            <w:vAlign w:val="bottom"/>
          </w:tcPr>
          <w:p>
            <w:pPr>
              <w:spacing w:after="0"/>
              <w:rPr>
                <w:sz w:val="24"/>
                <w:szCs w:val="24"/>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spacing w:after="0"/>
              <w:rPr>
                <w:sz w:val="24"/>
                <w:szCs w:val="24"/>
                <w:color w:val="auto"/>
              </w:rPr>
            </w:pPr>
          </w:p>
        </w:tc>
        <w:tc>
          <w:tcPr>
            <w:tcW w:w="880" w:type="dxa"/>
            <w:vAlign w:val="bottom"/>
          </w:tcPr>
          <w:p>
            <w:pPr>
              <w:jc w:val="right"/>
              <w:ind w:right="379"/>
              <w:spacing w:after="0"/>
              <w:rPr>
                <w:sz w:val="20"/>
                <w:szCs w:val="20"/>
                <w:color w:val="auto"/>
              </w:rPr>
            </w:pPr>
            <w:r>
              <w:rPr>
                <w:rFonts w:ascii="Courier New" w:cs="Courier New" w:eastAsia="Courier New" w:hAnsi="Courier New"/>
                <w:sz w:val="12"/>
                <w:szCs w:val="12"/>
                <w:color w:val="auto"/>
                <w:w w:val="97"/>
              </w:rPr>
              <w:t>15,425</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15,425</w:t>
            </w:r>
          </w:p>
        </w:tc>
      </w:tr>
      <w:tr>
        <w:trPr>
          <w:trHeight w:val="142"/>
        </w:trPr>
        <w:tc>
          <w:tcPr>
            <w:tcW w:w="3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gridSpan w:val="2"/>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3600" w:type="dxa"/>
            <w:vAlign w:val="bottom"/>
          </w:tcPr>
          <w:p>
            <w:pPr>
              <w:ind w:left="220"/>
              <w:spacing w:after="0"/>
              <w:rPr>
                <w:sz w:val="20"/>
                <w:szCs w:val="20"/>
                <w:color w:val="auto"/>
              </w:rPr>
            </w:pPr>
            <w:r>
              <w:rPr>
                <w:rFonts w:ascii="Courier New" w:cs="Courier New" w:eastAsia="Courier New" w:hAnsi="Courier New"/>
                <w:sz w:val="12"/>
                <w:szCs w:val="12"/>
                <w:color w:val="auto"/>
              </w:rPr>
              <w:t>PROPERTY AND EQUIPMENT, NET</w:t>
            </w:r>
          </w:p>
        </w:tc>
        <w:tc>
          <w:tcPr>
            <w:tcW w:w="960" w:type="dxa"/>
            <w:vAlign w:val="bottom"/>
          </w:tcPr>
          <w:p>
            <w:pPr>
              <w:jc w:val="center"/>
              <w:ind w:left="79"/>
              <w:spacing w:after="0"/>
              <w:rPr>
                <w:sz w:val="20"/>
                <w:szCs w:val="20"/>
                <w:color w:val="auto"/>
              </w:rPr>
            </w:pPr>
            <w:r>
              <w:rPr>
                <w:rFonts w:ascii="Courier New" w:cs="Courier New" w:eastAsia="Courier New" w:hAnsi="Courier New"/>
                <w:sz w:val="12"/>
                <w:szCs w:val="12"/>
                <w:color w:val="auto"/>
              </w:rPr>
              <w:t>D,F</w:t>
            </w:r>
          </w:p>
        </w:tc>
        <w:tc>
          <w:tcPr>
            <w:tcW w:w="220" w:type="dxa"/>
            <w:vAlign w:val="bottom"/>
          </w:tcPr>
          <w:p>
            <w:pPr>
              <w:spacing w:after="0"/>
              <w:rPr>
                <w:sz w:val="24"/>
                <w:szCs w:val="24"/>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522,018</w:t>
            </w:r>
          </w:p>
        </w:tc>
        <w:tc>
          <w:tcPr>
            <w:tcW w:w="320" w:type="dxa"/>
            <w:vAlign w:val="bottom"/>
          </w:tcPr>
          <w:p>
            <w:pPr>
              <w:spacing w:after="0"/>
              <w:rPr>
                <w:sz w:val="24"/>
                <w:szCs w:val="24"/>
                <w:color w:val="auto"/>
              </w:rPr>
            </w:pPr>
          </w:p>
        </w:tc>
        <w:tc>
          <w:tcPr>
            <w:tcW w:w="8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(2,036)</w:t>
            </w:r>
          </w:p>
        </w:tc>
        <w:tc>
          <w:tcPr>
            <w:tcW w:w="240" w:type="dxa"/>
            <w:vAlign w:val="bottom"/>
          </w:tcPr>
          <w:p>
            <w:pPr>
              <w:spacing w:after="0"/>
              <w:rPr>
                <w:sz w:val="24"/>
                <w:szCs w:val="24"/>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519,982</w:t>
            </w:r>
          </w:p>
        </w:tc>
        <w:tc>
          <w:tcPr>
            <w:tcW w:w="340" w:type="dxa"/>
            <w:vAlign w:val="bottom"/>
          </w:tcPr>
          <w:p>
            <w:pPr>
              <w:spacing w:after="0"/>
              <w:rPr>
                <w:sz w:val="24"/>
                <w:szCs w:val="24"/>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510,645</w:t>
            </w:r>
          </w:p>
        </w:tc>
        <w:tc>
          <w:tcPr>
            <w:tcW w:w="440" w:type="dxa"/>
            <w:vAlign w:val="bottom"/>
          </w:tcPr>
          <w:p>
            <w:pPr>
              <w:spacing w:after="0"/>
              <w:rPr>
                <w:sz w:val="24"/>
                <w:szCs w:val="24"/>
                <w:color w:val="auto"/>
              </w:rPr>
            </w:pPr>
          </w:p>
        </w:tc>
        <w:tc>
          <w:tcPr>
            <w:tcW w:w="880" w:type="dxa"/>
            <w:vAlign w:val="bottom"/>
          </w:tcPr>
          <w:p>
            <w:pPr>
              <w:jc w:val="right"/>
              <w:ind w:right="299"/>
              <w:spacing w:after="0"/>
              <w:rPr>
                <w:sz w:val="20"/>
                <w:szCs w:val="20"/>
                <w:color w:val="auto"/>
              </w:rPr>
            </w:pPr>
            <w:r>
              <w:rPr>
                <w:rFonts w:ascii="Courier New" w:cs="Courier New" w:eastAsia="Courier New" w:hAnsi="Courier New"/>
                <w:sz w:val="12"/>
                <w:szCs w:val="12"/>
                <w:color w:val="auto"/>
                <w:w w:val="99"/>
              </w:rPr>
              <w:t>(3,291)</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507,354</w:t>
            </w:r>
          </w:p>
        </w:tc>
      </w:tr>
      <w:tr>
        <w:trPr>
          <w:trHeight w:val="142"/>
        </w:trPr>
        <w:tc>
          <w:tcPr>
            <w:tcW w:w="3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gridSpan w:val="2"/>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3600" w:type="dxa"/>
            <w:vAlign w:val="bottom"/>
          </w:tcPr>
          <w:p>
            <w:pPr>
              <w:ind w:left="220"/>
              <w:spacing w:after="0"/>
              <w:rPr>
                <w:sz w:val="20"/>
                <w:szCs w:val="20"/>
                <w:color w:val="auto"/>
              </w:rPr>
            </w:pPr>
            <w:r>
              <w:rPr>
                <w:rFonts w:ascii="Courier New" w:cs="Courier New" w:eastAsia="Courier New" w:hAnsi="Courier New"/>
                <w:sz w:val="12"/>
                <w:szCs w:val="12"/>
                <w:color w:val="auto"/>
              </w:rPr>
              <w:t>DESIGNATED CASH AND SHORT-TERM</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42"/>
        </w:trPr>
        <w:tc>
          <w:tcPr>
            <w:tcW w:w="3600" w:type="dxa"/>
            <w:vAlign w:val="bottom"/>
          </w:tcPr>
          <w:p>
            <w:pPr>
              <w:ind w:left="360"/>
              <w:spacing w:after="0"/>
              <w:rPr>
                <w:sz w:val="20"/>
                <w:szCs w:val="20"/>
                <w:color w:val="auto"/>
              </w:rPr>
            </w:pPr>
            <w:r>
              <w:rPr>
                <w:rFonts w:ascii="Courier New" w:cs="Courier New" w:eastAsia="Courier New" w:hAnsi="Courier New"/>
                <w:sz w:val="12"/>
                <w:szCs w:val="12"/>
                <w:color w:val="auto"/>
              </w:rPr>
              <w:t>INTEREST-BEARING DEPOSITS</w:t>
            </w:r>
          </w:p>
        </w:tc>
        <w:tc>
          <w:tcPr>
            <w:tcW w:w="960" w:type="dxa"/>
            <w:vAlign w:val="bottom"/>
          </w:tcPr>
          <w:p>
            <w:pPr>
              <w:jc w:val="center"/>
              <w:ind w:left="99"/>
              <w:spacing w:after="0"/>
              <w:rPr>
                <w:sz w:val="20"/>
                <w:szCs w:val="20"/>
                <w:color w:val="auto"/>
              </w:rPr>
            </w:pPr>
            <w:r>
              <w:rPr>
                <w:rFonts w:ascii="Courier New" w:cs="Courier New" w:eastAsia="Courier New" w:hAnsi="Courier New"/>
                <w:sz w:val="12"/>
                <w:szCs w:val="12"/>
                <w:color w:val="auto"/>
              </w:rPr>
              <w:t>B</w:t>
            </w:r>
          </w:p>
        </w:tc>
        <w:tc>
          <w:tcPr>
            <w:tcW w:w="220" w:type="dxa"/>
            <w:vAlign w:val="bottom"/>
          </w:tcPr>
          <w:p>
            <w:pPr>
              <w:spacing w:after="0"/>
              <w:rPr>
                <w:sz w:val="12"/>
                <w:szCs w:val="12"/>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spacing w:after="0"/>
              <w:rPr>
                <w:sz w:val="12"/>
                <w:szCs w:val="12"/>
                <w:color w:val="auto"/>
              </w:rPr>
            </w:pPr>
          </w:p>
        </w:tc>
        <w:tc>
          <w:tcPr>
            <w:tcW w:w="880" w:type="dxa"/>
            <w:vAlign w:val="bottom"/>
          </w:tcPr>
          <w:p>
            <w:pPr>
              <w:jc w:val="right"/>
              <w:ind w:right="379"/>
              <w:spacing w:after="0"/>
              <w:rPr>
                <w:sz w:val="20"/>
                <w:szCs w:val="20"/>
                <w:color w:val="auto"/>
              </w:rPr>
            </w:pPr>
            <w:r>
              <w:rPr>
                <w:rFonts w:ascii="Courier New" w:cs="Courier New" w:eastAsia="Courier New" w:hAnsi="Courier New"/>
                <w:sz w:val="12"/>
                <w:szCs w:val="12"/>
                <w:color w:val="auto"/>
                <w:w w:val="97"/>
              </w:rPr>
              <w:t>31,661</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31,661</w:t>
            </w:r>
          </w:p>
        </w:tc>
      </w:tr>
      <w:tr>
        <w:trPr>
          <w:trHeight w:val="142"/>
        </w:trPr>
        <w:tc>
          <w:tcPr>
            <w:tcW w:w="3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gridSpan w:val="2"/>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3600" w:type="dxa"/>
            <w:vAlign w:val="bottom"/>
          </w:tcPr>
          <w:p>
            <w:pPr>
              <w:ind w:left="220"/>
              <w:spacing w:after="0"/>
              <w:rPr>
                <w:sz w:val="20"/>
                <w:szCs w:val="20"/>
                <w:color w:val="auto"/>
              </w:rPr>
            </w:pPr>
            <w:r>
              <w:rPr>
                <w:rFonts w:ascii="Courier New" w:cs="Courier New" w:eastAsia="Courier New" w:hAnsi="Courier New"/>
                <w:sz w:val="12"/>
                <w:szCs w:val="12"/>
                <w:color w:val="auto"/>
              </w:rPr>
              <w:t>OTHER ASSETS, NET :</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42"/>
        </w:trPr>
        <w:tc>
          <w:tcPr>
            <w:tcW w:w="3600" w:type="dxa"/>
            <w:vAlign w:val="bottom"/>
          </w:tcPr>
          <w:p>
            <w:pPr>
              <w:ind w:left="300"/>
              <w:spacing w:after="0"/>
              <w:rPr>
                <w:sz w:val="20"/>
                <w:szCs w:val="20"/>
                <w:color w:val="auto"/>
              </w:rPr>
            </w:pPr>
            <w:r>
              <w:rPr>
                <w:rFonts w:ascii="Courier New" w:cs="Courier New" w:eastAsia="Courier New" w:hAnsi="Courier New"/>
                <w:sz w:val="12"/>
                <w:szCs w:val="12"/>
                <w:color w:val="auto"/>
              </w:rPr>
              <w:t>TECHNOLOGY</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49,291</w:t>
            </w:r>
          </w:p>
        </w:tc>
        <w:tc>
          <w:tcPr>
            <w:tcW w:w="32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49,291</w:t>
            </w:r>
          </w:p>
        </w:tc>
        <w:tc>
          <w:tcPr>
            <w:tcW w:w="34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61,441</w:t>
            </w:r>
          </w:p>
        </w:tc>
        <w:tc>
          <w:tcPr>
            <w:tcW w:w="440" w:type="dxa"/>
            <w:vAlign w:val="bottom"/>
          </w:tcPr>
          <w:p>
            <w:pPr>
              <w:spacing w:after="0"/>
              <w:rPr>
                <w:sz w:val="12"/>
                <w:szCs w:val="12"/>
                <w:color w:val="auto"/>
              </w:rPr>
            </w:pPr>
          </w:p>
        </w:tc>
        <w:tc>
          <w:tcPr>
            <w:tcW w:w="8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61,441</w:t>
            </w:r>
          </w:p>
        </w:tc>
      </w:tr>
      <w:tr>
        <w:trPr>
          <w:trHeight w:val="142"/>
        </w:trPr>
        <w:tc>
          <w:tcPr>
            <w:tcW w:w="3600" w:type="dxa"/>
            <w:vAlign w:val="bottom"/>
          </w:tcPr>
          <w:p>
            <w:pPr>
              <w:ind w:left="300"/>
              <w:spacing w:after="0"/>
              <w:rPr>
                <w:sz w:val="20"/>
                <w:szCs w:val="20"/>
                <w:color w:val="auto"/>
              </w:rPr>
            </w:pPr>
            <w:r>
              <w:rPr>
                <w:rFonts w:ascii="Courier New" w:cs="Courier New" w:eastAsia="Courier New" w:hAnsi="Courier New"/>
                <w:sz w:val="12"/>
                <w:szCs w:val="12"/>
                <w:color w:val="auto"/>
              </w:rPr>
              <w:t>OTHER</w:t>
            </w:r>
          </w:p>
        </w:tc>
        <w:tc>
          <w:tcPr>
            <w:tcW w:w="960" w:type="dxa"/>
            <w:vAlign w:val="bottom"/>
          </w:tcPr>
          <w:p>
            <w:pPr>
              <w:jc w:val="center"/>
              <w:ind w:left="79"/>
              <w:spacing w:after="0"/>
              <w:rPr>
                <w:sz w:val="20"/>
                <w:szCs w:val="20"/>
                <w:color w:val="auto"/>
              </w:rPr>
            </w:pPr>
            <w:r>
              <w:rPr>
                <w:rFonts w:ascii="Courier New" w:cs="Courier New" w:eastAsia="Courier New" w:hAnsi="Courier New"/>
                <w:sz w:val="12"/>
                <w:szCs w:val="12"/>
                <w:color w:val="auto"/>
              </w:rPr>
              <w:t>E,F</w:t>
            </w:r>
          </w:p>
        </w:tc>
        <w:tc>
          <w:tcPr>
            <w:tcW w:w="220" w:type="dxa"/>
            <w:vAlign w:val="bottom"/>
          </w:tcPr>
          <w:p>
            <w:pPr>
              <w:spacing w:after="0"/>
              <w:rPr>
                <w:sz w:val="12"/>
                <w:szCs w:val="12"/>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1,457</w:t>
            </w:r>
          </w:p>
        </w:tc>
        <w:tc>
          <w:tcPr>
            <w:tcW w:w="32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16,015</w:t>
            </w:r>
          </w:p>
        </w:tc>
        <w:tc>
          <w:tcPr>
            <w:tcW w:w="2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17,472</w:t>
            </w:r>
          </w:p>
        </w:tc>
        <w:tc>
          <w:tcPr>
            <w:tcW w:w="34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16,359</w:t>
            </w:r>
          </w:p>
        </w:tc>
        <w:tc>
          <w:tcPr>
            <w:tcW w:w="440" w:type="dxa"/>
            <w:vAlign w:val="bottom"/>
          </w:tcPr>
          <w:p>
            <w:pPr>
              <w:spacing w:after="0"/>
              <w:rPr>
                <w:sz w:val="12"/>
                <w:szCs w:val="12"/>
                <w:color w:val="auto"/>
              </w:rPr>
            </w:pPr>
          </w:p>
        </w:tc>
        <w:tc>
          <w:tcPr>
            <w:tcW w:w="8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(196)</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16,163</w:t>
            </w:r>
          </w:p>
        </w:tc>
      </w:tr>
      <w:tr>
        <w:trPr>
          <w:trHeight w:val="142"/>
        </w:trPr>
        <w:tc>
          <w:tcPr>
            <w:tcW w:w="3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gridSpan w:val="2"/>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3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50,748</w:t>
            </w:r>
          </w:p>
        </w:tc>
        <w:tc>
          <w:tcPr>
            <w:tcW w:w="32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16,015</w:t>
            </w:r>
          </w:p>
        </w:tc>
        <w:tc>
          <w:tcPr>
            <w:tcW w:w="2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66,763</w:t>
            </w:r>
          </w:p>
        </w:tc>
        <w:tc>
          <w:tcPr>
            <w:tcW w:w="34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77,800</w:t>
            </w:r>
          </w:p>
        </w:tc>
        <w:tc>
          <w:tcPr>
            <w:tcW w:w="440" w:type="dxa"/>
            <w:vAlign w:val="bottom"/>
          </w:tcPr>
          <w:p>
            <w:pPr>
              <w:spacing w:after="0"/>
              <w:rPr>
                <w:sz w:val="12"/>
                <w:szCs w:val="12"/>
                <w:color w:val="auto"/>
              </w:rPr>
            </w:pPr>
          </w:p>
        </w:tc>
        <w:tc>
          <w:tcPr>
            <w:tcW w:w="8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(196)</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77,604</w:t>
            </w:r>
          </w:p>
        </w:tc>
      </w:tr>
      <w:tr>
        <w:trPr>
          <w:trHeight w:val="142"/>
        </w:trPr>
        <w:tc>
          <w:tcPr>
            <w:tcW w:w="3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gridSpan w:val="2"/>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3600" w:type="dxa"/>
            <w:vAlign w:val="bottom"/>
          </w:tcPr>
          <w:p>
            <w:pPr>
              <w:ind w:left="520"/>
              <w:spacing w:after="0"/>
              <w:rPr>
                <w:sz w:val="20"/>
                <w:szCs w:val="20"/>
                <w:color w:val="auto"/>
              </w:rPr>
            </w:pPr>
            <w:r>
              <w:rPr>
                <w:rFonts w:ascii="Courier New" w:cs="Courier New" w:eastAsia="Courier New" w:hAnsi="Courier New"/>
                <w:sz w:val="12"/>
                <w:szCs w:val="12"/>
                <w:color w:val="auto"/>
              </w:rPr>
              <w:t>TOTAL ASSETS</w:t>
            </w:r>
          </w:p>
        </w:tc>
        <w:tc>
          <w:tcPr>
            <w:tcW w:w="960" w:type="dxa"/>
            <w:vAlign w:val="bottom"/>
          </w:tcPr>
          <w:p>
            <w:pPr>
              <w:spacing w:after="0"/>
              <w:rPr>
                <w:sz w:val="12"/>
                <w:szCs w:val="12"/>
                <w:color w:val="auto"/>
              </w:rPr>
            </w:pPr>
          </w:p>
        </w:tc>
        <w:tc>
          <w:tcPr>
            <w:tcW w:w="1040" w:type="dxa"/>
            <w:vAlign w:val="bottom"/>
            <w:gridSpan w:val="2"/>
          </w:tcPr>
          <w:p>
            <w:pPr>
              <w:jc w:val="right"/>
              <w:ind w:right="179"/>
              <w:spacing w:after="0"/>
              <w:rPr>
                <w:sz w:val="20"/>
                <w:szCs w:val="20"/>
                <w:color w:val="auto"/>
              </w:rPr>
            </w:pPr>
            <w:r>
              <w:rPr>
                <w:rFonts w:ascii="Courier New" w:cs="Courier New" w:eastAsia="Courier New" w:hAnsi="Courier New"/>
                <w:sz w:val="12"/>
                <w:szCs w:val="12"/>
                <w:color w:val="auto"/>
              </w:rPr>
              <w:t>$ 713,211</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29,548</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$ 742,759</w:t>
            </w:r>
          </w:p>
        </w:tc>
        <w:tc>
          <w:tcPr>
            <w:tcW w:w="11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$ 678,686</w:t>
            </w:r>
          </w:p>
        </w:tc>
        <w:tc>
          <w:tcPr>
            <w:tcW w:w="440" w:type="dxa"/>
            <w:vAlign w:val="bottom"/>
          </w:tcPr>
          <w:p>
            <w:pPr>
              <w:spacing w:after="0"/>
              <w:rPr>
                <w:sz w:val="12"/>
                <w:szCs w:val="12"/>
                <w:color w:val="auto"/>
              </w:rPr>
            </w:pPr>
          </w:p>
        </w:tc>
        <w:tc>
          <w:tcPr>
            <w:tcW w:w="880" w:type="dxa"/>
            <w:vAlign w:val="bottom"/>
          </w:tcPr>
          <w:p>
            <w:pPr>
              <w:jc w:val="right"/>
              <w:ind w:right="379"/>
              <w:spacing w:after="0"/>
              <w:rPr>
                <w:sz w:val="20"/>
                <w:szCs w:val="20"/>
                <w:color w:val="auto"/>
              </w:rPr>
            </w:pPr>
            <w:r>
              <w:rPr>
                <w:rFonts w:ascii="Courier New" w:cs="Courier New" w:eastAsia="Courier New" w:hAnsi="Courier New"/>
                <w:sz w:val="12"/>
                <w:szCs w:val="12"/>
                <w:color w:val="auto"/>
                <w:w w:val="97"/>
              </w:rPr>
              <w:t>11,938</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$ 690,624</w:t>
            </w:r>
          </w:p>
        </w:tc>
      </w:tr>
      <w:tr>
        <w:trPr>
          <w:trHeight w:val="142"/>
        </w:trPr>
        <w:tc>
          <w:tcPr>
            <w:tcW w:w="3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gridSpan w:val="2"/>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3600" w:type="dxa"/>
            <w:vAlign w:val="bottom"/>
          </w:tcPr>
          <w:p>
            <w:pPr>
              <w:spacing w:after="0"/>
              <w:rPr>
                <w:sz w:val="20"/>
                <w:szCs w:val="20"/>
                <w:color w:val="auto"/>
              </w:rPr>
            </w:pPr>
            <w:r>
              <w:rPr>
                <w:rFonts w:ascii="Courier New" w:cs="Courier New" w:eastAsia="Courier New" w:hAnsi="Courier New"/>
                <w:sz w:val="12"/>
                <w:szCs w:val="12"/>
                <w:color w:val="auto"/>
              </w:rPr>
              <w:t>LIABILITIES AND SHAREHOLDERS' EQUITY</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83"/>
        </w:trPr>
        <w:tc>
          <w:tcPr>
            <w:tcW w:w="3600" w:type="dxa"/>
            <w:vAlign w:val="bottom"/>
          </w:tcPr>
          <w:p>
            <w:pPr>
              <w:ind w:left="220"/>
              <w:spacing w:after="0"/>
              <w:rPr>
                <w:sz w:val="20"/>
                <w:szCs w:val="20"/>
                <w:color w:val="auto"/>
              </w:rPr>
            </w:pPr>
            <w:r>
              <w:rPr>
                <w:rFonts w:ascii="Courier New" w:cs="Courier New" w:eastAsia="Courier New" w:hAnsi="Courier New"/>
                <w:sz w:val="12"/>
                <w:szCs w:val="12"/>
                <w:color w:val="auto"/>
              </w:rPr>
              <w:t>CURRENT LIABILITIES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42"/>
        </w:trPr>
        <w:tc>
          <w:tcPr>
            <w:tcW w:w="3600" w:type="dxa"/>
            <w:vAlign w:val="bottom"/>
          </w:tcPr>
          <w:p>
            <w:pPr>
              <w:ind w:left="300"/>
              <w:spacing w:after="0"/>
              <w:rPr>
                <w:sz w:val="20"/>
                <w:szCs w:val="20"/>
                <w:color w:val="auto"/>
              </w:rPr>
            </w:pPr>
            <w:r>
              <w:rPr>
                <w:rFonts w:ascii="Courier New" w:cs="Courier New" w:eastAsia="Courier New" w:hAnsi="Courier New"/>
                <w:sz w:val="12"/>
                <w:szCs w:val="12"/>
                <w:color w:val="auto"/>
              </w:rPr>
              <w:t>CURRENT MATURITIES OF LONG TERM DEBT</w:t>
            </w:r>
          </w:p>
        </w:tc>
        <w:tc>
          <w:tcPr>
            <w:tcW w:w="9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21,103</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20"/>
                <w:szCs w:val="20"/>
                <w:color w:val="auto"/>
              </w:rPr>
            </w:pPr>
            <w:r>
              <w:rPr>
                <w:rFonts w:ascii="Courier New" w:cs="Courier New" w:eastAsia="Courier New" w:hAnsi="Courier New"/>
                <w:sz w:val="12"/>
                <w:szCs w:val="12"/>
                <w:color w:val="auto"/>
                <w:w w:val="82"/>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21,103</w:t>
            </w:r>
          </w:p>
        </w:tc>
      </w:tr>
      <w:tr>
        <w:trPr>
          <w:trHeight w:val="142"/>
        </w:trPr>
        <w:tc>
          <w:tcPr>
            <w:tcW w:w="3600" w:type="dxa"/>
            <w:vAlign w:val="bottom"/>
          </w:tcPr>
          <w:p>
            <w:pPr>
              <w:ind w:left="300"/>
              <w:spacing w:after="0"/>
              <w:rPr>
                <w:sz w:val="20"/>
                <w:szCs w:val="20"/>
                <w:color w:val="auto"/>
              </w:rPr>
            </w:pPr>
            <w:r>
              <w:rPr>
                <w:rFonts w:ascii="Courier New" w:cs="Courier New" w:eastAsia="Courier New" w:hAnsi="Courier New"/>
                <w:sz w:val="12"/>
                <w:szCs w:val="12"/>
                <w:color w:val="auto"/>
              </w:rPr>
              <w:t>CURRENT MATURITIES OF CONVERTIBLE DEBENTURE</w:t>
            </w:r>
          </w:p>
        </w:tc>
        <w:tc>
          <w:tcPr>
            <w:tcW w:w="960" w:type="dxa"/>
            <w:vAlign w:val="bottom"/>
          </w:tcPr>
          <w:p>
            <w:pPr>
              <w:jc w:val="center"/>
              <w:ind w:left="99"/>
              <w:spacing w:after="0"/>
              <w:rPr>
                <w:sz w:val="20"/>
                <w:szCs w:val="20"/>
                <w:color w:val="auto"/>
              </w:rPr>
            </w:pPr>
            <w:r>
              <w:rPr>
                <w:rFonts w:ascii="Courier New" w:cs="Courier New" w:eastAsia="Courier New" w:hAnsi="Courier New"/>
                <w:sz w:val="12"/>
                <w:szCs w:val="12"/>
                <w:color w:val="auto"/>
              </w:rPr>
              <w:t>F</w:t>
            </w:r>
          </w:p>
        </w:tc>
        <w:tc>
          <w:tcPr>
            <w:tcW w:w="220" w:type="dxa"/>
            <w:vAlign w:val="bottom"/>
          </w:tcPr>
          <w:p>
            <w:pPr>
              <w:spacing w:after="0"/>
              <w:rPr>
                <w:sz w:val="12"/>
                <w:szCs w:val="12"/>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6,522</w:t>
            </w:r>
          </w:p>
        </w:tc>
        <w:tc>
          <w:tcPr>
            <w:tcW w:w="32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341</w:t>
            </w:r>
          </w:p>
        </w:tc>
        <w:tc>
          <w:tcPr>
            <w:tcW w:w="2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6,863</w:t>
            </w:r>
          </w:p>
        </w:tc>
        <w:tc>
          <w:tcPr>
            <w:tcW w:w="34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6,453</w:t>
            </w:r>
          </w:p>
        </w:tc>
        <w:tc>
          <w:tcPr>
            <w:tcW w:w="440" w:type="dxa"/>
            <w:vAlign w:val="bottom"/>
          </w:tcPr>
          <w:p>
            <w:pPr>
              <w:spacing w:after="0"/>
              <w:rPr>
                <w:sz w:val="12"/>
                <w:szCs w:val="12"/>
                <w:color w:val="auto"/>
              </w:rPr>
            </w:pPr>
          </w:p>
        </w:tc>
        <w:tc>
          <w:tcPr>
            <w:tcW w:w="8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(640)</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5,813</w:t>
            </w:r>
          </w:p>
        </w:tc>
      </w:tr>
      <w:tr>
        <w:trPr>
          <w:trHeight w:val="142"/>
        </w:trPr>
        <w:tc>
          <w:tcPr>
            <w:tcW w:w="3600" w:type="dxa"/>
            <w:vAlign w:val="bottom"/>
          </w:tcPr>
          <w:p>
            <w:pPr>
              <w:ind w:left="300"/>
              <w:spacing w:after="0"/>
              <w:rPr>
                <w:sz w:val="20"/>
                <w:szCs w:val="20"/>
                <w:color w:val="auto"/>
              </w:rPr>
            </w:pPr>
            <w:r>
              <w:rPr>
                <w:rFonts w:ascii="Courier New" w:cs="Courier New" w:eastAsia="Courier New" w:hAnsi="Courier New"/>
                <w:sz w:val="12"/>
                <w:szCs w:val="12"/>
                <w:color w:val="auto"/>
              </w:rPr>
              <w:t>TRADE ACCOUNTS PAYABLE</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59,687</w:t>
            </w:r>
          </w:p>
        </w:tc>
        <w:tc>
          <w:tcPr>
            <w:tcW w:w="32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59,687</w:t>
            </w:r>
          </w:p>
        </w:tc>
        <w:tc>
          <w:tcPr>
            <w:tcW w:w="34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59,741</w:t>
            </w:r>
          </w:p>
        </w:tc>
        <w:tc>
          <w:tcPr>
            <w:tcW w:w="440" w:type="dxa"/>
            <w:vAlign w:val="bottom"/>
          </w:tcPr>
          <w:p>
            <w:pPr>
              <w:spacing w:after="0"/>
              <w:rPr>
                <w:sz w:val="12"/>
                <w:szCs w:val="12"/>
                <w:color w:val="auto"/>
              </w:rPr>
            </w:pPr>
          </w:p>
        </w:tc>
        <w:tc>
          <w:tcPr>
            <w:tcW w:w="8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59,741</w:t>
            </w:r>
          </w:p>
        </w:tc>
      </w:tr>
      <w:tr>
        <w:trPr>
          <w:trHeight w:val="142"/>
        </w:trPr>
        <w:tc>
          <w:tcPr>
            <w:tcW w:w="3600" w:type="dxa"/>
            <w:vAlign w:val="bottom"/>
          </w:tcPr>
          <w:p>
            <w:pPr>
              <w:ind w:left="300"/>
              <w:spacing w:after="0"/>
              <w:rPr>
                <w:sz w:val="20"/>
                <w:szCs w:val="20"/>
                <w:color w:val="auto"/>
              </w:rPr>
            </w:pPr>
            <w:r>
              <w:rPr>
                <w:rFonts w:ascii="Courier New" w:cs="Courier New" w:eastAsia="Courier New" w:hAnsi="Courier New"/>
                <w:sz w:val="12"/>
                <w:szCs w:val="12"/>
                <w:color w:val="auto"/>
              </w:rPr>
              <w:t>OTHER CURRENT LIABILITIES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15,354</w:t>
            </w:r>
          </w:p>
        </w:tc>
        <w:tc>
          <w:tcPr>
            <w:tcW w:w="32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15,354</w:t>
            </w:r>
          </w:p>
        </w:tc>
        <w:tc>
          <w:tcPr>
            <w:tcW w:w="34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8,972</w:t>
            </w:r>
          </w:p>
        </w:tc>
        <w:tc>
          <w:tcPr>
            <w:tcW w:w="440" w:type="dxa"/>
            <w:vAlign w:val="bottom"/>
          </w:tcPr>
          <w:p>
            <w:pPr>
              <w:spacing w:after="0"/>
              <w:rPr>
                <w:sz w:val="12"/>
                <w:szCs w:val="12"/>
                <w:color w:val="auto"/>
              </w:rPr>
            </w:pPr>
          </w:p>
        </w:tc>
        <w:tc>
          <w:tcPr>
            <w:tcW w:w="8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8,972</w:t>
            </w:r>
          </w:p>
        </w:tc>
      </w:tr>
      <w:tr>
        <w:trPr>
          <w:trHeight w:val="142"/>
        </w:trPr>
        <w:tc>
          <w:tcPr>
            <w:tcW w:w="3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gridSpan w:val="2"/>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3600" w:type="dxa"/>
            <w:vAlign w:val="bottom"/>
          </w:tcPr>
          <w:p>
            <w:pPr>
              <w:ind w:left="520"/>
              <w:spacing w:after="0"/>
              <w:rPr>
                <w:sz w:val="20"/>
                <w:szCs w:val="20"/>
                <w:color w:val="auto"/>
              </w:rPr>
            </w:pPr>
            <w:r>
              <w:rPr>
                <w:rFonts w:ascii="Courier New" w:cs="Courier New" w:eastAsia="Courier New" w:hAnsi="Courier New"/>
                <w:sz w:val="12"/>
                <w:szCs w:val="12"/>
                <w:color w:val="auto"/>
              </w:rPr>
              <w:t>TOTAL CURRENT LIABILITIES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81,563</w:t>
            </w:r>
          </w:p>
        </w:tc>
        <w:tc>
          <w:tcPr>
            <w:tcW w:w="32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341</w:t>
            </w:r>
          </w:p>
        </w:tc>
        <w:tc>
          <w:tcPr>
            <w:tcW w:w="2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81,904</w:t>
            </w:r>
          </w:p>
        </w:tc>
        <w:tc>
          <w:tcPr>
            <w:tcW w:w="34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96,269</w:t>
            </w:r>
          </w:p>
        </w:tc>
        <w:tc>
          <w:tcPr>
            <w:tcW w:w="440" w:type="dxa"/>
            <w:vAlign w:val="bottom"/>
          </w:tcPr>
          <w:p>
            <w:pPr>
              <w:spacing w:after="0"/>
              <w:rPr>
                <w:sz w:val="12"/>
                <w:szCs w:val="12"/>
                <w:color w:val="auto"/>
              </w:rPr>
            </w:pPr>
          </w:p>
        </w:tc>
        <w:tc>
          <w:tcPr>
            <w:tcW w:w="8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(640)</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95,629</w:t>
            </w:r>
          </w:p>
        </w:tc>
      </w:tr>
      <w:tr>
        <w:trPr>
          <w:trHeight w:val="425"/>
        </w:trPr>
        <w:tc>
          <w:tcPr>
            <w:tcW w:w="3600" w:type="dxa"/>
            <w:vAlign w:val="bottom"/>
          </w:tcPr>
          <w:p>
            <w:pPr>
              <w:ind w:left="220"/>
              <w:spacing w:after="0"/>
              <w:rPr>
                <w:sz w:val="20"/>
                <w:szCs w:val="20"/>
                <w:color w:val="auto"/>
              </w:rPr>
            </w:pPr>
            <w:r>
              <w:rPr>
                <w:rFonts w:ascii="Courier New" w:cs="Courier New" w:eastAsia="Courier New" w:hAnsi="Courier New"/>
                <w:sz w:val="12"/>
                <w:szCs w:val="12"/>
                <w:color w:val="auto"/>
              </w:rPr>
              <w:t>LONG-TERM DEBT</w:t>
            </w:r>
          </w:p>
        </w:tc>
        <w:tc>
          <w:tcPr>
            <w:tcW w:w="960" w:type="dxa"/>
            <w:vAlign w:val="bottom"/>
          </w:tcPr>
          <w:p>
            <w:pPr>
              <w:jc w:val="center"/>
              <w:ind w:left="99"/>
              <w:spacing w:after="0"/>
              <w:rPr>
                <w:sz w:val="20"/>
                <w:szCs w:val="20"/>
                <w:color w:val="auto"/>
              </w:rPr>
            </w:pPr>
            <w:r>
              <w:rPr>
                <w:rFonts w:ascii="Courier New" w:cs="Courier New" w:eastAsia="Courier New" w:hAnsi="Courier New"/>
                <w:sz w:val="12"/>
                <w:szCs w:val="12"/>
                <w:color w:val="auto"/>
              </w:rPr>
              <w:t>E</w:t>
            </w:r>
          </w:p>
        </w:tc>
        <w:tc>
          <w:tcPr>
            <w:tcW w:w="220" w:type="dxa"/>
            <w:vAlign w:val="bottom"/>
          </w:tcPr>
          <w:p>
            <w:pPr>
              <w:spacing w:after="0"/>
              <w:rPr>
                <w:sz w:val="24"/>
                <w:szCs w:val="24"/>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355,138</w:t>
            </w:r>
          </w:p>
        </w:tc>
        <w:tc>
          <w:tcPr>
            <w:tcW w:w="320" w:type="dxa"/>
            <w:vAlign w:val="bottom"/>
          </w:tcPr>
          <w:p>
            <w:pPr>
              <w:spacing w:after="0"/>
              <w:rPr>
                <w:sz w:val="24"/>
                <w:szCs w:val="24"/>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95,154</w:t>
            </w:r>
          </w:p>
        </w:tc>
        <w:tc>
          <w:tcPr>
            <w:tcW w:w="240" w:type="dxa"/>
            <w:vAlign w:val="bottom"/>
          </w:tcPr>
          <w:p>
            <w:pPr>
              <w:spacing w:after="0"/>
              <w:rPr>
                <w:sz w:val="24"/>
                <w:szCs w:val="24"/>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450,292</w:t>
            </w:r>
          </w:p>
        </w:tc>
        <w:tc>
          <w:tcPr>
            <w:tcW w:w="340" w:type="dxa"/>
            <w:vAlign w:val="bottom"/>
          </w:tcPr>
          <w:p>
            <w:pPr>
              <w:spacing w:after="0"/>
              <w:rPr>
                <w:sz w:val="24"/>
                <w:szCs w:val="24"/>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497,000</w:t>
            </w:r>
          </w:p>
        </w:tc>
        <w:tc>
          <w:tcPr>
            <w:tcW w:w="440" w:type="dxa"/>
            <w:vAlign w:val="bottom"/>
          </w:tcPr>
          <w:p>
            <w:pPr>
              <w:spacing w:after="0"/>
              <w:rPr>
                <w:sz w:val="24"/>
                <w:szCs w:val="24"/>
                <w:color w:val="auto"/>
              </w:rPr>
            </w:pPr>
          </w:p>
        </w:tc>
        <w:tc>
          <w:tcPr>
            <w:tcW w:w="8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497,000</w:t>
            </w:r>
          </w:p>
        </w:tc>
      </w:tr>
      <w:tr>
        <w:trPr>
          <w:trHeight w:val="283"/>
        </w:trPr>
        <w:tc>
          <w:tcPr>
            <w:tcW w:w="3600" w:type="dxa"/>
            <w:vAlign w:val="bottom"/>
          </w:tcPr>
          <w:p>
            <w:pPr>
              <w:ind w:left="220"/>
              <w:spacing w:after="0"/>
              <w:rPr>
                <w:sz w:val="20"/>
                <w:szCs w:val="20"/>
                <w:color w:val="auto"/>
              </w:rPr>
            </w:pPr>
            <w:r>
              <w:rPr>
                <w:rFonts w:ascii="Courier New" w:cs="Courier New" w:eastAsia="Courier New" w:hAnsi="Courier New"/>
                <w:sz w:val="12"/>
                <w:szCs w:val="12"/>
                <w:color w:val="auto"/>
              </w:rPr>
              <w:t>CONVERTIBLE DEBENTURES</w:t>
            </w:r>
          </w:p>
        </w:tc>
        <w:tc>
          <w:tcPr>
            <w:tcW w:w="960" w:type="dxa"/>
            <w:vAlign w:val="bottom"/>
          </w:tcPr>
          <w:p>
            <w:pPr>
              <w:jc w:val="center"/>
              <w:ind w:left="99"/>
              <w:spacing w:after="0"/>
              <w:rPr>
                <w:sz w:val="20"/>
                <w:szCs w:val="20"/>
                <w:color w:val="auto"/>
              </w:rPr>
            </w:pPr>
            <w:r>
              <w:rPr>
                <w:rFonts w:ascii="Courier New" w:cs="Courier New" w:eastAsia="Courier New" w:hAnsi="Courier New"/>
                <w:sz w:val="12"/>
                <w:szCs w:val="12"/>
                <w:color w:val="auto"/>
              </w:rPr>
              <w:t>F</w:t>
            </w:r>
          </w:p>
        </w:tc>
        <w:tc>
          <w:tcPr>
            <w:tcW w:w="220" w:type="dxa"/>
            <w:vAlign w:val="bottom"/>
          </w:tcPr>
          <w:p>
            <w:pPr>
              <w:spacing w:after="0"/>
              <w:rPr>
                <w:sz w:val="24"/>
                <w:szCs w:val="24"/>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61,657</w:t>
            </w:r>
          </w:p>
        </w:tc>
        <w:tc>
          <w:tcPr>
            <w:tcW w:w="320" w:type="dxa"/>
            <w:vAlign w:val="bottom"/>
          </w:tcPr>
          <w:p>
            <w:pPr>
              <w:spacing w:after="0"/>
              <w:rPr>
                <w:sz w:val="24"/>
                <w:szCs w:val="24"/>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20,013</w:t>
            </w:r>
          </w:p>
        </w:tc>
        <w:tc>
          <w:tcPr>
            <w:tcW w:w="240" w:type="dxa"/>
            <w:vAlign w:val="bottom"/>
          </w:tcPr>
          <w:p>
            <w:pPr>
              <w:spacing w:after="0"/>
              <w:rPr>
                <w:sz w:val="24"/>
                <w:szCs w:val="24"/>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81,670</w:t>
            </w:r>
          </w:p>
        </w:tc>
        <w:tc>
          <w:tcPr>
            <w:tcW w:w="340" w:type="dxa"/>
            <w:vAlign w:val="bottom"/>
          </w:tcPr>
          <w:p>
            <w:pPr>
              <w:spacing w:after="0"/>
              <w:rPr>
                <w:sz w:val="24"/>
                <w:szCs w:val="24"/>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19,358</w:t>
            </w:r>
          </w:p>
        </w:tc>
        <w:tc>
          <w:tcPr>
            <w:tcW w:w="440" w:type="dxa"/>
            <w:vAlign w:val="bottom"/>
          </w:tcPr>
          <w:p>
            <w:pPr>
              <w:spacing w:after="0"/>
              <w:rPr>
                <w:sz w:val="24"/>
                <w:szCs w:val="24"/>
                <w:color w:val="auto"/>
              </w:rPr>
            </w:pPr>
          </w:p>
        </w:tc>
        <w:tc>
          <w:tcPr>
            <w:tcW w:w="880" w:type="dxa"/>
            <w:vAlign w:val="bottom"/>
          </w:tcPr>
          <w:p>
            <w:pPr>
              <w:jc w:val="right"/>
              <w:ind w:right="379"/>
              <w:spacing w:after="0"/>
              <w:rPr>
                <w:sz w:val="20"/>
                <w:szCs w:val="20"/>
                <w:color w:val="auto"/>
              </w:rPr>
            </w:pPr>
            <w:r>
              <w:rPr>
                <w:rFonts w:ascii="Courier New" w:cs="Courier New" w:eastAsia="Courier New" w:hAnsi="Courier New"/>
                <w:sz w:val="12"/>
                <w:szCs w:val="12"/>
                <w:color w:val="auto"/>
                <w:w w:val="97"/>
              </w:rPr>
              <w:t>23,574</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42,932</w:t>
            </w:r>
          </w:p>
        </w:tc>
      </w:tr>
      <w:tr>
        <w:trPr>
          <w:trHeight w:val="283"/>
        </w:trPr>
        <w:tc>
          <w:tcPr>
            <w:tcW w:w="3600" w:type="dxa"/>
            <w:vAlign w:val="bottom"/>
          </w:tcPr>
          <w:p>
            <w:pPr>
              <w:ind w:left="220"/>
              <w:spacing w:after="0"/>
              <w:rPr>
                <w:sz w:val="20"/>
                <w:szCs w:val="20"/>
                <w:color w:val="auto"/>
              </w:rPr>
            </w:pPr>
            <w:r>
              <w:rPr>
                <w:rFonts w:ascii="Courier New" w:cs="Courier New" w:eastAsia="Courier New" w:hAnsi="Courier New"/>
                <w:sz w:val="12"/>
                <w:szCs w:val="12"/>
                <w:color w:val="auto"/>
              </w:rPr>
              <w:t>LONG-TERM LIABILITY IN RESPECT</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42"/>
        </w:trPr>
        <w:tc>
          <w:tcPr>
            <w:tcW w:w="3600" w:type="dxa"/>
            <w:vAlign w:val="bottom"/>
          </w:tcPr>
          <w:p>
            <w:pPr>
              <w:ind w:left="360"/>
              <w:spacing w:after="0"/>
              <w:rPr>
                <w:sz w:val="20"/>
                <w:szCs w:val="20"/>
                <w:color w:val="auto"/>
              </w:rPr>
            </w:pPr>
            <w:r>
              <w:rPr>
                <w:rFonts w:ascii="Courier New" w:cs="Courier New" w:eastAsia="Courier New" w:hAnsi="Courier New"/>
                <w:sz w:val="12"/>
                <w:szCs w:val="12"/>
                <w:color w:val="auto"/>
              </w:rPr>
              <w:t>OF CUSTOMERS' ADVANCES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50,004</w:t>
            </w:r>
          </w:p>
        </w:tc>
        <w:tc>
          <w:tcPr>
            <w:tcW w:w="32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50,004</w:t>
            </w:r>
          </w:p>
        </w:tc>
        <w:tc>
          <w:tcPr>
            <w:tcW w:w="34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59,621</w:t>
            </w:r>
          </w:p>
        </w:tc>
        <w:tc>
          <w:tcPr>
            <w:tcW w:w="440" w:type="dxa"/>
            <w:vAlign w:val="bottom"/>
          </w:tcPr>
          <w:p>
            <w:pPr>
              <w:spacing w:after="0"/>
              <w:rPr>
                <w:sz w:val="12"/>
                <w:szCs w:val="12"/>
                <w:color w:val="auto"/>
              </w:rPr>
            </w:pPr>
          </w:p>
        </w:tc>
        <w:tc>
          <w:tcPr>
            <w:tcW w:w="8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59,621</w:t>
            </w:r>
          </w:p>
        </w:tc>
      </w:tr>
      <w:tr>
        <w:trPr>
          <w:trHeight w:val="283"/>
        </w:trPr>
        <w:tc>
          <w:tcPr>
            <w:tcW w:w="3600" w:type="dxa"/>
            <w:vAlign w:val="bottom"/>
          </w:tcPr>
          <w:p>
            <w:pPr>
              <w:ind w:left="220"/>
              <w:spacing w:after="0"/>
              <w:rPr>
                <w:sz w:val="20"/>
                <w:szCs w:val="20"/>
                <w:color w:val="auto"/>
              </w:rPr>
            </w:pPr>
            <w:r>
              <w:rPr>
                <w:rFonts w:ascii="Courier New" w:cs="Courier New" w:eastAsia="Courier New" w:hAnsi="Courier New"/>
                <w:sz w:val="12"/>
                <w:szCs w:val="12"/>
                <w:color w:val="auto"/>
              </w:rPr>
              <w:t>OTHER LONG-TERM LIABILITIES</w:t>
            </w:r>
          </w:p>
        </w:tc>
        <w:tc>
          <w:tcPr>
            <w:tcW w:w="960" w:type="dxa"/>
            <w:vAlign w:val="bottom"/>
          </w:tcPr>
          <w:p>
            <w:pPr>
              <w:jc w:val="center"/>
              <w:ind w:left="99"/>
              <w:spacing w:after="0"/>
              <w:rPr>
                <w:sz w:val="20"/>
                <w:szCs w:val="20"/>
                <w:color w:val="auto"/>
              </w:rPr>
            </w:pPr>
            <w:r>
              <w:rPr>
                <w:rFonts w:ascii="Courier New" w:cs="Courier New" w:eastAsia="Courier New" w:hAnsi="Courier New"/>
                <w:sz w:val="12"/>
                <w:szCs w:val="12"/>
                <w:color w:val="auto"/>
              </w:rPr>
              <w:t>C</w:t>
            </w:r>
          </w:p>
        </w:tc>
        <w:tc>
          <w:tcPr>
            <w:tcW w:w="220" w:type="dxa"/>
            <w:vAlign w:val="bottom"/>
          </w:tcPr>
          <w:p>
            <w:pPr>
              <w:spacing w:after="0"/>
              <w:rPr>
                <w:sz w:val="24"/>
                <w:szCs w:val="24"/>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15,547</w:t>
            </w:r>
          </w:p>
        </w:tc>
        <w:tc>
          <w:tcPr>
            <w:tcW w:w="320" w:type="dxa"/>
            <w:vAlign w:val="bottom"/>
          </w:tcPr>
          <w:p>
            <w:pPr>
              <w:spacing w:after="0"/>
              <w:rPr>
                <w:sz w:val="24"/>
                <w:szCs w:val="24"/>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13,933</w:t>
            </w:r>
          </w:p>
        </w:tc>
        <w:tc>
          <w:tcPr>
            <w:tcW w:w="240" w:type="dxa"/>
            <w:vAlign w:val="bottom"/>
          </w:tcPr>
          <w:p>
            <w:pPr>
              <w:spacing w:after="0"/>
              <w:rPr>
                <w:sz w:val="24"/>
                <w:szCs w:val="24"/>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29,480</w:t>
            </w:r>
          </w:p>
        </w:tc>
        <w:tc>
          <w:tcPr>
            <w:tcW w:w="340" w:type="dxa"/>
            <w:vAlign w:val="bottom"/>
          </w:tcPr>
          <w:p>
            <w:pPr>
              <w:spacing w:after="0"/>
              <w:rPr>
                <w:sz w:val="24"/>
                <w:szCs w:val="24"/>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11,012</w:t>
            </w:r>
          </w:p>
        </w:tc>
        <w:tc>
          <w:tcPr>
            <w:tcW w:w="440" w:type="dxa"/>
            <w:vAlign w:val="bottom"/>
          </w:tcPr>
          <w:p>
            <w:pPr>
              <w:spacing w:after="0"/>
              <w:rPr>
                <w:sz w:val="24"/>
                <w:szCs w:val="24"/>
                <w:color w:val="auto"/>
              </w:rPr>
            </w:pPr>
          </w:p>
        </w:tc>
        <w:tc>
          <w:tcPr>
            <w:tcW w:w="880" w:type="dxa"/>
            <w:vAlign w:val="bottom"/>
          </w:tcPr>
          <w:p>
            <w:pPr>
              <w:jc w:val="right"/>
              <w:ind w:right="379"/>
              <w:spacing w:after="0"/>
              <w:rPr>
                <w:sz w:val="20"/>
                <w:szCs w:val="20"/>
                <w:color w:val="auto"/>
              </w:rPr>
            </w:pPr>
            <w:r>
              <w:rPr>
                <w:rFonts w:ascii="Courier New" w:cs="Courier New" w:eastAsia="Courier New" w:hAnsi="Courier New"/>
                <w:sz w:val="12"/>
                <w:szCs w:val="12"/>
                <w:color w:val="auto"/>
                <w:w w:val="97"/>
              </w:rPr>
              <w:t>13,658</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24,670</w:t>
            </w:r>
          </w:p>
        </w:tc>
      </w:tr>
      <w:tr>
        <w:trPr>
          <w:trHeight w:val="142"/>
        </w:trPr>
        <w:tc>
          <w:tcPr>
            <w:tcW w:w="3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gridSpan w:val="2"/>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3600" w:type="dxa"/>
            <w:vAlign w:val="bottom"/>
          </w:tcPr>
          <w:p>
            <w:pPr>
              <w:ind w:left="520"/>
              <w:spacing w:after="0"/>
              <w:rPr>
                <w:sz w:val="20"/>
                <w:szCs w:val="20"/>
                <w:color w:val="auto"/>
              </w:rPr>
            </w:pPr>
            <w:r>
              <w:rPr>
                <w:rFonts w:ascii="Courier New" w:cs="Courier New" w:eastAsia="Courier New" w:hAnsi="Courier New"/>
                <w:sz w:val="12"/>
                <w:szCs w:val="12"/>
                <w:color w:val="auto"/>
              </w:rPr>
              <w:t>TOTAL LIABILITIES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563,909</w:t>
            </w:r>
          </w:p>
        </w:tc>
        <w:tc>
          <w:tcPr>
            <w:tcW w:w="320" w:type="dxa"/>
            <w:vAlign w:val="bottom"/>
          </w:tcPr>
          <w:p>
            <w:pPr>
              <w:spacing w:after="0"/>
              <w:rPr>
                <w:sz w:val="12"/>
                <w:szCs w:val="12"/>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129,441</w:t>
            </w:r>
          </w:p>
        </w:tc>
        <w:tc>
          <w:tcPr>
            <w:tcW w:w="2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693,350</w:t>
            </w:r>
          </w:p>
        </w:tc>
        <w:tc>
          <w:tcPr>
            <w:tcW w:w="340" w:type="dxa"/>
            <w:vAlign w:val="bottom"/>
          </w:tcPr>
          <w:p>
            <w:pPr>
              <w:spacing w:after="0"/>
              <w:rPr>
                <w:sz w:val="12"/>
                <w:szCs w:val="12"/>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683,260</w:t>
            </w:r>
          </w:p>
        </w:tc>
        <w:tc>
          <w:tcPr>
            <w:tcW w:w="440" w:type="dxa"/>
            <w:vAlign w:val="bottom"/>
          </w:tcPr>
          <w:p>
            <w:pPr>
              <w:spacing w:after="0"/>
              <w:rPr>
                <w:sz w:val="12"/>
                <w:szCs w:val="12"/>
                <w:color w:val="auto"/>
              </w:rPr>
            </w:pPr>
          </w:p>
        </w:tc>
        <w:tc>
          <w:tcPr>
            <w:tcW w:w="880" w:type="dxa"/>
            <w:vAlign w:val="bottom"/>
          </w:tcPr>
          <w:p>
            <w:pPr>
              <w:jc w:val="right"/>
              <w:ind w:right="379"/>
              <w:spacing w:after="0"/>
              <w:rPr>
                <w:sz w:val="20"/>
                <w:szCs w:val="20"/>
                <w:color w:val="auto"/>
              </w:rPr>
            </w:pPr>
            <w:r>
              <w:rPr>
                <w:rFonts w:ascii="Courier New" w:cs="Courier New" w:eastAsia="Courier New" w:hAnsi="Courier New"/>
                <w:sz w:val="12"/>
                <w:szCs w:val="12"/>
                <w:color w:val="auto"/>
                <w:w w:val="97"/>
              </w:rPr>
              <w:t>36,592</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719,852</w:t>
            </w:r>
          </w:p>
        </w:tc>
      </w:tr>
    </w:tbl>
    <w:p>
      <w:pPr>
        <w:sectPr>
          <w:pgSz w:w="11900" w:h="16884" w:orient="portrait"/>
          <w:cols w:equalWidth="0" w:num="1">
            <w:col w:w="10900"/>
          </w:cols>
          <w:pgMar w:left="220" w:top="141" w:right="779" w:bottom="0" w:gutter="0" w:footer="0" w:header="0"/>
        </w:sectPr>
      </w:pPr>
    </w:p>
    <w:bookmarkStart w:id="18" w:name="page19"/>
    <w:bookmarkEnd w:id="18"/>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38"/>
        </w:trPr>
        <w:tc>
          <w:tcPr>
            <w:tcW w:w="3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3560" w:type="dxa"/>
            <w:vAlign w:val="bottom"/>
          </w:tcPr>
          <w:p>
            <w:pPr>
              <w:spacing w:after="0"/>
              <w:rPr>
                <w:sz w:val="20"/>
                <w:szCs w:val="20"/>
                <w:color w:val="auto"/>
              </w:rPr>
            </w:pPr>
            <w:r>
              <w:rPr>
                <w:rFonts w:ascii="Courier New" w:cs="Courier New" w:eastAsia="Courier New" w:hAnsi="Courier New"/>
                <w:sz w:val="12"/>
                <w:szCs w:val="12"/>
                <w:color w:val="auto"/>
              </w:rPr>
              <w:t>CONVERTIBLE DEBENTURES</w:t>
            </w:r>
          </w:p>
        </w:tc>
        <w:tc>
          <w:tcPr>
            <w:tcW w:w="740" w:type="dxa"/>
            <w:vAlign w:val="bottom"/>
          </w:tcPr>
          <w:p>
            <w:pPr>
              <w:jc w:val="center"/>
              <w:spacing w:after="0"/>
              <w:rPr>
                <w:sz w:val="20"/>
                <w:szCs w:val="20"/>
                <w:color w:val="auto"/>
              </w:rPr>
            </w:pPr>
            <w:r>
              <w:rPr>
                <w:rFonts w:ascii="Courier New" w:cs="Courier New" w:eastAsia="Courier New" w:hAnsi="Courier New"/>
                <w:sz w:val="12"/>
                <w:szCs w:val="12"/>
                <w:color w:val="auto"/>
              </w:rPr>
              <w:t>F</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25,493</w:t>
            </w:r>
          </w:p>
        </w:tc>
        <w:tc>
          <w:tcPr>
            <w:tcW w:w="11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(25,493)</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3560" w:type="dxa"/>
            <w:vAlign w:val="bottom"/>
          </w:tcPr>
          <w:p>
            <w:pPr>
              <w:spacing w:after="0"/>
              <w:rPr>
                <w:sz w:val="20"/>
                <w:szCs w:val="20"/>
                <w:color w:val="auto"/>
              </w:rPr>
            </w:pPr>
            <w:r>
              <w:rPr>
                <w:rFonts w:ascii="Courier New" w:cs="Courier New" w:eastAsia="Courier New" w:hAnsi="Courier New"/>
                <w:sz w:val="12"/>
                <w:szCs w:val="12"/>
                <w:color w:val="auto"/>
              </w:rPr>
              <w:t>SHAREHOLDERS' EQUITY (DEFICIT)</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2"/>
        </w:trPr>
        <w:tc>
          <w:tcPr>
            <w:tcW w:w="3560" w:type="dxa"/>
            <w:vAlign w:val="bottom"/>
          </w:tcPr>
          <w:p>
            <w:pPr>
              <w:ind w:left="80"/>
              <w:spacing w:after="0"/>
              <w:rPr>
                <w:sz w:val="20"/>
                <w:szCs w:val="20"/>
                <w:color w:val="auto"/>
              </w:rPr>
            </w:pPr>
            <w:r>
              <w:rPr>
                <w:rFonts w:ascii="Courier New" w:cs="Courier New" w:eastAsia="Courier New" w:hAnsi="Courier New"/>
                <w:sz w:val="12"/>
                <w:szCs w:val="12"/>
                <w:color w:val="auto"/>
              </w:rPr>
              <w:t>ORDINARY SHARES, NIS 1 PAR VALUE - AUTHORIZED</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2"/>
        </w:trPr>
        <w:tc>
          <w:tcPr>
            <w:tcW w:w="3560" w:type="dxa"/>
            <w:vAlign w:val="bottom"/>
          </w:tcPr>
          <w:p>
            <w:pPr>
              <w:ind w:left="220"/>
              <w:spacing w:after="0"/>
              <w:rPr>
                <w:sz w:val="20"/>
                <w:szCs w:val="20"/>
                <w:color w:val="auto"/>
              </w:rPr>
            </w:pPr>
            <w:r>
              <w:rPr>
                <w:rFonts w:ascii="Courier New" w:cs="Courier New" w:eastAsia="Courier New" w:hAnsi="Courier New"/>
                <w:sz w:val="12"/>
                <w:szCs w:val="12"/>
                <w:color w:val="auto"/>
              </w:rPr>
              <w:t>800,000,000 AND 500,000,000 SHARES; ISSUED</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2"/>
        </w:trPr>
        <w:tc>
          <w:tcPr>
            <w:tcW w:w="3560" w:type="dxa"/>
            <w:vAlign w:val="bottom"/>
          </w:tcPr>
          <w:p>
            <w:pPr>
              <w:ind w:left="220"/>
              <w:spacing w:after="0"/>
              <w:rPr>
                <w:sz w:val="20"/>
                <w:szCs w:val="20"/>
                <w:color w:val="auto"/>
              </w:rPr>
            </w:pPr>
            <w:r>
              <w:rPr>
                <w:rFonts w:ascii="Courier New" w:cs="Courier New" w:eastAsia="Courier New" w:hAnsi="Courier New"/>
                <w:sz w:val="12"/>
                <w:szCs w:val="12"/>
                <w:color w:val="auto"/>
              </w:rPr>
              <w:t>87,423,850 AND 68,232,056 SHARES</w:t>
            </w:r>
          </w:p>
        </w:tc>
        <w:tc>
          <w:tcPr>
            <w:tcW w:w="740" w:type="dxa"/>
            <w:vAlign w:val="bottom"/>
          </w:tcPr>
          <w:p>
            <w:pPr>
              <w:spacing w:after="0"/>
              <w:rPr>
                <w:sz w:val="12"/>
                <w:szCs w:val="12"/>
                <w:color w:val="auto"/>
              </w:rPr>
            </w:pP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20,744</w:t>
            </w:r>
          </w:p>
        </w:tc>
        <w:tc>
          <w:tcPr>
            <w:tcW w:w="11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20,744</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16,548</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16,548</w:t>
            </w:r>
          </w:p>
        </w:tc>
      </w:tr>
      <w:tr>
        <w:trPr>
          <w:trHeight w:val="142"/>
        </w:trPr>
        <w:tc>
          <w:tcPr>
            <w:tcW w:w="3560" w:type="dxa"/>
            <w:vAlign w:val="bottom"/>
          </w:tcPr>
          <w:p>
            <w:pPr>
              <w:ind w:left="80"/>
              <w:spacing w:after="0"/>
              <w:rPr>
                <w:sz w:val="20"/>
                <w:szCs w:val="20"/>
                <w:color w:val="auto"/>
              </w:rPr>
            </w:pPr>
            <w:r>
              <w:rPr>
                <w:rFonts w:ascii="Courier New" w:cs="Courier New" w:eastAsia="Courier New" w:hAnsi="Courier New"/>
                <w:sz w:val="12"/>
                <w:szCs w:val="12"/>
                <w:color w:val="auto"/>
              </w:rPr>
              <w:t>ADDITIONAL PAID-IN CAPITAL</w:t>
            </w:r>
          </w:p>
        </w:tc>
        <w:tc>
          <w:tcPr>
            <w:tcW w:w="740" w:type="dxa"/>
            <w:vAlign w:val="bottom"/>
          </w:tcPr>
          <w:p>
            <w:pPr>
              <w:jc w:val="center"/>
              <w:spacing w:after="0"/>
              <w:rPr>
                <w:sz w:val="20"/>
                <w:szCs w:val="20"/>
                <w:color w:val="auto"/>
              </w:rPr>
            </w:pPr>
            <w:r>
              <w:rPr>
                <w:rFonts w:ascii="Courier New" w:cs="Courier New" w:eastAsia="Courier New" w:hAnsi="Courier New"/>
                <w:sz w:val="12"/>
                <w:szCs w:val="12"/>
                <w:color w:val="auto"/>
              </w:rPr>
              <w:t>F</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546,824</w:t>
            </w:r>
          </w:p>
        </w:tc>
        <w:tc>
          <w:tcPr>
            <w:tcW w:w="11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3,086</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549,910</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522,237</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2,363</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524,600</w:t>
            </w:r>
          </w:p>
        </w:tc>
      </w:tr>
      <w:tr>
        <w:trPr>
          <w:trHeight w:val="142"/>
        </w:trPr>
        <w:tc>
          <w:tcPr>
            <w:tcW w:w="3560" w:type="dxa"/>
            <w:vAlign w:val="bottom"/>
          </w:tcPr>
          <w:p>
            <w:pPr>
              <w:ind w:left="80"/>
              <w:spacing w:after="0"/>
              <w:rPr>
                <w:sz w:val="20"/>
                <w:szCs w:val="20"/>
                <w:color w:val="auto"/>
              </w:rPr>
            </w:pPr>
            <w:r>
              <w:rPr>
                <w:rFonts w:ascii="Courier New" w:cs="Courier New" w:eastAsia="Courier New" w:hAnsi="Courier New"/>
                <w:sz w:val="12"/>
                <w:szCs w:val="12"/>
                <w:color w:val="auto"/>
              </w:rPr>
              <w:t>CAPITAL NOTES</w:t>
            </w:r>
          </w:p>
        </w:tc>
        <w:tc>
          <w:tcPr>
            <w:tcW w:w="740" w:type="dxa"/>
            <w:vAlign w:val="bottom"/>
          </w:tcPr>
          <w:p>
            <w:pPr>
              <w:spacing w:after="0"/>
              <w:rPr>
                <w:sz w:val="12"/>
                <w:szCs w:val="12"/>
                <w:color w:val="auto"/>
              </w:rPr>
            </w:pP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176,401</w:t>
            </w:r>
          </w:p>
        </w:tc>
        <w:tc>
          <w:tcPr>
            <w:tcW w:w="11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176,401</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3560" w:type="dxa"/>
            <w:vAlign w:val="bottom"/>
          </w:tcPr>
          <w:p>
            <w:pPr>
              <w:ind w:left="80"/>
              <w:spacing w:after="0"/>
              <w:rPr>
                <w:sz w:val="20"/>
                <w:szCs w:val="20"/>
                <w:color w:val="auto"/>
              </w:rPr>
            </w:pPr>
            <w:r>
              <w:rPr>
                <w:rFonts w:ascii="Courier New" w:cs="Courier New" w:eastAsia="Courier New" w:hAnsi="Courier New"/>
                <w:sz w:val="12"/>
                <w:szCs w:val="12"/>
                <w:color w:val="auto"/>
              </w:rPr>
              <w:t>EQUITY COMPONENT OF CONVERTIBLE DEBENTURES</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2"/>
        </w:trPr>
        <w:tc>
          <w:tcPr>
            <w:tcW w:w="3560" w:type="dxa"/>
            <w:vAlign w:val="bottom"/>
          </w:tcPr>
          <w:p>
            <w:pPr>
              <w:ind w:left="220"/>
              <w:spacing w:after="0"/>
              <w:rPr>
                <w:sz w:val="20"/>
                <w:szCs w:val="20"/>
                <w:color w:val="auto"/>
              </w:rPr>
            </w:pPr>
            <w:r>
              <w:rPr>
                <w:rFonts w:ascii="Courier New" w:cs="Courier New" w:eastAsia="Courier New" w:hAnsi="Courier New"/>
                <w:sz w:val="12"/>
                <w:szCs w:val="12"/>
                <w:color w:val="auto"/>
              </w:rPr>
              <w:t>AND CUMULATIVE STOCK BASED COMPENSATION</w:t>
            </w:r>
          </w:p>
        </w:tc>
        <w:tc>
          <w:tcPr>
            <w:tcW w:w="740" w:type="dxa"/>
            <w:vAlign w:val="bottom"/>
          </w:tcPr>
          <w:p>
            <w:pPr>
              <w:jc w:val="center"/>
              <w:spacing w:after="0"/>
              <w:rPr>
                <w:sz w:val="20"/>
                <w:szCs w:val="20"/>
                <w:color w:val="auto"/>
              </w:rPr>
            </w:pPr>
            <w:r>
              <w:rPr>
                <w:rFonts w:ascii="Courier New" w:cs="Courier New" w:eastAsia="Courier New" w:hAnsi="Courier New"/>
                <w:sz w:val="12"/>
                <w:szCs w:val="12"/>
                <w:color w:val="auto"/>
              </w:rPr>
              <w:t>F,G</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23,394</w:t>
            </w:r>
          </w:p>
        </w:tc>
        <w:tc>
          <w:tcPr>
            <w:tcW w:w="11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(19,924)</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3,470</w:t>
            </w:r>
          </w:p>
        </w:tc>
        <w:tc>
          <w:tcPr>
            <w:tcW w:w="11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(26)</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(26)</w:t>
            </w:r>
          </w:p>
        </w:tc>
      </w:tr>
      <w:tr>
        <w:trPr>
          <w:trHeight w:val="142"/>
        </w:trPr>
        <w:tc>
          <w:tcPr>
            <w:tcW w:w="3560" w:type="dxa"/>
            <w:vAlign w:val="bottom"/>
          </w:tcPr>
          <w:p>
            <w:pPr>
              <w:ind w:left="80"/>
              <w:spacing w:after="0"/>
              <w:rPr>
                <w:sz w:val="20"/>
                <w:szCs w:val="20"/>
                <w:color w:val="auto"/>
              </w:rPr>
            </w:pPr>
            <w:r>
              <w:rPr>
                <w:rFonts w:ascii="Courier New" w:cs="Courier New" w:eastAsia="Courier New" w:hAnsi="Courier New"/>
                <w:sz w:val="12"/>
                <w:szCs w:val="12"/>
                <w:color w:val="auto"/>
              </w:rPr>
              <w:t>ACCUMULATED OTHER COMPREHENSIVE LOSS</w:t>
            </w:r>
          </w:p>
        </w:tc>
        <w:tc>
          <w:tcPr>
            <w:tcW w:w="740" w:type="dxa"/>
            <w:vAlign w:val="bottom"/>
          </w:tcPr>
          <w:p>
            <w:pPr>
              <w:jc w:val="center"/>
              <w:spacing w:after="0"/>
              <w:rPr>
                <w:sz w:val="20"/>
                <w:szCs w:val="20"/>
                <w:color w:val="auto"/>
              </w:rPr>
            </w:pPr>
            <w:r>
              <w:rPr>
                <w:rFonts w:ascii="Courier New" w:cs="Courier New" w:eastAsia="Courier New" w:hAnsi="Courier New"/>
                <w:sz w:val="12"/>
                <w:szCs w:val="12"/>
                <w:color w:val="auto"/>
              </w:rPr>
              <w:t>D</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(689)</w:t>
            </w:r>
          </w:p>
        </w:tc>
        <w:tc>
          <w:tcPr>
            <w:tcW w:w="11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(689)</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(1,554)</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(1,554)</w:t>
            </w:r>
          </w:p>
        </w:tc>
      </w:tr>
      <w:tr>
        <w:trPr>
          <w:trHeight w:val="142"/>
        </w:trPr>
        <w:tc>
          <w:tcPr>
            <w:tcW w:w="3560" w:type="dxa"/>
            <w:vAlign w:val="bottom"/>
          </w:tcPr>
          <w:p>
            <w:pPr>
              <w:ind w:left="80"/>
              <w:spacing w:after="0"/>
              <w:rPr>
                <w:sz w:val="20"/>
                <w:szCs w:val="20"/>
                <w:color w:val="auto"/>
              </w:rPr>
            </w:pPr>
            <w:r>
              <w:rPr>
                <w:rFonts w:ascii="Courier New" w:cs="Courier New" w:eastAsia="Courier New" w:hAnsi="Courier New"/>
                <w:sz w:val="12"/>
                <w:szCs w:val="12"/>
                <w:color w:val="auto"/>
              </w:rPr>
              <w:t>ACCUMULATED DEFICIT</w:t>
            </w:r>
          </w:p>
        </w:tc>
        <w:tc>
          <w:tcPr>
            <w:tcW w:w="740" w:type="dxa"/>
            <w:vAlign w:val="bottom"/>
          </w:tcPr>
          <w:p>
            <w:pPr>
              <w:jc w:val="center"/>
              <w:spacing w:after="0"/>
              <w:rPr>
                <w:sz w:val="20"/>
                <w:szCs w:val="20"/>
                <w:color w:val="auto"/>
              </w:rPr>
            </w:pPr>
            <w:r>
              <w:rPr>
                <w:rFonts w:ascii="Courier New" w:cs="Courier New" w:eastAsia="Courier New" w:hAnsi="Courier New"/>
                <w:sz w:val="12"/>
                <w:szCs w:val="12"/>
                <w:color w:val="auto"/>
                <w:w w:val="99"/>
              </w:rPr>
              <w:t>D,F,G</w:t>
            </w:r>
          </w:p>
        </w:tc>
        <w:tc>
          <w:tcPr>
            <w:tcW w:w="11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(608,989)</w:t>
            </w:r>
          </w:p>
        </w:tc>
        <w:tc>
          <w:tcPr>
            <w:tcW w:w="11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(82,366)</w:t>
            </w:r>
          </w:p>
        </w:tc>
        <w:tc>
          <w:tcPr>
            <w:tcW w:w="11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(691,355)</w:t>
            </w:r>
          </w:p>
        </w:tc>
        <w:tc>
          <w:tcPr>
            <w:tcW w:w="11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(559,754)</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30</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(559,724)</w:t>
            </w:r>
          </w:p>
        </w:tc>
      </w:tr>
      <w:tr>
        <w:trPr>
          <w:trHeight w:val="142"/>
        </w:trPr>
        <w:tc>
          <w:tcPr>
            <w:tcW w:w="3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3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158,374</w:t>
            </w:r>
          </w:p>
        </w:tc>
        <w:tc>
          <w:tcPr>
            <w:tcW w:w="11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(99,893)</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58,481</w:t>
            </w:r>
          </w:p>
        </w:tc>
        <w:tc>
          <w:tcPr>
            <w:tcW w:w="11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(20,995)</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839</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(20,156)</w:t>
            </w:r>
          </w:p>
        </w:tc>
      </w:tr>
      <w:tr>
        <w:trPr>
          <w:trHeight w:val="142"/>
        </w:trPr>
        <w:tc>
          <w:tcPr>
            <w:tcW w:w="3560" w:type="dxa"/>
            <w:vAlign w:val="bottom"/>
          </w:tcPr>
          <w:p>
            <w:pPr>
              <w:ind w:left="80"/>
              <w:spacing w:after="0"/>
              <w:rPr>
                <w:sz w:val="20"/>
                <w:szCs w:val="20"/>
                <w:color w:val="auto"/>
              </w:rPr>
            </w:pPr>
            <w:r>
              <w:rPr>
                <w:rFonts w:ascii="Courier New" w:cs="Courier New" w:eastAsia="Courier New" w:hAnsi="Courier New"/>
                <w:sz w:val="12"/>
                <w:szCs w:val="12"/>
                <w:color w:val="auto"/>
              </w:rPr>
              <w:t>TREASURY STOCK, AT COST - 1,300,000 SHARES</w:t>
            </w:r>
          </w:p>
        </w:tc>
        <w:tc>
          <w:tcPr>
            <w:tcW w:w="740" w:type="dxa"/>
            <w:vAlign w:val="bottom"/>
          </w:tcPr>
          <w:p>
            <w:pPr>
              <w:spacing w:after="0"/>
              <w:rPr>
                <w:sz w:val="12"/>
                <w:szCs w:val="12"/>
                <w:color w:val="auto"/>
              </w:rPr>
            </w:pPr>
          </w:p>
        </w:tc>
        <w:tc>
          <w:tcPr>
            <w:tcW w:w="11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(9,072)</w:t>
            </w:r>
          </w:p>
        </w:tc>
        <w:tc>
          <w:tcPr>
            <w:tcW w:w="11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(9,072)</w:t>
            </w:r>
          </w:p>
        </w:tc>
        <w:tc>
          <w:tcPr>
            <w:tcW w:w="11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(9,072)</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(9,072)</w:t>
            </w:r>
          </w:p>
        </w:tc>
      </w:tr>
      <w:tr>
        <w:trPr>
          <w:trHeight w:val="142"/>
        </w:trPr>
        <w:tc>
          <w:tcPr>
            <w:tcW w:w="3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3560" w:type="dxa"/>
            <w:vAlign w:val="bottom"/>
          </w:tcPr>
          <w:p>
            <w:pPr>
              <w:ind w:left="300"/>
              <w:spacing w:after="0"/>
              <w:rPr>
                <w:sz w:val="20"/>
                <w:szCs w:val="20"/>
                <w:color w:val="auto"/>
              </w:rPr>
            </w:pPr>
            <w:r>
              <w:rPr>
                <w:rFonts w:ascii="Courier New" w:cs="Courier New" w:eastAsia="Courier New" w:hAnsi="Courier New"/>
                <w:sz w:val="12"/>
                <w:szCs w:val="12"/>
                <w:color w:val="auto"/>
              </w:rPr>
              <w:t>TOTAL SHAREHOLDERS' EQUITY (DEFICIT)</w:t>
            </w:r>
          </w:p>
        </w:tc>
        <w:tc>
          <w:tcPr>
            <w:tcW w:w="740" w:type="dxa"/>
            <w:vAlign w:val="bottom"/>
          </w:tcPr>
          <w:p>
            <w:pPr>
              <w:spacing w:after="0"/>
              <w:rPr>
                <w:sz w:val="12"/>
                <w:szCs w:val="12"/>
                <w:color w:val="auto"/>
              </w:rPr>
            </w:pP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149,302</w:t>
            </w:r>
          </w:p>
        </w:tc>
        <w:tc>
          <w:tcPr>
            <w:tcW w:w="11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(99,893)</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49,409</w:t>
            </w:r>
          </w:p>
        </w:tc>
        <w:tc>
          <w:tcPr>
            <w:tcW w:w="11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(30,067)</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839</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(29,228)</w:t>
            </w:r>
          </w:p>
        </w:tc>
      </w:tr>
      <w:tr>
        <w:trPr>
          <w:trHeight w:val="142"/>
        </w:trPr>
        <w:tc>
          <w:tcPr>
            <w:tcW w:w="3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3560" w:type="dxa"/>
            <w:vAlign w:val="bottom"/>
          </w:tcPr>
          <w:p>
            <w:pPr>
              <w:ind w:left="300"/>
              <w:spacing w:after="0"/>
              <w:rPr>
                <w:sz w:val="20"/>
                <w:szCs w:val="20"/>
                <w:color w:val="auto"/>
              </w:rPr>
            </w:pPr>
            <w:r>
              <w:rPr>
                <w:rFonts w:ascii="Courier New" w:cs="Courier New" w:eastAsia="Courier New" w:hAnsi="Courier New"/>
                <w:sz w:val="12"/>
                <w:szCs w:val="12"/>
                <w:color w:val="auto"/>
              </w:rPr>
              <w:t>TOTAL LIABILITIES AND SHAREHOLDERS' EQUITY</w:t>
            </w:r>
          </w:p>
        </w:tc>
        <w:tc>
          <w:tcPr>
            <w:tcW w:w="740" w:type="dxa"/>
            <w:vAlign w:val="bottom"/>
          </w:tcPr>
          <w:p>
            <w:pPr>
              <w:spacing w:after="0"/>
              <w:rPr>
                <w:sz w:val="12"/>
                <w:szCs w:val="12"/>
                <w:color w:val="auto"/>
              </w:rPr>
            </w:pP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$ 713,211</w:t>
            </w:r>
          </w:p>
        </w:tc>
        <w:tc>
          <w:tcPr>
            <w:tcW w:w="11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  29,548</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$ 742,759</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$ 678,686</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  11,938</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$ 690,624</w:t>
            </w:r>
          </w:p>
        </w:tc>
      </w:tr>
      <w:tr>
        <w:trPr>
          <w:trHeight w:val="142"/>
        </w:trPr>
        <w:tc>
          <w:tcPr>
            <w:tcW w:w="3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3560" w:type="dxa"/>
            <w:vAlign w:val="bottom"/>
          </w:tcPr>
          <w:p>
            <w:pPr>
              <w:ind w:left="2500"/>
              <w:spacing w:after="0"/>
              <w:rPr>
                <w:sz w:val="20"/>
                <w:szCs w:val="20"/>
                <w:color w:val="auto"/>
              </w:rPr>
            </w:pPr>
            <w:r>
              <w:rPr>
                <w:rFonts w:ascii="Courier New" w:cs="Courier New" w:eastAsia="Courier New" w:hAnsi="Courier New"/>
                <w:sz w:val="12"/>
                <w:szCs w:val="12"/>
                <w:color w:val="auto"/>
              </w:rPr>
              <w:t>- 26 -</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514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5140"/>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MATERIAL DIFFERENCES BETWEEN ISRAELI AND U.S. GAAP (CONT.)</w:t>
      </w:r>
    </w:p>
    <w:p>
      <w:pPr>
        <w:spacing w:after="0" w:line="147" w:lineRule="exact"/>
        <w:rPr>
          <w:sz w:val="20"/>
          <w:szCs w:val="20"/>
          <w:color w:val="auto"/>
        </w:rPr>
      </w:pPr>
    </w:p>
    <w:p>
      <w:pPr>
        <w:ind w:left="740" w:hanging="376"/>
        <w:spacing w:after="0"/>
        <w:tabs>
          <w:tab w:leader="none" w:pos="740" w:val="left"/>
        </w:tabs>
        <w:numPr>
          <w:ilvl w:val="0"/>
          <w:numId w:val="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STATEMENTS OF OPERATIONS IN ACCORDANCE WITH U.S. GAAP</w:t>
      </w:r>
    </w:p>
    <w:p>
      <w:pPr>
        <w:spacing w:after="0" w:line="147" w:lineRule="exact"/>
        <w:rPr>
          <w:rFonts w:ascii="Courier New" w:cs="Courier New" w:eastAsia="Courier New" w:hAnsi="Courier New"/>
          <w:sz w:val="12"/>
          <w:szCs w:val="12"/>
          <w:color w:val="auto"/>
        </w:rPr>
      </w:pPr>
    </w:p>
    <w:p>
      <w:pPr>
        <w:ind w:left="740" w:right="5080"/>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FASB No. 15 (H above), SFAS 133, APB 14 (F above) and SFAS 123R (G above) would have resulted in an increase in the loss for the nine months period ended September 30, 2006 in the amount of $82,366 and an increase in the loss for the three months period ended September 30, 2006 in the amount of $83,373 , mainly due to the difference in accounting for the debt modification under Israeli GAAP Giving effect to all the above, the loss for the nine-month and three-month periods ended September 30, 2006 would be $131,631 and $43,906. No material effect on the result of operation for the nine -month and three-month periods ended September30, 2005.</w:t>
      </w:r>
    </w:p>
    <w:p>
      <w:pPr>
        <w:spacing w:after="0" w:line="141" w:lineRule="exact"/>
        <w:rPr>
          <w:rFonts w:ascii="Courier New" w:cs="Courier New" w:eastAsia="Courier New" w:hAnsi="Courier New"/>
          <w:sz w:val="12"/>
          <w:szCs w:val="12"/>
          <w:color w:val="auto"/>
        </w:rPr>
      </w:pPr>
    </w:p>
    <w:p>
      <w:pPr>
        <w:ind w:left="740" w:hanging="376"/>
        <w:spacing w:after="0"/>
        <w:tabs>
          <w:tab w:leader="none" w:pos="740" w:val="left"/>
        </w:tabs>
        <w:numPr>
          <w:ilvl w:val="0"/>
          <w:numId w:val="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COMPREHENSIVE INCOME (LOSS) IN ACCORDANCE WITH U.S. GAAP (SFAS 130)</w:t>
      </w:r>
    </w:p>
    <w:p>
      <w:pPr>
        <w:spacing w:after="0" w:line="147" w:lineRule="exact"/>
        <w:rPr>
          <w:rFonts w:ascii="Courier New" w:cs="Courier New" w:eastAsia="Courier New" w:hAnsi="Courier New"/>
          <w:sz w:val="12"/>
          <w:szCs w:val="12"/>
          <w:color w:val="auto"/>
        </w:rPr>
      </w:pPr>
    </w:p>
    <w:p>
      <w:pPr>
        <w:ind w:left="740" w:right="5080"/>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 Following are statements of comprehensive loss in accordance with U.S. GAAP:</w:t>
      </w:r>
    </w:p>
    <w:p>
      <w:pPr>
        <w:spacing w:after="0" w:line="283" w:lineRule="exact"/>
        <w:rPr>
          <w:sz w:val="20"/>
          <w:szCs w:val="20"/>
          <w:color w:val="auto"/>
        </w:rPr>
      </w:pPr>
    </w:p>
    <w:p>
      <w:pPr>
        <w:jc w:val="right"/>
        <w:ind w:right="3820"/>
        <w:spacing w:after="0"/>
        <w:tabs>
          <w:tab w:leader="none" w:pos="5120" w:val="left"/>
        </w:tabs>
        <w:rPr>
          <w:sz w:val="20"/>
          <w:szCs w:val="20"/>
          <w:color w:val="auto"/>
        </w:rPr>
      </w:pPr>
      <w:r>
        <w:rPr>
          <w:rFonts w:ascii="Courier New" w:cs="Courier New" w:eastAsia="Courier New" w:hAnsi="Courier New"/>
          <w:sz w:val="12"/>
          <w:szCs w:val="12"/>
          <w:color w:val="auto"/>
        </w:rPr>
        <w:t>Nine months ended</w:t>
      </w:r>
      <w:r>
        <w:rPr>
          <w:sz w:val="20"/>
          <w:szCs w:val="20"/>
          <w:color w:val="auto"/>
        </w:rPr>
        <w:tab/>
      </w:r>
      <w:r>
        <w:rPr>
          <w:rFonts w:ascii="Courier New" w:cs="Courier New" w:eastAsia="Courier New" w:hAnsi="Courier New"/>
          <w:sz w:val="12"/>
          <w:szCs w:val="12"/>
          <w:color w:val="auto"/>
        </w:rPr>
        <w:t>Three months ended</w:t>
      </w:r>
    </w:p>
    <w:p>
      <w:pPr>
        <w:spacing w:after="0" w:line="6" w:lineRule="exact"/>
        <w:rPr>
          <w:sz w:val="20"/>
          <w:szCs w:val="20"/>
          <w:color w:val="auto"/>
        </w:rPr>
      </w:pPr>
    </w:p>
    <w:p>
      <w:pPr>
        <w:jc w:val="right"/>
        <w:ind w:right="4040"/>
        <w:spacing w:after="0"/>
        <w:tabs>
          <w:tab w:leader="none" w:pos="4980" w:val="left"/>
        </w:tabs>
        <w:rPr>
          <w:sz w:val="20"/>
          <w:szCs w:val="20"/>
          <w:color w:val="auto"/>
        </w:rPr>
      </w:pPr>
      <w:r>
        <w:rPr>
          <w:rFonts w:ascii="Courier New" w:cs="Courier New" w:eastAsia="Courier New" w:hAnsi="Courier New"/>
          <w:sz w:val="12"/>
          <w:szCs w:val="12"/>
          <w:color w:val="auto"/>
        </w:rPr>
        <w:t>September 30,</w:t>
      </w:r>
      <w:r>
        <w:rPr>
          <w:sz w:val="20"/>
          <w:szCs w:val="20"/>
          <w:color w:val="auto"/>
        </w:rPr>
        <w:tab/>
      </w:r>
      <w:r>
        <w:rPr>
          <w:rFonts w:ascii="Courier New" w:cs="Courier New" w:eastAsia="Courier New" w:hAnsi="Courier New"/>
          <w:sz w:val="12"/>
          <w:szCs w:val="12"/>
          <w:color w:val="auto"/>
        </w:rPr>
        <w:t>September 30,</w:t>
      </w:r>
    </w:p>
    <w:p>
      <w:pPr>
        <w:spacing w:after="0" w:line="6" w:lineRule="exact"/>
        <w:rPr>
          <w:sz w:val="20"/>
          <w:szCs w:val="20"/>
          <w:color w:val="auto"/>
        </w:rPr>
      </w:pPr>
    </w:p>
    <w:p>
      <w:pPr>
        <w:ind w:left="3020"/>
        <w:spacing w:after="0"/>
        <w:tabs>
          <w:tab w:leader="none" w:pos="550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6" w:lineRule="exact"/>
        <w:rPr>
          <w:sz w:val="20"/>
          <w:szCs w:val="20"/>
          <w:color w:val="auto"/>
        </w:rPr>
      </w:pPr>
    </w:p>
    <w:p>
      <w:pPr>
        <w:jc w:val="both"/>
        <w:ind w:left="3160"/>
        <w:spacing w:after="0"/>
        <w:tabs>
          <w:tab w:leader="none" w:pos="4400" w:val="left"/>
          <w:tab w:leader="none" w:pos="5720" w:val="left"/>
          <w:tab w:leader="none" w:pos="6960" w:val="left"/>
        </w:tabs>
        <w:rPr>
          <w:sz w:val="20"/>
          <w:szCs w:val="20"/>
          <w:color w:val="auto"/>
        </w:rPr>
      </w:pPr>
      <w:r>
        <w:rPr>
          <w:rFonts w:ascii="Courier New" w:cs="Courier New" w:eastAsia="Courier New" w:hAnsi="Courier New"/>
          <w:sz w:val="12"/>
          <w:szCs w:val="12"/>
          <w:color w:val="auto"/>
        </w:rPr>
        <w:t>2006</w:t>
      </w:r>
      <w:r>
        <w:rPr>
          <w:sz w:val="20"/>
          <w:szCs w:val="20"/>
          <w:color w:val="auto"/>
        </w:rPr>
        <w:tab/>
      </w:r>
      <w:r>
        <w:rPr>
          <w:rFonts w:ascii="Courier New" w:cs="Courier New" w:eastAsia="Courier New" w:hAnsi="Courier New"/>
          <w:sz w:val="12"/>
          <w:szCs w:val="12"/>
          <w:color w:val="auto"/>
        </w:rPr>
        <w:t>2005</w:t>
      </w:r>
      <w:r>
        <w:rPr>
          <w:sz w:val="20"/>
          <w:szCs w:val="20"/>
          <w:color w:val="auto"/>
        </w:rPr>
        <w:tab/>
      </w:r>
      <w:r>
        <w:rPr>
          <w:rFonts w:ascii="Courier New" w:cs="Courier New" w:eastAsia="Courier New" w:hAnsi="Courier New"/>
          <w:sz w:val="12"/>
          <w:szCs w:val="12"/>
          <w:color w:val="auto"/>
        </w:rPr>
        <w:t>2006</w:t>
      </w:r>
      <w:r>
        <w:rPr>
          <w:sz w:val="20"/>
          <w:szCs w:val="20"/>
          <w:color w:val="auto"/>
        </w:rPr>
        <w:tab/>
      </w:r>
      <w:r>
        <w:rPr>
          <w:rFonts w:ascii="Courier New" w:cs="Courier New" w:eastAsia="Courier New" w:hAnsi="Courier New"/>
          <w:sz w:val="12"/>
          <w:szCs w:val="12"/>
          <w:color w:val="auto"/>
        </w:rPr>
        <w:t>2005</w:t>
      </w:r>
    </w:p>
    <w:p>
      <w:pPr>
        <w:spacing w:after="0" w:line="6" w:lineRule="exact"/>
        <w:rPr>
          <w:sz w:val="20"/>
          <w:szCs w:val="20"/>
          <w:color w:val="auto"/>
        </w:rPr>
      </w:pPr>
    </w:p>
    <w:p>
      <w:pPr>
        <w:ind w:left="3020"/>
        <w:spacing w:after="0"/>
        <w:tabs>
          <w:tab w:leader="none" w:pos="4240" w:val="left"/>
          <w:tab w:leader="none" w:pos="5500" w:val="left"/>
          <w:tab w:leader="none" w:pos="674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6" w:lineRule="exact"/>
        <w:rPr>
          <w:sz w:val="20"/>
          <w:szCs w:val="20"/>
          <w:color w:val="auto"/>
        </w:rPr>
      </w:pPr>
    </w:p>
    <w:p>
      <w:pPr>
        <w:jc w:val="both"/>
        <w:ind w:left="3520"/>
        <w:spacing w:after="0"/>
        <w:tabs>
          <w:tab w:leader="none" w:pos="6020" w:val="left"/>
        </w:tabs>
        <w:rPr>
          <w:sz w:val="20"/>
          <w:szCs w:val="20"/>
          <w:color w:val="auto"/>
        </w:rPr>
      </w:pPr>
      <w:r>
        <w:rPr>
          <w:rFonts w:ascii="Courier New" w:cs="Courier New" w:eastAsia="Courier New" w:hAnsi="Courier New"/>
          <w:sz w:val="12"/>
          <w:szCs w:val="12"/>
          <w:color w:val="auto"/>
        </w:rPr>
        <w:t>(unaudited)</w:t>
      </w:r>
      <w:r>
        <w:rPr>
          <w:sz w:val="20"/>
          <w:szCs w:val="20"/>
          <w:color w:val="auto"/>
        </w:rPr>
        <w:tab/>
      </w:r>
      <w:r>
        <w:rPr>
          <w:rFonts w:ascii="Courier New" w:cs="Courier New" w:eastAsia="Courier New" w:hAnsi="Courier New"/>
          <w:sz w:val="12"/>
          <w:szCs w:val="12"/>
          <w:color w:val="auto"/>
        </w:rPr>
        <w:t>(unaudited)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Loss for the period, according</w:t>
      </w:r>
    </w:p>
    <w:p>
      <w:pPr>
        <w:spacing w:after="0" w:line="6" w:lineRule="exact"/>
        <w:rPr>
          <w:sz w:val="20"/>
          <w:szCs w:val="20"/>
          <w:color w:val="auto"/>
        </w:rPr>
      </w:pPr>
    </w:p>
    <w:p>
      <w:pPr>
        <w:ind w:left="300"/>
        <w:spacing w:after="0"/>
        <w:tabs>
          <w:tab w:leader="none" w:pos="3000" w:val="left"/>
          <w:tab w:leader="none" w:pos="4240" w:val="left"/>
          <w:tab w:leader="none" w:pos="5500" w:val="left"/>
          <w:tab w:leader="none" w:pos="6740" w:val="left"/>
        </w:tabs>
        <w:rPr>
          <w:sz w:val="20"/>
          <w:szCs w:val="20"/>
          <w:color w:val="auto"/>
        </w:rPr>
      </w:pPr>
      <w:r>
        <w:rPr>
          <w:rFonts w:ascii="Courier New" w:cs="Courier New" w:eastAsia="Courier New" w:hAnsi="Courier New"/>
          <w:sz w:val="12"/>
          <w:szCs w:val="12"/>
          <w:color w:val="auto"/>
        </w:rPr>
        <w:t>to U.S. GAAP (see I above)</w:t>
      </w:r>
      <w:r>
        <w:rPr>
          <w:sz w:val="20"/>
          <w:szCs w:val="20"/>
          <w:color w:val="auto"/>
        </w:rPr>
        <w:tab/>
      </w:r>
      <w:r>
        <w:rPr>
          <w:rFonts w:ascii="Courier New" w:cs="Courier New" w:eastAsia="Courier New" w:hAnsi="Courier New"/>
          <w:sz w:val="12"/>
          <w:szCs w:val="12"/>
          <w:color w:val="auto"/>
        </w:rPr>
        <w:t>$(131,631)</w:t>
      </w:r>
      <w:r>
        <w:rPr>
          <w:sz w:val="20"/>
          <w:szCs w:val="20"/>
          <w:color w:val="auto"/>
        </w:rPr>
        <w:tab/>
      </w:r>
      <w:r>
        <w:rPr>
          <w:rFonts w:ascii="Courier New" w:cs="Courier New" w:eastAsia="Courier New" w:hAnsi="Courier New"/>
          <w:sz w:val="12"/>
          <w:szCs w:val="12"/>
          <w:color w:val="auto"/>
        </w:rPr>
        <w:t>$(157,910)</w:t>
      </w:r>
      <w:r>
        <w:rPr>
          <w:sz w:val="20"/>
          <w:szCs w:val="20"/>
          <w:color w:val="auto"/>
        </w:rPr>
        <w:tab/>
      </w:r>
      <w:r>
        <w:rPr>
          <w:rFonts w:ascii="Courier New" w:cs="Courier New" w:eastAsia="Courier New" w:hAnsi="Courier New"/>
          <w:sz w:val="12"/>
          <w:szCs w:val="12"/>
          <w:color w:val="auto"/>
        </w:rPr>
        <w:t>$ (43,906)</w:t>
      </w:r>
      <w:r>
        <w:rPr>
          <w:sz w:val="20"/>
          <w:szCs w:val="20"/>
          <w:color w:val="auto"/>
        </w:rPr>
        <w:tab/>
      </w:r>
      <w:r>
        <w:rPr>
          <w:rFonts w:ascii="Courier New" w:cs="Courier New" w:eastAsia="Courier New" w:hAnsi="Courier New"/>
          <w:sz w:val="12"/>
          <w:szCs w:val="12"/>
          <w:color w:val="auto"/>
        </w:rPr>
        <w:t>$ (55,350)</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Other comprehensive loss:</w:t>
      </w:r>
    </w:p>
    <w:p>
      <w:pPr>
        <w:spacing w:after="0" w:line="147" w:lineRule="exact"/>
        <w:rPr>
          <w:sz w:val="20"/>
          <w:szCs w:val="20"/>
          <w:color w:val="auto"/>
        </w:rPr>
      </w:pPr>
    </w:p>
    <w:p>
      <w:pPr>
        <w:ind w:left="300"/>
        <w:spacing w:after="0"/>
        <w:rPr>
          <w:sz w:val="20"/>
          <w:szCs w:val="20"/>
          <w:color w:val="auto"/>
        </w:rPr>
      </w:pPr>
      <w:r>
        <w:rPr>
          <w:rFonts w:ascii="Courier New" w:cs="Courier New" w:eastAsia="Courier New" w:hAnsi="Courier New"/>
          <w:sz w:val="12"/>
          <w:szCs w:val="12"/>
          <w:color w:val="auto"/>
        </w:rPr>
        <w:t>Reclassification of unrealized</w:t>
      </w:r>
    </w:p>
    <w:p>
      <w:pPr>
        <w:spacing w:after="0" w:line="6" w:lineRule="exact"/>
        <w:rPr>
          <w:sz w:val="20"/>
          <w:szCs w:val="20"/>
          <w:color w:val="auto"/>
        </w:rPr>
      </w:pPr>
    </w:p>
    <w:p>
      <w:pPr>
        <w:ind w:left="520"/>
        <w:spacing w:after="0"/>
        <w:tabs>
          <w:tab w:leader="none" w:pos="3440" w:val="left"/>
          <w:tab w:leader="none" w:pos="4680" w:val="left"/>
          <w:tab w:leader="none" w:pos="5940" w:val="left"/>
          <w:tab w:leader="none" w:pos="7200" w:val="left"/>
        </w:tabs>
        <w:rPr>
          <w:sz w:val="20"/>
          <w:szCs w:val="20"/>
          <w:color w:val="auto"/>
        </w:rPr>
      </w:pPr>
      <w:r>
        <w:rPr>
          <w:rFonts w:ascii="Courier New" w:cs="Courier New" w:eastAsia="Courier New" w:hAnsi="Courier New"/>
          <w:sz w:val="12"/>
          <w:szCs w:val="12"/>
          <w:color w:val="auto"/>
        </w:rPr>
        <w:t>losses on derivatives</w:t>
      </w:r>
      <w:r>
        <w:rPr>
          <w:sz w:val="20"/>
          <w:szCs w:val="20"/>
          <w:color w:val="auto"/>
        </w:rPr>
        <w:tab/>
      </w:r>
      <w:r>
        <w:rPr>
          <w:rFonts w:ascii="Courier New" w:cs="Courier New" w:eastAsia="Courier New" w:hAnsi="Courier New"/>
          <w:sz w:val="12"/>
          <w:szCs w:val="12"/>
          <w:color w:val="auto"/>
        </w:rPr>
        <w:t>996</w:t>
      </w:r>
      <w:r>
        <w:rPr>
          <w:sz w:val="20"/>
          <w:szCs w:val="20"/>
          <w:color w:val="auto"/>
        </w:rPr>
        <w:tab/>
      </w:r>
      <w:r>
        <w:rPr>
          <w:rFonts w:ascii="Courier New" w:cs="Courier New" w:eastAsia="Courier New" w:hAnsi="Courier New"/>
          <w:sz w:val="12"/>
          <w:szCs w:val="12"/>
          <w:color w:val="auto"/>
        </w:rPr>
        <w:t>996</w:t>
      </w:r>
      <w:r>
        <w:rPr>
          <w:sz w:val="20"/>
          <w:szCs w:val="20"/>
          <w:color w:val="auto"/>
        </w:rPr>
        <w:tab/>
      </w:r>
      <w:r>
        <w:rPr>
          <w:rFonts w:ascii="Courier New" w:cs="Courier New" w:eastAsia="Courier New" w:hAnsi="Courier New"/>
          <w:sz w:val="12"/>
          <w:szCs w:val="12"/>
          <w:color w:val="auto"/>
        </w:rPr>
        <w:t>332</w:t>
      </w:r>
      <w:r>
        <w:rPr>
          <w:sz w:val="20"/>
          <w:szCs w:val="20"/>
          <w:color w:val="auto"/>
        </w:rPr>
        <w:tab/>
      </w:r>
      <w:r>
        <w:rPr>
          <w:rFonts w:ascii="Courier New" w:cs="Courier New" w:eastAsia="Courier New" w:hAnsi="Courier New"/>
          <w:sz w:val="12"/>
          <w:szCs w:val="12"/>
          <w:color w:val="auto"/>
        </w:rPr>
        <w:t>332</w:t>
      </w:r>
    </w:p>
    <w:p>
      <w:pPr>
        <w:spacing w:after="0" w:line="6" w:lineRule="exact"/>
        <w:rPr>
          <w:sz w:val="20"/>
          <w:szCs w:val="20"/>
          <w:color w:val="auto"/>
        </w:rPr>
      </w:pPr>
    </w:p>
    <w:p>
      <w:pPr>
        <w:ind w:left="300"/>
        <w:spacing w:after="0"/>
        <w:rPr>
          <w:sz w:val="20"/>
          <w:szCs w:val="20"/>
          <w:color w:val="auto"/>
        </w:rPr>
      </w:pPr>
      <w:r>
        <w:rPr>
          <w:rFonts w:ascii="Courier New" w:cs="Courier New" w:eastAsia="Courier New" w:hAnsi="Courier New"/>
          <w:sz w:val="12"/>
          <w:szCs w:val="12"/>
          <w:color w:val="auto"/>
        </w:rPr>
        <w:t>Unrealizedgains (losses) on</w:t>
      </w:r>
    </w:p>
    <w:p>
      <w:pPr>
        <w:spacing w:after="0" w:line="6" w:lineRule="exact"/>
        <w:rPr>
          <w:sz w:val="20"/>
          <w:szCs w:val="20"/>
          <w:color w:val="auto"/>
        </w:rPr>
      </w:pPr>
    </w:p>
    <w:p>
      <w:pPr>
        <w:ind w:left="520"/>
        <w:spacing w:after="0"/>
        <w:tabs>
          <w:tab w:leader="none" w:pos="3360" w:val="left"/>
          <w:tab w:leader="none" w:pos="4540" w:val="left"/>
          <w:tab w:leader="none" w:pos="5720" w:val="left"/>
          <w:tab w:leader="none" w:pos="7040" w:val="left"/>
        </w:tabs>
        <w:rPr>
          <w:sz w:val="20"/>
          <w:szCs w:val="20"/>
          <w:color w:val="auto"/>
        </w:rPr>
      </w:pPr>
      <w:r>
        <w:rPr>
          <w:rFonts w:ascii="Courier New" w:cs="Courier New" w:eastAsia="Courier New" w:hAnsi="Courier New"/>
          <w:sz w:val="12"/>
          <w:szCs w:val="12"/>
          <w:color w:val="auto"/>
        </w:rPr>
        <w:t>Derivatives</w:t>
      </w:r>
      <w:r>
        <w:rPr>
          <w:sz w:val="20"/>
          <w:szCs w:val="20"/>
          <w:color w:val="auto"/>
        </w:rPr>
        <w:tab/>
      </w:r>
      <w:r>
        <w:rPr>
          <w:rFonts w:ascii="Courier New" w:cs="Courier New" w:eastAsia="Courier New" w:hAnsi="Courier New"/>
          <w:sz w:val="12"/>
          <w:szCs w:val="12"/>
          <w:color w:val="auto"/>
        </w:rPr>
        <w:t>(130)</w:t>
      </w:r>
      <w:r>
        <w:rPr>
          <w:sz w:val="20"/>
          <w:szCs w:val="20"/>
          <w:color w:val="auto"/>
        </w:rPr>
        <w:tab/>
      </w:r>
      <w:r>
        <w:rPr>
          <w:rFonts w:ascii="Courier New" w:cs="Courier New" w:eastAsia="Courier New" w:hAnsi="Courier New"/>
          <w:sz w:val="12"/>
          <w:szCs w:val="12"/>
          <w:color w:val="auto"/>
        </w:rPr>
        <w:t>3,500</w:t>
      </w:r>
      <w:r>
        <w:rPr>
          <w:sz w:val="20"/>
          <w:szCs w:val="20"/>
          <w:color w:val="auto"/>
        </w:rPr>
        <w:tab/>
      </w:r>
      <w:r>
        <w:rPr>
          <w:rFonts w:ascii="Courier New" w:cs="Courier New" w:eastAsia="Courier New" w:hAnsi="Courier New"/>
          <w:sz w:val="12"/>
          <w:szCs w:val="12"/>
          <w:color w:val="auto"/>
        </w:rPr>
        <w:t>(1,375)</w:t>
      </w:r>
      <w:r>
        <w:rPr>
          <w:sz w:val="20"/>
          <w:szCs w:val="20"/>
          <w:color w:val="auto"/>
        </w:rPr>
        <w:tab/>
      </w:r>
      <w:r>
        <w:rPr>
          <w:rFonts w:ascii="Courier New" w:cs="Courier New" w:eastAsia="Courier New" w:hAnsi="Courier New"/>
          <w:sz w:val="12"/>
          <w:szCs w:val="12"/>
          <w:color w:val="auto"/>
        </w:rPr>
        <w:t>1,515</w:t>
      </w:r>
    </w:p>
    <w:p>
      <w:pPr>
        <w:spacing w:after="0" w:line="6" w:lineRule="exact"/>
        <w:rPr>
          <w:sz w:val="20"/>
          <w:szCs w:val="20"/>
          <w:color w:val="auto"/>
        </w:rPr>
      </w:pPr>
    </w:p>
    <w:p>
      <w:pPr>
        <w:ind w:left="3020"/>
        <w:spacing w:after="0"/>
        <w:tabs>
          <w:tab w:leader="none" w:pos="4240" w:val="left"/>
          <w:tab w:leader="none" w:pos="5500" w:val="left"/>
          <w:tab w:leader="none" w:pos="674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Net comprehensive loss</w:t>
      </w:r>
    </w:p>
    <w:p>
      <w:pPr>
        <w:spacing w:after="0" w:line="6" w:lineRule="exact"/>
        <w:rPr>
          <w:sz w:val="20"/>
          <w:szCs w:val="20"/>
          <w:color w:val="auto"/>
        </w:rPr>
      </w:pPr>
    </w:p>
    <w:p>
      <w:pPr>
        <w:ind w:left="300"/>
        <w:spacing w:after="0"/>
        <w:tabs>
          <w:tab w:leader="none" w:pos="3000" w:val="left"/>
          <w:tab w:leader="none" w:pos="4240" w:val="left"/>
          <w:tab w:leader="none" w:pos="5500" w:val="left"/>
          <w:tab w:leader="none" w:pos="6740" w:val="left"/>
        </w:tabs>
        <w:rPr>
          <w:sz w:val="20"/>
          <w:szCs w:val="20"/>
          <w:color w:val="auto"/>
        </w:rPr>
      </w:pPr>
      <w:r>
        <w:rPr>
          <w:rFonts w:ascii="Courier New" w:cs="Courier New" w:eastAsia="Courier New" w:hAnsi="Courier New"/>
          <w:sz w:val="12"/>
          <w:szCs w:val="12"/>
          <w:color w:val="auto"/>
        </w:rPr>
        <w:t>for the period</w:t>
      </w:r>
      <w:r>
        <w:rPr>
          <w:sz w:val="20"/>
          <w:szCs w:val="20"/>
          <w:color w:val="auto"/>
        </w:rPr>
        <w:tab/>
      </w:r>
      <w:r>
        <w:rPr>
          <w:rFonts w:ascii="Courier New" w:cs="Courier New" w:eastAsia="Courier New" w:hAnsi="Courier New"/>
          <w:sz w:val="12"/>
          <w:szCs w:val="12"/>
          <w:color w:val="auto"/>
        </w:rPr>
        <w:t>$(130,765)</w:t>
      </w:r>
      <w:r>
        <w:rPr>
          <w:sz w:val="20"/>
          <w:szCs w:val="20"/>
          <w:color w:val="auto"/>
        </w:rPr>
        <w:tab/>
      </w:r>
      <w:r>
        <w:rPr>
          <w:rFonts w:ascii="Courier New" w:cs="Courier New" w:eastAsia="Courier New" w:hAnsi="Courier New"/>
          <w:sz w:val="12"/>
          <w:szCs w:val="12"/>
          <w:color w:val="auto"/>
        </w:rPr>
        <w:t>$(153,414)</w:t>
      </w:r>
      <w:r>
        <w:rPr>
          <w:sz w:val="20"/>
          <w:szCs w:val="20"/>
          <w:color w:val="auto"/>
        </w:rPr>
        <w:tab/>
      </w:r>
      <w:r>
        <w:rPr>
          <w:rFonts w:ascii="Courier New" w:cs="Courier New" w:eastAsia="Courier New" w:hAnsi="Courier New"/>
          <w:sz w:val="12"/>
          <w:szCs w:val="12"/>
          <w:color w:val="auto"/>
        </w:rPr>
        <w:t>$ (44,949)</w:t>
      </w:r>
      <w:r>
        <w:rPr>
          <w:sz w:val="20"/>
          <w:szCs w:val="20"/>
          <w:color w:val="auto"/>
        </w:rPr>
        <w:tab/>
      </w:r>
      <w:r>
        <w:rPr>
          <w:rFonts w:ascii="Courier New" w:cs="Courier New" w:eastAsia="Courier New" w:hAnsi="Courier New"/>
          <w:sz w:val="12"/>
          <w:szCs w:val="12"/>
          <w:color w:val="auto"/>
        </w:rPr>
        <w:t>$ (53,503)</w:t>
      </w:r>
    </w:p>
    <w:p>
      <w:pPr>
        <w:spacing w:after="0" w:line="6" w:lineRule="exact"/>
        <w:rPr>
          <w:sz w:val="20"/>
          <w:szCs w:val="20"/>
          <w:color w:val="auto"/>
        </w:rPr>
      </w:pPr>
    </w:p>
    <w:p>
      <w:pPr>
        <w:jc w:val="both"/>
        <w:ind w:left="3020"/>
        <w:spacing w:after="0"/>
        <w:tabs>
          <w:tab w:leader="none" w:pos="4240" w:val="left"/>
          <w:tab w:leader="none" w:pos="5500" w:val="left"/>
          <w:tab w:leader="none" w:pos="674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289"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- 27 -</w:t>
      </w:r>
    </w:p>
    <w:p>
      <w:pPr>
        <w:spacing w:after="0" w:line="200" w:lineRule="exact"/>
        <w:rPr>
          <w:sz w:val="20"/>
          <w:szCs w:val="20"/>
          <w:color w:val="auto"/>
        </w:rPr>
      </w:pPr>
    </w:p>
    <w:p>
      <w:pPr>
        <w:spacing w:after="0" w:line="211" w:lineRule="exact"/>
        <w:rPr>
          <w:sz w:val="20"/>
          <w:szCs w:val="20"/>
          <w:color w:val="auto"/>
        </w:rPr>
      </w:pPr>
    </w:p>
    <w:p>
      <w:pPr>
        <w:jc w:val="center"/>
        <w:ind w:right="514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5140"/>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FINANCIAL STATEMENTS AS OF SEPTEMBER 30, 2006</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MATERIAL DIFFERENCES BETWEEN ISRAELI AND U.S. GAAP (CONT.)</w:t>
      </w:r>
    </w:p>
    <w:p>
      <w:pPr>
        <w:spacing w:after="0" w:line="147" w:lineRule="exact"/>
        <w:rPr>
          <w:sz w:val="20"/>
          <w:szCs w:val="20"/>
          <w:color w:val="auto"/>
        </w:rPr>
      </w:pPr>
    </w:p>
    <w:p>
      <w:pPr>
        <w:ind w:left="740" w:hanging="376"/>
        <w:spacing w:after="0"/>
        <w:tabs>
          <w:tab w:leader="none" w:pos="740"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PER SHARE IN ACCORDANCE WITH U.S. GAAP (SFAS 128)</w:t>
      </w:r>
    </w:p>
    <w:p>
      <w:pPr>
        <w:spacing w:after="0" w:line="147" w:lineRule="exact"/>
        <w:rPr>
          <w:rFonts w:ascii="Courier New" w:cs="Courier New" w:eastAsia="Courier New" w:hAnsi="Courier New"/>
          <w:sz w:val="12"/>
          <w:szCs w:val="12"/>
          <w:color w:val="auto"/>
        </w:rPr>
      </w:pPr>
    </w:p>
    <w:p>
      <w:pPr>
        <w:ind w:left="740" w:right="5140"/>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accordance with SFAS 128, the basic and diluted loss per share for the nine-month and the three-month periods ended September 30, 2006 would be $1.67 and $0.52, respectively (during the corresponding periods - $2.39 and $0.83, respectively).</w:t>
      </w:r>
    </w:p>
    <w:p>
      <w:pPr>
        <w:spacing w:after="0" w:line="139" w:lineRule="exact"/>
        <w:rPr>
          <w:rFonts w:ascii="Courier New" w:cs="Courier New" w:eastAsia="Courier New" w:hAnsi="Courier New"/>
          <w:sz w:val="12"/>
          <w:szCs w:val="12"/>
          <w:color w:val="auto"/>
        </w:rPr>
      </w:pPr>
    </w:p>
    <w:p>
      <w:pPr>
        <w:ind w:left="740" w:hanging="376"/>
        <w:spacing w:after="0"/>
        <w:tabs>
          <w:tab w:leader="none" w:pos="740"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STATEMENTS OF CASH FLOWS IN ACCORDANCE WITH U.S. GAAP (SFAS 95)</w:t>
      </w:r>
    </w:p>
    <w:p>
      <w:pPr>
        <w:spacing w:after="0" w:line="147" w:lineRule="exact"/>
        <w:rPr>
          <w:rFonts w:ascii="Courier New" w:cs="Courier New" w:eastAsia="Courier New" w:hAnsi="Courier New"/>
          <w:sz w:val="12"/>
          <w:szCs w:val="12"/>
          <w:color w:val="auto"/>
        </w:rPr>
      </w:pPr>
    </w:p>
    <w:p>
      <w:pPr>
        <w:ind w:left="740" w:right="5140"/>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SFAS 95 would not have materially affected the cash flows of the Company for the nine-month and three-month periods ended September 30, 2006 and 2005.</w:t>
      </w:r>
    </w:p>
    <w:p>
      <w:pPr>
        <w:sectPr>
          <w:pgSz w:w="11900" w:h="16838" w:orient="portrait"/>
          <w:cols w:equalWidth="0" w:num="1">
            <w:col w:w="10960"/>
          </w:cols>
          <w:pgMar w:left="220" w:top="141" w:right="719" w:bottom="1027" w:gutter="0" w:footer="0" w:header="0"/>
        </w:sectPr>
      </w:pPr>
    </w:p>
    <w:p>
      <w:pPr>
        <w:spacing w:after="0" w:line="281"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- 28 -</w:t>
      </w:r>
    </w:p>
    <w:p>
      <w:pPr>
        <w:sectPr>
          <w:pgSz w:w="11900" w:h="16838" w:orient="portrait"/>
          <w:cols w:equalWidth="0" w:num="1">
            <w:col w:w="10960"/>
          </w:cols>
          <w:pgMar w:left="220" w:top="141" w:right="719" w:bottom="1027" w:gutter="0" w:footer="0" w:header="0"/>
          <w:type w:val="continuous"/>
        </w:sectPr>
      </w:pPr>
    </w:p>
    <w:bookmarkStart w:id="19" w:name="page20"/>
    <w:bookmarkEnd w:id="19"/>
    <w:p>
      <w:pPr>
        <w:jc w:val="right"/>
        <w:ind w:right="4359"/>
        <w:spacing w:after="0"/>
        <w:rPr>
          <w:sz w:val="20"/>
          <w:szCs w:val="20"/>
          <w:color w:val="auto"/>
        </w:rPr>
      </w:pPr>
      <w:r>
        <w:rPr>
          <w:rFonts w:ascii="Courier New" w:cs="Courier New" w:eastAsia="Courier New" w:hAnsi="Courier New"/>
          <w:sz w:val="12"/>
          <w:szCs w:val="12"/>
          <w:color w:val="auto"/>
        </w:rPr>
        <w:t>EXHIBIT 99.2</w:t>
      </w:r>
    </w:p>
    <w:p>
      <w:pPr>
        <w:spacing w:after="0" w:line="147"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2"/>
          <w:szCs w:val="12"/>
          <w:color w:val="auto"/>
        </w:rPr>
        <w:t>MANAGEMENT'S DISCUSSION AND ANALYSIS OF FINANCIAL</w:t>
      </w:r>
    </w:p>
    <w:p>
      <w:pPr>
        <w:spacing w:after="0" w:line="147"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2"/>
          <w:szCs w:val="12"/>
          <w:color w:val="auto"/>
        </w:rPr>
        <w:t>CONDITION AND RESULTS OF OPERATIONS</w:t>
      </w:r>
    </w:p>
    <w:p>
      <w:pPr>
        <w:spacing w:after="0" w:line="147" w:lineRule="exact"/>
        <w:rPr>
          <w:sz w:val="20"/>
          <w:szCs w:val="20"/>
          <w:color w:val="auto"/>
        </w:rPr>
      </w:pPr>
    </w:p>
    <w:p>
      <w:pPr>
        <w:ind w:right="4359"/>
        <w:spacing w:after="0" w:line="250" w:lineRule="auto"/>
        <w:rPr>
          <w:sz w:val="20"/>
          <w:szCs w:val="20"/>
          <w:color w:val="auto"/>
        </w:rPr>
      </w:pPr>
      <w:r>
        <w:rPr>
          <w:rFonts w:ascii="Courier New" w:cs="Courier New" w:eastAsia="Courier New" w:hAnsi="Courier New"/>
          <w:sz w:val="12"/>
          <w:szCs w:val="12"/>
          <w:color w:val="auto"/>
        </w:rPr>
        <w:t>THE INFORMATION CONTAINED IN THIS SECTION SHOULD BE READ IN CONJUNCTION WITH (1) OUR UNAUDITED CONDENSED INTERIM CONSOLIDATED FINANCIAL STATEMENTS AS OF SEPTEMBER 30, 2006 AND FOR THE NINE MONTHS THEN ENDED AND RELATED NOTES INCLUDED IN THIS REPORT AND (2) OUR CONSOLIDATED FINANCIAL STATEMENTS AND RELATED NOTES INCLUDED IN OUR ANNUAL REPORT ON FORM 20-F FOR THE YEAR ENDED DECEMBER 31, 2005 AND THE OTHER INFORMATION CONTAINED IN SUCH ANNUAL REPORT, PARTICULARLY THE INFORMATION UNDER THE CAPTION "OPERATING AND FINANCIAL REVIEW AND PROSPECTS". OUR FINANCIAL STATEMENTS HAVE BEEN PREPARED IN ACCORDANCE WITH GENERALLY ACCEPTED ACCOUNTING PRINCIPLES ("GAAP") IN ISRAEL. DIFFERENCES BETWEEN ISRAELI GAAP AND US GAAP AS THEY RELATE TO OUR FINANCIAL STATEMENTS ARE DESCRIBED IN NOTE 5 TO OUR UNAUDITED CONDENSED INTERIM CONSOLIDATED FINANCIAL STATEMENTS AS OF SEPTEMBER 30, 2006 AND IN NOTE 20 TO OUR CONSOLIDATED FINANCIAL STATEMENTS AS OF DECEMBER 31, 2005.</w:t>
      </w: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RESULTS OF OPERATIONS</w:t>
      </w:r>
    </w:p>
    <w:p>
      <w:pPr>
        <w:spacing w:after="0" w:line="147" w:lineRule="exact"/>
        <w:rPr>
          <w:sz w:val="20"/>
          <w:szCs w:val="20"/>
          <w:color w:val="auto"/>
        </w:rPr>
      </w:pPr>
    </w:p>
    <w:p>
      <w:pPr>
        <w:ind w:right="4579" w:firstLine="368"/>
        <w:spacing w:after="0" w:line="253" w:lineRule="auto"/>
        <w:rPr>
          <w:sz w:val="20"/>
          <w:szCs w:val="20"/>
          <w:color w:val="auto"/>
        </w:rPr>
      </w:pPr>
      <w:r>
        <w:rPr>
          <w:rFonts w:ascii="Courier New" w:cs="Courier New" w:eastAsia="Courier New" w:hAnsi="Courier New"/>
          <w:sz w:val="12"/>
          <w:szCs w:val="12"/>
          <w:color w:val="auto"/>
        </w:rPr>
        <w:t>The following table sets forth certain statement of operations data as a percentage of total revenues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17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NINE MONTHS ENDED</w:t>
            </w:r>
          </w:p>
        </w:tc>
      </w:tr>
      <w:tr>
        <w:trPr>
          <w:trHeight w:val="142"/>
        </w:trPr>
        <w:tc>
          <w:tcPr>
            <w:tcW w:w="3060" w:type="dxa"/>
            <w:vAlign w:val="bottom"/>
          </w:tcPr>
          <w:p>
            <w:pPr>
              <w:spacing w:after="0"/>
              <w:rPr>
                <w:sz w:val="12"/>
                <w:szCs w:val="12"/>
                <w:color w:val="auto"/>
              </w:rPr>
            </w:pPr>
          </w:p>
        </w:tc>
        <w:tc>
          <w:tcPr>
            <w:tcW w:w="172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SEPTEMBER 30,</w:t>
            </w:r>
          </w:p>
        </w:tc>
      </w:tr>
      <w:tr>
        <w:trPr>
          <w:trHeight w:val="142"/>
        </w:trPr>
        <w:tc>
          <w:tcPr>
            <w:tcW w:w="3060" w:type="dxa"/>
            <w:vAlign w:val="bottom"/>
          </w:tcPr>
          <w:p>
            <w:pPr>
              <w:spacing w:after="0"/>
              <w:rPr>
                <w:sz w:val="12"/>
                <w:szCs w:val="12"/>
                <w:color w:val="auto"/>
              </w:rPr>
            </w:pPr>
          </w:p>
        </w:tc>
        <w:tc>
          <w:tcPr>
            <w:tcW w:w="17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2"/>
        </w:trPr>
        <w:tc>
          <w:tcPr>
            <w:tcW w:w="3060" w:type="dxa"/>
            <w:vAlign w:val="bottom"/>
          </w:tcPr>
          <w:p>
            <w:pPr>
              <w:spacing w:after="0"/>
              <w:rPr>
                <w:sz w:val="12"/>
                <w:szCs w:val="12"/>
                <w:color w:val="auto"/>
              </w:rPr>
            </w:pPr>
          </w:p>
        </w:tc>
        <w:tc>
          <w:tcPr>
            <w:tcW w:w="9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2006</w:t>
            </w:r>
          </w:p>
        </w:tc>
        <w:tc>
          <w:tcPr>
            <w:tcW w:w="7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2005</w:t>
            </w:r>
          </w:p>
        </w:tc>
      </w:tr>
      <w:tr>
        <w:trPr>
          <w:trHeight w:val="142"/>
        </w:trPr>
        <w:tc>
          <w:tcPr>
            <w:tcW w:w="3060" w:type="dxa"/>
            <w:vAlign w:val="bottom"/>
          </w:tcPr>
          <w:p>
            <w:pPr>
              <w:spacing w:after="0"/>
              <w:rPr>
                <w:sz w:val="12"/>
                <w:szCs w:val="12"/>
                <w:color w:val="auto"/>
              </w:rPr>
            </w:pP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83"/>
        </w:trPr>
        <w:tc>
          <w:tcPr>
            <w:tcW w:w="3060" w:type="dxa"/>
            <w:vAlign w:val="bottom"/>
          </w:tcPr>
          <w:p>
            <w:pPr>
              <w:spacing w:after="0"/>
              <w:rPr>
                <w:sz w:val="20"/>
                <w:szCs w:val="20"/>
                <w:color w:val="auto"/>
              </w:rPr>
            </w:pPr>
            <w:r>
              <w:rPr>
                <w:rFonts w:ascii="Courier New" w:cs="Courier New" w:eastAsia="Courier New" w:hAnsi="Courier New"/>
                <w:sz w:val="12"/>
                <w:szCs w:val="12"/>
                <w:color w:val="auto"/>
              </w:rPr>
              <w:t>STATEMENT OF OPERATIONS DATA:</w:t>
            </w: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42"/>
        </w:trPr>
        <w:tc>
          <w:tcPr>
            <w:tcW w:w="3060" w:type="dxa"/>
            <w:vAlign w:val="bottom"/>
          </w:tcPr>
          <w:p>
            <w:pPr>
              <w:spacing w:after="0"/>
              <w:rPr>
                <w:sz w:val="20"/>
                <w:szCs w:val="20"/>
                <w:color w:val="auto"/>
              </w:rPr>
            </w:pPr>
            <w:r>
              <w:rPr>
                <w:rFonts w:ascii="Courier New" w:cs="Courier New" w:eastAsia="Courier New" w:hAnsi="Courier New"/>
                <w:sz w:val="12"/>
                <w:szCs w:val="12"/>
                <w:color w:val="auto"/>
              </w:rPr>
              <w:t>Total revenues</w:t>
            </w:r>
          </w:p>
        </w:tc>
        <w:tc>
          <w:tcPr>
            <w:tcW w:w="94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100.0%</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100.0%</w:t>
            </w:r>
          </w:p>
        </w:tc>
      </w:tr>
      <w:tr>
        <w:trPr>
          <w:trHeight w:val="142"/>
        </w:trPr>
        <w:tc>
          <w:tcPr>
            <w:tcW w:w="3060" w:type="dxa"/>
            <w:vAlign w:val="bottom"/>
          </w:tcPr>
          <w:p>
            <w:pPr>
              <w:spacing w:after="0"/>
              <w:rPr>
                <w:sz w:val="20"/>
                <w:szCs w:val="20"/>
                <w:color w:val="auto"/>
              </w:rPr>
            </w:pPr>
            <w:r>
              <w:rPr>
                <w:rFonts w:ascii="Courier New" w:cs="Courier New" w:eastAsia="Courier New" w:hAnsi="Courier New"/>
                <w:sz w:val="12"/>
                <w:szCs w:val="12"/>
                <w:color w:val="auto"/>
              </w:rPr>
              <w:t>Cost of total revenues</w:t>
            </w: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147.5</w:t>
            </w:r>
          </w:p>
        </w:tc>
        <w:tc>
          <w:tcPr>
            <w:tcW w:w="7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253.2</w:t>
            </w:r>
          </w:p>
        </w:tc>
      </w:tr>
      <w:tr>
        <w:trPr>
          <w:trHeight w:val="142"/>
        </w:trPr>
        <w:tc>
          <w:tcPr>
            <w:tcW w:w="3060" w:type="dxa"/>
            <w:vAlign w:val="bottom"/>
          </w:tcPr>
          <w:p>
            <w:pPr>
              <w:spacing w:after="0"/>
              <w:rPr>
                <w:sz w:val="12"/>
                <w:szCs w:val="12"/>
                <w:color w:val="auto"/>
              </w:rPr>
            </w:pP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2"/>
        </w:trPr>
        <w:tc>
          <w:tcPr>
            <w:tcW w:w="3060" w:type="dxa"/>
            <w:vAlign w:val="bottom"/>
          </w:tcPr>
          <w:p>
            <w:pPr>
              <w:spacing w:after="0"/>
              <w:rPr>
                <w:sz w:val="20"/>
                <w:szCs w:val="20"/>
                <w:color w:val="auto"/>
              </w:rPr>
            </w:pPr>
            <w:r>
              <w:rPr>
                <w:rFonts w:ascii="Courier New" w:cs="Courier New" w:eastAsia="Courier New" w:hAnsi="Courier New"/>
                <w:sz w:val="12"/>
                <w:szCs w:val="12"/>
                <w:color w:val="auto"/>
              </w:rPr>
              <w:t>Gross loss</w:t>
            </w:r>
          </w:p>
        </w:tc>
        <w:tc>
          <w:tcPr>
            <w:tcW w:w="94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(47.5)</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(153.2)</w:t>
            </w:r>
          </w:p>
        </w:tc>
      </w:tr>
      <w:tr>
        <w:trPr>
          <w:trHeight w:val="142"/>
        </w:trPr>
        <w:tc>
          <w:tcPr>
            <w:tcW w:w="3060" w:type="dxa"/>
            <w:vAlign w:val="bottom"/>
          </w:tcPr>
          <w:p>
            <w:pPr>
              <w:spacing w:after="0"/>
              <w:rPr>
                <w:sz w:val="20"/>
                <w:szCs w:val="20"/>
                <w:color w:val="auto"/>
              </w:rPr>
            </w:pPr>
            <w:r>
              <w:rPr>
                <w:rFonts w:ascii="Courier New" w:cs="Courier New" w:eastAsia="Courier New" w:hAnsi="Courier New"/>
                <w:sz w:val="12"/>
                <w:szCs w:val="12"/>
                <w:color w:val="auto"/>
              </w:rPr>
              <w:t>Research and development expenses, net</w:t>
            </w: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8.4</w:t>
            </w:r>
          </w:p>
        </w:tc>
        <w:tc>
          <w:tcPr>
            <w:tcW w:w="7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18.1</w:t>
            </w:r>
          </w:p>
        </w:tc>
      </w:tr>
      <w:tr>
        <w:trPr>
          <w:trHeight w:val="142"/>
        </w:trPr>
        <w:tc>
          <w:tcPr>
            <w:tcW w:w="3060" w:type="dxa"/>
            <w:vAlign w:val="bottom"/>
          </w:tcPr>
          <w:p>
            <w:pPr>
              <w:spacing w:after="0"/>
              <w:rPr>
                <w:sz w:val="20"/>
                <w:szCs w:val="20"/>
                <w:color w:val="auto"/>
              </w:rPr>
            </w:pPr>
            <w:r>
              <w:rPr>
                <w:rFonts w:ascii="Courier New" w:cs="Courier New" w:eastAsia="Courier New" w:hAnsi="Courier New"/>
                <w:sz w:val="12"/>
                <w:szCs w:val="12"/>
                <w:color w:val="auto"/>
              </w:rPr>
              <w:t>Marketing, general and administrative</w:t>
            </w: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2"/>
        </w:trPr>
        <w:tc>
          <w:tcPr>
            <w:tcW w:w="3060" w:type="dxa"/>
            <w:vAlign w:val="bottom"/>
          </w:tcPr>
          <w:p>
            <w:pPr>
              <w:spacing w:after="0"/>
              <w:rPr>
                <w:sz w:val="20"/>
                <w:szCs w:val="20"/>
                <w:color w:val="auto"/>
              </w:rPr>
            </w:pPr>
            <w:r>
              <w:rPr>
                <w:rFonts w:ascii="Courier New" w:cs="Courier New" w:eastAsia="Courier New" w:hAnsi="Courier New"/>
                <w:sz w:val="12"/>
                <w:szCs w:val="12"/>
                <w:color w:val="auto"/>
              </w:rPr>
              <w:t>expenses</w:t>
            </w: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13.7</w:t>
            </w:r>
          </w:p>
        </w:tc>
        <w:tc>
          <w:tcPr>
            <w:tcW w:w="7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19.0</w:t>
            </w:r>
          </w:p>
        </w:tc>
      </w:tr>
      <w:tr>
        <w:trPr>
          <w:trHeight w:val="142"/>
        </w:trPr>
        <w:tc>
          <w:tcPr>
            <w:tcW w:w="3060" w:type="dxa"/>
            <w:vAlign w:val="bottom"/>
          </w:tcPr>
          <w:p>
            <w:pPr>
              <w:spacing w:after="0"/>
              <w:rPr>
                <w:sz w:val="12"/>
                <w:szCs w:val="12"/>
                <w:color w:val="auto"/>
              </w:rPr>
            </w:pP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2"/>
        </w:trPr>
        <w:tc>
          <w:tcPr>
            <w:tcW w:w="3060" w:type="dxa"/>
            <w:vAlign w:val="bottom"/>
          </w:tcPr>
          <w:p>
            <w:pPr>
              <w:spacing w:after="0"/>
              <w:rPr>
                <w:sz w:val="20"/>
                <w:szCs w:val="20"/>
                <w:color w:val="auto"/>
              </w:rPr>
            </w:pPr>
            <w:r>
              <w:rPr>
                <w:rFonts w:ascii="Courier New" w:cs="Courier New" w:eastAsia="Courier New" w:hAnsi="Courier New"/>
                <w:sz w:val="12"/>
                <w:szCs w:val="12"/>
                <w:color w:val="auto"/>
              </w:rPr>
              <w:t>Operating loss</w:t>
            </w:r>
          </w:p>
        </w:tc>
        <w:tc>
          <w:tcPr>
            <w:tcW w:w="94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(69.7)</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(190.3)</w:t>
            </w:r>
          </w:p>
        </w:tc>
      </w:tr>
      <w:tr>
        <w:trPr>
          <w:trHeight w:val="142"/>
        </w:trPr>
        <w:tc>
          <w:tcPr>
            <w:tcW w:w="306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94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(28.8)</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(35.8)</w:t>
            </w:r>
          </w:p>
        </w:tc>
      </w:tr>
      <w:tr>
        <w:trPr>
          <w:trHeight w:val="142"/>
        </w:trPr>
        <w:tc>
          <w:tcPr>
            <w:tcW w:w="3060" w:type="dxa"/>
            <w:vAlign w:val="bottom"/>
          </w:tcPr>
          <w:p>
            <w:pPr>
              <w:spacing w:after="0"/>
              <w:rPr>
                <w:sz w:val="20"/>
                <w:szCs w:val="20"/>
                <w:color w:val="auto"/>
              </w:rPr>
            </w:pPr>
            <w:r>
              <w:rPr>
                <w:rFonts w:ascii="Courier New" w:cs="Courier New" w:eastAsia="Courier New" w:hAnsi="Courier New"/>
                <w:sz w:val="12"/>
                <w:szCs w:val="12"/>
                <w:color w:val="auto"/>
              </w:rPr>
              <w:t>Gain on debt restructuring</w:t>
            </w: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60.7</w:t>
            </w:r>
          </w:p>
        </w:tc>
        <w:tc>
          <w:tcPr>
            <w:tcW w:w="7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2"/>
        </w:trPr>
        <w:tc>
          <w:tcPr>
            <w:tcW w:w="3060" w:type="dxa"/>
            <w:vAlign w:val="bottom"/>
          </w:tcPr>
          <w:p>
            <w:pPr>
              <w:spacing w:after="0"/>
              <w:rPr>
                <w:sz w:val="12"/>
                <w:szCs w:val="12"/>
                <w:color w:val="auto"/>
              </w:rPr>
            </w:pP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2"/>
        </w:trPr>
        <w:tc>
          <w:tcPr>
            <w:tcW w:w="3060" w:type="dxa"/>
            <w:vAlign w:val="bottom"/>
          </w:tcPr>
          <w:p>
            <w:pPr>
              <w:spacing w:after="0"/>
              <w:rPr>
                <w:sz w:val="20"/>
                <w:szCs w:val="20"/>
                <w:color w:val="auto"/>
              </w:rPr>
            </w:pPr>
            <w:r>
              <w:rPr>
                <w:rFonts w:ascii="Courier New" w:cs="Courier New" w:eastAsia="Courier New" w:hAnsi="Courier New"/>
                <w:sz w:val="12"/>
                <w:szCs w:val="12"/>
                <w:color w:val="auto"/>
              </w:rPr>
              <w:t>Other income, net</w:t>
            </w: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0.5</w:t>
            </w:r>
          </w:p>
        </w:tc>
        <w:tc>
          <w:tcPr>
            <w:tcW w:w="7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3.5</w:t>
            </w:r>
          </w:p>
        </w:tc>
      </w:tr>
      <w:tr>
        <w:trPr>
          <w:trHeight w:val="142"/>
        </w:trPr>
        <w:tc>
          <w:tcPr>
            <w:tcW w:w="3060" w:type="dxa"/>
            <w:vAlign w:val="bottom"/>
          </w:tcPr>
          <w:p>
            <w:pPr>
              <w:spacing w:after="0"/>
              <w:rPr>
                <w:sz w:val="12"/>
                <w:szCs w:val="12"/>
                <w:color w:val="auto"/>
              </w:rPr>
            </w:pP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2"/>
        </w:trPr>
        <w:tc>
          <w:tcPr>
            <w:tcW w:w="3060" w:type="dxa"/>
            <w:vAlign w:val="bottom"/>
          </w:tcPr>
          <w:p>
            <w:pPr>
              <w:spacing w:after="0"/>
              <w:rPr>
                <w:sz w:val="20"/>
                <w:szCs w:val="20"/>
                <w:color w:val="auto"/>
              </w:rPr>
            </w:pPr>
            <w:r>
              <w:rPr>
                <w:rFonts w:ascii="Courier New" w:cs="Courier New" w:eastAsia="Courier New" w:hAnsi="Courier New"/>
                <w:sz w:val="12"/>
                <w:szCs w:val="12"/>
                <w:color w:val="auto"/>
              </w:rPr>
              <w:t>Loss</w:t>
            </w:r>
          </w:p>
        </w:tc>
        <w:tc>
          <w:tcPr>
            <w:tcW w:w="94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(37.3)</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(222.6)</w:t>
            </w:r>
          </w:p>
        </w:tc>
      </w:tr>
      <w:tr>
        <w:trPr>
          <w:trHeight w:val="142"/>
        </w:trPr>
        <w:tc>
          <w:tcPr>
            <w:tcW w:w="3060" w:type="dxa"/>
            <w:vAlign w:val="bottom"/>
          </w:tcPr>
          <w:p>
            <w:pPr>
              <w:spacing w:after="0"/>
              <w:rPr>
                <w:sz w:val="12"/>
                <w:szCs w:val="12"/>
                <w:color w:val="auto"/>
              </w:rPr>
            </w:pP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bl>
    <w:p>
      <w:pPr>
        <w:spacing w:after="0" w:line="145" w:lineRule="exact"/>
        <w:rPr>
          <w:sz w:val="20"/>
          <w:szCs w:val="20"/>
          <w:color w:val="auto"/>
        </w:rPr>
      </w:pPr>
    </w:p>
    <w:p>
      <w:pPr>
        <w:ind w:right="4359"/>
        <w:spacing w:after="0" w:line="253" w:lineRule="auto"/>
        <w:rPr>
          <w:sz w:val="20"/>
          <w:szCs w:val="20"/>
          <w:color w:val="auto"/>
        </w:rPr>
      </w:pPr>
      <w:r>
        <w:rPr>
          <w:rFonts w:ascii="Courier New" w:cs="Courier New" w:eastAsia="Courier New" w:hAnsi="Courier New"/>
          <w:sz w:val="12"/>
          <w:szCs w:val="12"/>
          <w:color w:val="auto"/>
        </w:rPr>
        <w:t>NINE MONTHS ENDED SEPTEMBER 30, 2006 COMPARED TO NINE MONTHS ENDED SEPTEMBER 30, 2005</w:t>
      </w:r>
    </w:p>
    <w:p>
      <w:pPr>
        <w:spacing w:after="0" w:line="138" w:lineRule="exact"/>
        <w:rPr>
          <w:sz w:val="20"/>
          <w:szCs w:val="20"/>
          <w:color w:val="auto"/>
        </w:rPr>
      </w:pPr>
    </w:p>
    <w:p>
      <w:pPr>
        <w:ind w:right="4419" w:firstLine="368"/>
        <w:spacing w:after="0" w:line="250" w:lineRule="auto"/>
        <w:rPr>
          <w:sz w:val="20"/>
          <w:szCs w:val="20"/>
          <w:color w:val="auto"/>
        </w:rPr>
      </w:pPr>
      <w:r>
        <w:rPr>
          <w:rFonts w:ascii="Courier New" w:cs="Courier New" w:eastAsia="Courier New" w:hAnsi="Courier New"/>
          <w:sz w:val="12"/>
          <w:szCs w:val="12"/>
          <w:color w:val="auto"/>
        </w:rPr>
        <w:t>REVENUES. Revenues for the nine months ended September 30, 2006 increased by 86.0% to $131.9 million from $70.9 million for the nine months ended September 30, 2005. This $61.0 million increase was mainly attributable to an increase in our customer base, higher volume of wafer shipments, offset by $8 million recorded for the nine months ended September 30, 2005 from a previously announced technology-related agreement.</w:t>
      </w:r>
    </w:p>
    <w:p>
      <w:pPr>
        <w:spacing w:after="0" w:line="141" w:lineRule="exact"/>
        <w:rPr>
          <w:sz w:val="20"/>
          <w:szCs w:val="20"/>
          <w:color w:val="auto"/>
        </w:rPr>
      </w:pPr>
    </w:p>
    <w:p>
      <w:pPr>
        <w:ind w:right="4359" w:firstLine="368"/>
        <w:spacing w:after="0" w:line="250" w:lineRule="auto"/>
        <w:rPr>
          <w:sz w:val="20"/>
          <w:szCs w:val="20"/>
          <w:color w:val="auto"/>
        </w:rPr>
      </w:pPr>
      <w:r>
        <w:rPr>
          <w:rFonts w:ascii="Courier New" w:cs="Courier New" w:eastAsia="Courier New" w:hAnsi="Courier New"/>
          <w:sz w:val="12"/>
          <w:szCs w:val="12"/>
          <w:color w:val="auto"/>
        </w:rPr>
        <w:t>COST OF TOTAL REVENUES. Cost of total revenues for the nine months ended September 30, 2006 amounted to $194.7 million, compared with $179.6 million for the nine months ended September 30, 2005. This 8.4% modest increase in cost of revenues, despite the 86.0% increase in sales, was achieved mainly due to previously announced cost reductions and efficiency measures taken by the Company and the Company's cost structure according to which the Company has high net margins for each marginal additional sum of revenue.</w:t>
      </w:r>
    </w:p>
    <w:p>
      <w:pPr>
        <w:spacing w:after="0" w:line="141" w:lineRule="exact"/>
        <w:rPr>
          <w:sz w:val="20"/>
          <w:szCs w:val="20"/>
          <w:color w:val="auto"/>
        </w:rPr>
      </w:pPr>
    </w:p>
    <w:p>
      <w:pPr>
        <w:ind w:right="4359" w:firstLine="368"/>
        <w:spacing w:after="0" w:line="250" w:lineRule="auto"/>
        <w:rPr>
          <w:sz w:val="20"/>
          <w:szCs w:val="20"/>
          <w:color w:val="auto"/>
        </w:rPr>
      </w:pPr>
      <w:r>
        <w:rPr>
          <w:rFonts w:ascii="Courier New" w:cs="Courier New" w:eastAsia="Courier New" w:hAnsi="Courier New"/>
          <w:sz w:val="12"/>
          <w:szCs w:val="12"/>
          <w:color w:val="auto"/>
        </w:rPr>
        <w:t>GROSS LOSS. Gross loss for the nine months ended September 30, 2006 was $62.7 million compared to a gross loss of $108.7 million for the nine months ended September 30, 2005. The decrease in gross loss was mainly attributable to the increase in revenues and previously announced cost reductions and efficiency measures taken by the Company and the Company's cost structure according to which the Company has high net margins for each marginal additional sum of revenue.</w:t>
      </w:r>
    </w:p>
    <w:p>
      <w:pPr>
        <w:spacing w:after="0" w:line="283" w:lineRule="exact"/>
        <w:rPr>
          <w:sz w:val="20"/>
          <w:szCs w:val="20"/>
          <w:color w:val="auto"/>
        </w:rPr>
      </w:pPr>
    </w:p>
    <w:p>
      <w:pPr>
        <w:ind w:right="4579" w:firstLine="368"/>
        <w:spacing w:after="0" w:line="250" w:lineRule="auto"/>
        <w:rPr>
          <w:sz w:val="20"/>
          <w:szCs w:val="20"/>
          <w:color w:val="auto"/>
        </w:rPr>
      </w:pPr>
      <w:r>
        <w:rPr>
          <w:rFonts w:ascii="Courier New" w:cs="Courier New" w:eastAsia="Courier New" w:hAnsi="Courier New"/>
          <w:sz w:val="12"/>
          <w:szCs w:val="12"/>
          <w:color w:val="auto"/>
        </w:rPr>
        <w:t>RESEARCH AND DEVELOPMENT. Research and development expenses for the nine months ended September 30, 2006 decreased to $11.1 million from $12.8 million for the nine months ended September 30, 2005. The decrease was mainly attributable to previously announced cost reductions and efficiency measures taken by the Company. Research and development expenses are reflected net of participation grants received from the Israeli government.</w:t>
      </w:r>
    </w:p>
    <w:p>
      <w:pPr>
        <w:spacing w:after="0" w:line="141" w:lineRule="exact"/>
        <w:rPr>
          <w:sz w:val="20"/>
          <w:szCs w:val="20"/>
          <w:color w:val="auto"/>
        </w:rPr>
      </w:pPr>
    </w:p>
    <w:p>
      <w:pPr>
        <w:ind w:right="4359" w:firstLine="368"/>
        <w:spacing w:after="0" w:line="251" w:lineRule="auto"/>
        <w:rPr>
          <w:sz w:val="20"/>
          <w:szCs w:val="20"/>
          <w:color w:val="auto"/>
        </w:rPr>
      </w:pPr>
      <w:r>
        <w:rPr>
          <w:rFonts w:ascii="Courier New" w:cs="Courier New" w:eastAsia="Courier New" w:hAnsi="Courier New"/>
          <w:sz w:val="12"/>
          <w:szCs w:val="12"/>
          <w:color w:val="auto"/>
        </w:rPr>
        <w:t>MARKETING, GENERAL AND ADMINISTRATIVE EXPENSES. Marketing, general and administrative expenses for the nine months ended September 30, 2006 increased to $18.1 million from $13.5 million for the nine months ended September 30, 2005, primarily due to employees and directors options costs under accounting GAAP and increased sales commissions attributed to the higher revenues mentioned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359" w:firstLine="368"/>
        <w:spacing w:after="0" w:line="250" w:lineRule="auto"/>
        <w:rPr>
          <w:sz w:val="20"/>
          <w:szCs w:val="20"/>
          <w:color w:val="auto"/>
        </w:rPr>
      </w:pPr>
      <w:r>
        <w:rPr>
          <w:rFonts w:ascii="Courier New" w:cs="Courier New" w:eastAsia="Courier New" w:hAnsi="Courier New"/>
          <w:sz w:val="12"/>
          <w:szCs w:val="12"/>
          <w:color w:val="auto"/>
        </w:rPr>
        <w:t>OPERATING LOSS. Operating loss for the nine months ended September 30, 2006 was $91.9 million, compared to $135.0 million for the nine months ended September 30, 2005. The decrease in the operating loss is attributable mainly to the decrease in the gross loss described above and the Company's cost structure according to which the Company has high net margins for each marginal additional sum of revenue.</w:t>
      </w:r>
    </w:p>
    <w:p>
      <w:pPr>
        <w:spacing w:after="0" w:line="141" w:lineRule="exact"/>
        <w:rPr>
          <w:sz w:val="20"/>
          <w:szCs w:val="20"/>
          <w:color w:val="auto"/>
        </w:rPr>
      </w:pPr>
    </w:p>
    <w:p>
      <w:pPr>
        <w:ind w:right="4359" w:firstLine="368"/>
        <w:spacing w:after="0" w:line="250" w:lineRule="auto"/>
        <w:rPr>
          <w:sz w:val="20"/>
          <w:szCs w:val="20"/>
          <w:color w:val="auto"/>
        </w:rPr>
      </w:pPr>
      <w:r>
        <w:rPr>
          <w:rFonts w:ascii="Courier New" w:cs="Courier New" w:eastAsia="Courier New" w:hAnsi="Courier New"/>
          <w:sz w:val="12"/>
          <w:szCs w:val="12"/>
          <w:color w:val="auto"/>
        </w:rPr>
        <w:t>FINANCING EXPENSES, NET. Financing expenses, net for the nine months ended September 30, 2006 were $38.0 million compared to financing expenses, net of $25.4 million for the nine months ended September 30, 2005. This increase is mainly due to an increase of $6.0 million in connection with our Fab 2 credit facility agreement with our banks attributable mainly to an increase in the LIBOR rate (to which our loans with our banks are linked) from an average of approximately 3% per annum for the nine months ended September 30, 2005 to an average of approximately 5% per annum for the nine months ended September 30, 2006 and due to the issuance of new series of convertible debentures (in December 2005 and June 2006) due to which we incurred an increase of $3.7 million in the discount amortization and interest attributed to the 3 series of convertible debentures. Such amount increased from an amount of $1.3 million for the nine month ended September 30, 2005 to an amount of $5 million for the nine month ended September 30, 2006.</w:t>
      </w:r>
    </w:p>
    <w:p>
      <w:pPr>
        <w:sectPr>
          <w:pgSz w:w="11900" w:h="16838" w:orient="portrait"/>
          <w:cols w:equalWidth="0" w:num="1">
            <w:col w:w="10239"/>
          </w:cols>
          <w:pgMar w:left="220" w:top="283" w:right="1440" w:bottom="0" w:gutter="0" w:footer="0" w:header="0"/>
        </w:sectPr>
      </w:pPr>
    </w:p>
    <w:bookmarkStart w:id="20" w:name="page21"/>
    <w:bookmarkEnd w:id="20"/>
    <w:p>
      <w:pPr>
        <w:ind w:left="4" w:right="4359" w:firstLine="368"/>
        <w:spacing w:after="0" w:line="251" w:lineRule="auto"/>
        <w:rPr>
          <w:sz w:val="20"/>
          <w:szCs w:val="20"/>
          <w:color w:val="auto"/>
        </w:rPr>
      </w:pPr>
      <w:r>
        <w:rPr>
          <w:rFonts w:ascii="Courier New" w:cs="Courier New" w:eastAsia="Courier New" w:hAnsi="Courier New"/>
          <w:sz w:val="12"/>
          <w:szCs w:val="12"/>
          <w:color w:val="auto"/>
        </w:rPr>
        <w:t>GAIN ON DEBT RESTRUCTURING. Gain on debt restructuring for the nine months ended September 30, 2006 was $80.1 million. This one-time gain is resulting from the closing of the bank restructuring deal, which occurred during the third quarter of 2006.</w:t>
      </w:r>
    </w:p>
    <w:p>
      <w:pPr>
        <w:spacing w:after="0" w:line="139" w:lineRule="exact"/>
        <w:rPr>
          <w:sz w:val="20"/>
          <w:szCs w:val="20"/>
          <w:color w:val="auto"/>
        </w:rPr>
      </w:pPr>
    </w:p>
    <w:p>
      <w:pPr>
        <w:ind w:left="4" w:right="4499" w:firstLine="368"/>
        <w:spacing w:after="0" w:line="251" w:lineRule="auto"/>
        <w:rPr>
          <w:sz w:val="20"/>
          <w:szCs w:val="20"/>
          <w:color w:val="auto"/>
        </w:rPr>
      </w:pPr>
      <w:r>
        <w:rPr>
          <w:rFonts w:ascii="Courier New" w:cs="Courier New" w:eastAsia="Courier New" w:hAnsi="Courier New"/>
          <w:sz w:val="12"/>
          <w:szCs w:val="12"/>
          <w:color w:val="auto"/>
        </w:rPr>
        <w:t>OTHER INCOME, NET. Other income, net, for the nine months ended September 30, 2006 was $0.6 million compared to $2.5 million for the nine months ended September 30, 2005, mainly due to a lower capital gain, net, from sale and disposal of equipment.</w:t>
      </w:r>
    </w:p>
    <w:p>
      <w:pPr>
        <w:spacing w:after="0" w:line="139"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LOSS. Our loss for the nine months ended September 30, 2006 was $49.2 million, compared to $157.9 million for the nine months ended September 30, 2005. This decrease is primarily attributable to the $80.1 million gain on debt restructuring, a decrease in the operating loss of $43.1 million described above offset by the increase in financing expenses of $12.6 million described above.</w:t>
      </w:r>
    </w:p>
    <w:p>
      <w:pPr>
        <w:spacing w:after="0" w:line="141"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IMPACT OF INFLATION AND CURRENCY FLUCTUATIONS</w:t>
      </w:r>
    </w:p>
    <w:p>
      <w:pPr>
        <w:spacing w:after="0" w:line="147" w:lineRule="exact"/>
        <w:rPr>
          <w:sz w:val="20"/>
          <w:szCs w:val="20"/>
          <w:color w:val="auto"/>
        </w:rPr>
      </w:pPr>
    </w:p>
    <w:p>
      <w:pPr>
        <w:ind w:left="4" w:right="4419" w:firstLine="368"/>
        <w:spacing w:after="0" w:line="250" w:lineRule="auto"/>
        <w:rPr>
          <w:sz w:val="20"/>
          <w:szCs w:val="20"/>
          <w:color w:val="auto"/>
        </w:rPr>
      </w:pPr>
      <w:r>
        <w:rPr>
          <w:rFonts w:ascii="Courier New" w:cs="Courier New" w:eastAsia="Courier New" w:hAnsi="Courier New"/>
          <w:sz w:val="12"/>
          <w:szCs w:val="12"/>
          <w:color w:val="auto"/>
        </w:rPr>
        <w:t>The dollar cost of our operations in Israel is influenced by the timing of any change in the rate of inflation in Israel and the extent to which such change is not offset by the change in valuation of the NIS in relation to the dollar. During the nine months ended September 30, 2006, the exchange rate of the dollar in relation to the NIS decreased by 6.5%, and the Israeli Consumer Price Index, or CPI, increased by 0.8% (during the nine months ended September 30, 2005 there was an increase of 6.7% in the exchange rate of the dollar in relation to the NIS and a increase of 1.9% in the CPI).</w:t>
      </w:r>
    </w:p>
    <w:p>
      <w:pPr>
        <w:spacing w:after="0" w:line="141"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We believe that the rate of inflation in Israel has not had a material effect on our business to date. However, our dollar costs will increase if inflation in Israel exceeds the devaluation of the NIS against the dollar, or if the timing of such devaluation lags behind inflation in Israel.</w:t>
      </w:r>
    </w:p>
    <w:p>
      <w:pPr>
        <w:spacing w:after="0" w:line="139"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Almost all of the cash generated from our operations and from our financing and investing activities is denominated in U.S. dollars and NIS. Our expenses and costs are denominated in NIS, U.S. dollars, Japanese Yen and Euros. We are, therefore, exposed to the risk of currency exchange rate fluctuations.</w:t>
      </w:r>
    </w:p>
    <w:p>
      <w:pPr>
        <w:spacing w:after="0" w:line="139"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LIQUIDITY AND CAPITAL RESOURCES</w:t>
      </w:r>
    </w:p>
    <w:p>
      <w:pPr>
        <w:spacing w:after="0" w:line="147"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As of September 30, 2006, we had an aggregate of $61.7 million in cash. This compares to $29.7 million we had as of September 30, 2005 in cash, cash equivalents, and short-term interest-bearing deposits, of which $8.0 million was contractually restricted for Fab 2 use only and $10.0 million was contractually restricted for exclusive use in the Siliconix project.</w:t>
      </w:r>
    </w:p>
    <w:p>
      <w:pPr>
        <w:spacing w:after="0" w:line="141"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During the nine months ended September 30, 2006, we received $15.4 million from long term loans, $100.0 million on account of share capital, $58.8 million in proceeds from the issuance of convertible debentures, net, $0.5 million proceeds from exercise of warrants, $4.5 million from Investment Center grants and $0.6 million in proceeds from the sale and disposal of property and equipment. These liquidity resources partially financed our operating activities (net amount of $47.5 million) and our investments made during the nine months ended September 30, 2006, which aggregated to $103.1 million, mainly in connection with the construction, purchase and installation of equipment and other assets for Fab 2 and our repayment of convertible debentures in the amount of $6.5 million.</w:t>
      </w:r>
    </w:p>
    <w:p>
      <w:pPr>
        <w:spacing w:after="0" w:line="141" w:lineRule="exact"/>
        <w:rPr>
          <w:sz w:val="20"/>
          <w:szCs w:val="20"/>
          <w:color w:val="auto"/>
        </w:rPr>
      </w:pPr>
    </w:p>
    <w:p>
      <w:pPr>
        <w:ind w:left="4" w:right="4359"/>
        <w:spacing w:after="0" w:line="249" w:lineRule="auto"/>
        <w:rPr>
          <w:sz w:val="20"/>
          <w:szCs w:val="20"/>
          <w:color w:val="auto"/>
        </w:rPr>
      </w:pPr>
      <w:r>
        <w:rPr>
          <w:rFonts w:ascii="Courier New" w:cs="Courier New" w:eastAsia="Courier New" w:hAnsi="Courier New"/>
          <w:sz w:val="12"/>
          <w:szCs w:val="12"/>
          <w:color w:val="auto"/>
        </w:rPr>
        <w:t>As of September 30, 2006, we had long-term loans, at present value, in the amount of $355.1 million we obtained in connection with the establishment of Fab</w:t>
      </w:r>
    </w:p>
    <w:p>
      <w:pPr>
        <w:spacing w:after="0" w:line="1" w:lineRule="exact"/>
        <w:rPr>
          <w:sz w:val="20"/>
          <w:szCs w:val="20"/>
          <w:color w:val="auto"/>
        </w:rPr>
      </w:pPr>
    </w:p>
    <w:p>
      <w:pPr>
        <w:ind w:left="4" w:right="4359" w:hanging="4"/>
        <w:spacing w:after="0" w:line="251" w:lineRule="auto"/>
        <w:tabs>
          <w:tab w:leader="none" w:pos="225"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of such date, we had total convertible debentures with par value of $100.4 million, of which $6.5 million are presented as current maturities and $21.1 million of the proceeds were allocated and are presented as equity component of the convertible debentures as part of the shareholders' equity.</w:t>
      </w:r>
    </w:p>
    <w:p>
      <w:pPr>
        <w:sectPr>
          <w:pgSz w:w="11900" w:h="16838" w:orient="portrait"/>
          <w:cols w:equalWidth="0" w:num="1">
            <w:col w:w="10244"/>
          </w:cols>
          <w:pgMar w:left="216" w:top="141" w:right="1440" w:bottom="1440" w:gutter="0" w:footer="0" w:header="0"/>
        </w:sectPr>
      </w:pPr>
    </w:p>
    <w:bookmarkStart w:id="21" w:name="page22"/>
    <w:bookmarkEnd w:id="21"/>
    <w:p>
      <w:pPr>
        <w:spacing w:after="0" w:line="43"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2"/>
          <w:szCs w:val="12"/>
          <w:color w:val="auto"/>
        </w:rPr>
        <w:t>EXHIBIT 99.3</w:t>
      </w:r>
    </w:p>
    <w:p>
      <w:pPr>
        <w:spacing w:after="0" w:line="147" w:lineRule="exact"/>
        <w:rPr>
          <w:sz w:val="20"/>
          <w:szCs w:val="20"/>
          <w:color w:val="auto"/>
        </w:rPr>
      </w:pPr>
    </w:p>
    <w:p>
      <w:pPr>
        <w:jc w:val="center"/>
        <w:ind w:right="4295"/>
        <w:spacing w:after="0"/>
        <w:rPr>
          <w:sz w:val="20"/>
          <w:szCs w:val="20"/>
          <w:color w:val="auto"/>
        </w:rPr>
      </w:pPr>
      <w:r>
        <w:rPr>
          <w:rFonts w:ascii="Courier New" w:cs="Courier New" w:eastAsia="Courier New" w:hAnsi="Courier New"/>
          <w:sz w:val="12"/>
          <w:szCs w:val="12"/>
          <w:color w:val="auto"/>
        </w:rPr>
        <w:t>SECURITIES PURCHASE AGREEMENT</w:t>
      </w:r>
    </w:p>
    <w:p>
      <w:pPr>
        <w:spacing w:after="0" w:line="147" w:lineRule="exact"/>
        <w:rPr>
          <w:sz w:val="20"/>
          <w:szCs w:val="20"/>
          <w:color w:val="auto"/>
        </w:rPr>
      </w:pPr>
    </w:p>
    <w:p>
      <w:pPr>
        <w:ind w:left="4" w:right="4499" w:firstLine="368"/>
        <w:spacing w:after="0" w:line="250" w:lineRule="auto"/>
        <w:rPr>
          <w:sz w:val="20"/>
          <w:szCs w:val="20"/>
          <w:color w:val="auto"/>
        </w:rPr>
      </w:pPr>
      <w:r>
        <w:rPr>
          <w:rFonts w:ascii="Courier New" w:cs="Courier New" w:eastAsia="Courier New" w:hAnsi="Courier New"/>
          <w:sz w:val="12"/>
          <w:szCs w:val="12"/>
          <w:color w:val="auto"/>
        </w:rPr>
        <w:t>This Securities Purchase Agreement (the "AGREEMENT") is made and entered into effective as of August 24, 2006 by and between TOWER SEMICONDUCTOR LTD. (the "COMPANY" or "TOWER"), a company organized under the laws of the State of Israel and ISRAEL CORPORATION LTD., a company organized under the laws of the State of Israel (the "PURCHASER").</w:t>
      </w:r>
    </w:p>
    <w:p>
      <w:pPr>
        <w:spacing w:after="0" w:line="141" w:lineRule="exact"/>
        <w:rPr>
          <w:sz w:val="20"/>
          <w:szCs w:val="20"/>
          <w:color w:val="auto"/>
        </w:rPr>
      </w:pPr>
    </w:p>
    <w:p>
      <w:pPr>
        <w:ind w:left="4" w:right="4419" w:firstLine="368"/>
        <w:spacing w:after="0" w:line="251" w:lineRule="auto"/>
        <w:rPr>
          <w:sz w:val="20"/>
          <w:szCs w:val="20"/>
          <w:color w:val="auto"/>
        </w:rPr>
      </w:pPr>
      <w:r>
        <w:rPr>
          <w:rFonts w:ascii="Courier New" w:cs="Courier New" w:eastAsia="Courier New" w:hAnsi="Courier New"/>
          <w:sz w:val="12"/>
          <w:szCs w:val="12"/>
          <w:color w:val="auto"/>
        </w:rPr>
        <w:t>WHEREAS, Tower is an independent manufacturer of wafers whose Ordinary Shares are traded on the Nasdaq National Market under the symbol TSEM and whose Ordinary Shares and certain other securities are traded on the Tel-Aviv Stock Exchange ("TASE") under the symbol TOWER;</w:t>
      </w:r>
    </w:p>
    <w:p>
      <w:pPr>
        <w:spacing w:after="0" w:line="139" w:lineRule="exact"/>
        <w:rPr>
          <w:sz w:val="20"/>
          <w:szCs w:val="20"/>
          <w:color w:val="auto"/>
        </w:rPr>
      </w:pPr>
    </w:p>
    <w:p>
      <w:pPr>
        <w:ind w:left="4" w:right="4419" w:firstLine="368"/>
        <w:spacing w:after="0" w:line="250" w:lineRule="auto"/>
        <w:rPr>
          <w:sz w:val="20"/>
          <w:szCs w:val="20"/>
          <w:color w:val="auto"/>
        </w:rPr>
      </w:pPr>
      <w:r>
        <w:rPr>
          <w:rFonts w:ascii="Courier New" w:cs="Courier New" w:eastAsia="Courier New" w:hAnsi="Courier New"/>
          <w:sz w:val="12"/>
          <w:szCs w:val="12"/>
          <w:color w:val="auto"/>
        </w:rPr>
        <w:t>WHEREAS, pursuant to a letter of undertaking executed by the Purchaser dated May 17, 2006 (the "LETTER OF UNDERTAKING") to Bank Hapoalim B.M. and Bank Leumi Le-Israel B.M. (collectively the "BANKS"), the Purchaser has committed to the Banks, subject to certain conditions as provided in the Letter of Undertaking, to invest in the Company a sum of one hundred (100) million US Dollars as set forth in this Agreement (the "INVESTMENT");</w:t>
      </w:r>
    </w:p>
    <w:p>
      <w:pPr>
        <w:spacing w:after="0" w:line="141"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WHEREAS, pursuant to the Letter of Undertaking, the Purchaser acknowledged and agreed that the Investment in Tower is a condition precedent to the closing of an amendment of the Facility Agreement between the Banks and Tower dated January 18, 2001, as contemplated by the Memorandum of Understanding between the Banks and Tower, dated May 17, 2006 (the "AMENDMENT"); and</w:t>
      </w:r>
    </w:p>
    <w:p>
      <w:pPr>
        <w:spacing w:after="0" w:line="141" w:lineRule="exact"/>
        <w:rPr>
          <w:sz w:val="20"/>
          <w:szCs w:val="20"/>
          <w:color w:val="auto"/>
        </w:rPr>
      </w:pPr>
    </w:p>
    <w:p>
      <w:pPr>
        <w:ind w:left="4" w:right="4419" w:firstLine="368"/>
        <w:spacing w:after="0" w:line="251" w:lineRule="auto"/>
        <w:rPr>
          <w:sz w:val="20"/>
          <w:szCs w:val="20"/>
          <w:color w:val="auto"/>
        </w:rPr>
      </w:pPr>
      <w:r>
        <w:rPr>
          <w:rFonts w:ascii="Courier New" w:cs="Courier New" w:eastAsia="Courier New" w:hAnsi="Courier New"/>
          <w:sz w:val="12"/>
          <w:szCs w:val="12"/>
          <w:color w:val="auto"/>
        </w:rPr>
        <w:t>WHEREAS, the parties hereto agree that all amounts paid by the Purchaser under the Equipment Purchase Agreement between the Company and the Purchaser, dated May 17, 2006 (the "EQUIPMENT PURCHASE AGREEMENT") shall be deemed to have been invested in the Company as part of the Investment;</w:t>
      </w:r>
    </w:p>
    <w:p>
      <w:pPr>
        <w:spacing w:after="0" w:line="139" w:lineRule="exact"/>
        <w:rPr>
          <w:sz w:val="20"/>
          <w:szCs w:val="20"/>
          <w:color w:val="auto"/>
        </w:rPr>
      </w:pPr>
    </w:p>
    <w:p>
      <w:pPr>
        <w:ind w:left="4" w:right="4499" w:firstLine="368"/>
        <w:spacing w:after="0" w:line="251" w:lineRule="auto"/>
        <w:rPr>
          <w:sz w:val="20"/>
          <w:szCs w:val="20"/>
          <w:color w:val="auto"/>
        </w:rPr>
      </w:pPr>
      <w:r>
        <w:rPr>
          <w:rFonts w:ascii="Courier New" w:cs="Courier New" w:eastAsia="Courier New" w:hAnsi="Courier New"/>
          <w:sz w:val="12"/>
          <w:szCs w:val="12"/>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140" w:lineRule="exact"/>
        <w:rPr>
          <w:sz w:val="20"/>
          <w:szCs w:val="20"/>
          <w:color w:val="auto"/>
        </w:rPr>
      </w:pPr>
    </w:p>
    <w:p>
      <w:pPr>
        <w:ind w:left="364" w:hanging="364"/>
        <w:spacing w:after="0"/>
        <w:tabs>
          <w:tab w:leader="none" w:pos="364"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ISSUE AND SALE OF SECURITIES BY THE COMPANY.</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1.1 SECURITIES. Subject to and in accordance with the terms and conditions</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of this Agreement, the Company shall issue to the Purchaser, and the Purchaser</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shall purchase from the Company for an aggregate purchase price of US</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$100,000,000 (one hundred million US dollars) (the "NOTE PURCHASE PRICE") an</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equity convertible capital note, which capital note is convertible into</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65,789,474 (sixty-five million, seven hundred and eighty-nine thousand, four</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hundred and seventy-four) shares (subject to adjustments to changes in capital</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structure, stock splits, etc.), such capital note being fully convertible, at</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any time, in whole or in part and freely transferable, at any time, in whole or</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in part (for the removal of doubt, in form and substance satisfactory to the</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Purchaser and with rights which are at least as good as those provided to the</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Banks) (the "CAPITAL NOTE"). For the avoidance of doubt, the Capital Note</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issuable hereunder shall not entitle TIC to interest, dividends, early</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redemption rights (for the removal of doubt, no conversion of capital notes by</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TIC into shares shall be deemed a redemption or pre-payment of the capital</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note), anti-dilution rights, or any adjustments due to changes to interest</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rates, the market price of the Company's shares or indexation of any kind, but</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shall entitle TIC, as a capital note holder, to participate in rights offerings</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and shall be subject to certain adjustments, including share splits,</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combinations and other adjustments all as agreed to with the Purchaser prior to</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Closing and with rights which are at least as good as those provided to the</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Banks.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4" w:hanging="364"/>
        <w:spacing w:after="0"/>
        <w:tabs>
          <w:tab w:leader="none" w:pos="364" w:val="left"/>
        </w:tabs>
        <w:numPr>
          <w:ilvl w:val="0"/>
          <w:numId w:val="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CLOSING.</w:t>
      </w:r>
    </w:p>
    <w:p>
      <w:pPr>
        <w:spacing w:after="0" w:line="147"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2.1 CLOSING DATE. The issue and allotment of the Capital Note, the purchase thereof by the Purchaser and the registration of the Capital Note in the name of the Purchaser in the register of the Company, shall take place at a closing (the "CLOSING") to be held on a business day in Tel Aviv, Israel and no later than three (3) business days (in Tel Aviv) after the conditions to Closing set forth in Sections 6 and 7 below have been satisfied or waived in accordance with their terms at the offices of Yigal Arnon &amp; Co., One Azrieli Center, Tel-Aviv, Israel, or such other time and place as the parties shall mutually agree. In the event that the Closing does not take place prior to October 31, 2006, the Purchaser shall have the right, but not the obligation, to cancel this Agreement unless the Purchaser has caused the Closing not to have occurred in breach of this Agreement. The Company shall use its commercially reasonable best efforts to (i) take or cause to be taken all necessary actions, and do or cause to be done all things, necessary, proper or advisable under this Agreement and applicable laws to consummate and make effective all the transactions contemplated by this Agreement as soon as practicable, including, without limitation, preparing and filing all documentation to effect all necessary filings, notices, petitions, statements, registrations, submissions of information, applications and other documents and (ii) obtain all approvals required to be obtained from any third party necessary, proper or advisable to the transactions contemplated by this Agreement. The Purchaser shall cooperate with the Company in the achieving the above but the primary responsibility (including but not limited to bearing the relevant expenses therefor) shall be the Company's.</w:t>
      </w:r>
    </w:p>
    <w:p>
      <w:pPr>
        <w:spacing w:after="0" w:line="141"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2.2 TRANSACTIONS UPON CLOSING. At the Closing, the following transactions shall occur, which transactions shall be deemed to take place simultaneously and no transaction shall be deemed to have been completed or any document delivered until all such transactions have been completed and all required documents delivered:</w:t>
      </w:r>
    </w:p>
    <w:p>
      <w:pPr>
        <w:spacing w:after="0" w:line="141" w:lineRule="exact"/>
        <w:rPr>
          <w:sz w:val="20"/>
          <w:szCs w:val="20"/>
          <w:color w:val="auto"/>
        </w:rPr>
      </w:pPr>
    </w:p>
    <w:p>
      <w:pPr>
        <w:ind w:left="364" w:right="4419" w:firstLine="372"/>
        <w:spacing w:after="0" w:line="251" w:lineRule="auto"/>
        <w:tabs>
          <w:tab w:leader="none" w:pos="1027"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deliver to the Purchaser copies of resolutions of the Company's Audit Committee, the Company's Board of Directors and the Company's shareholders approving the execution and performance of this Agreement, including the issuance of the Capital Note;</w:t>
      </w:r>
    </w:p>
    <w:p>
      <w:pPr>
        <w:spacing w:after="0" w:line="139" w:lineRule="exact"/>
        <w:rPr>
          <w:rFonts w:ascii="Courier New" w:cs="Courier New" w:eastAsia="Courier New" w:hAnsi="Courier New"/>
          <w:sz w:val="12"/>
          <w:szCs w:val="12"/>
          <w:color w:val="auto"/>
        </w:rPr>
      </w:pPr>
    </w:p>
    <w:p>
      <w:pPr>
        <w:ind w:left="364" w:right="4419" w:firstLine="372"/>
        <w:spacing w:after="0" w:line="250" w:lineRule="auto"/>
        <w:tabs>
          <w:tab w:leader="none" w:pos="1027"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accordance with the set-off provision of Section 2.2(g) below, the Note Purchase Price minus the Purchase Price (as defined in the Equipment Purchase Agreement) of the Call Option Exercise (as defined below) (the "CALL OPTION PURCHASE PRICE") shall be transferred by the Purchaser to the Company by wire transfer into the account of the Company, in accordance with the written instructions provided by the Company to the Purchaser;</w:t>
      </w:r>
    </w:p>
    <w:p>
      <w:pPr>
        <w:spacing w:after="0" w:line="141" w:lineRule="exact"/>
        <w:rPr>
          <w:rFonts w:ascii="Courier New" w:cs="Courier New" w:eastAsia="Courier New" w:hAnsi="Courier New"/>
          <w:sz w:val="12"/>
          <w:szCs w:val="12"/>
          <w:color w:val="auto"/>
        </w:rPr>
      </w:pPr>
    </w:p>
    <w:p>
      <w:pPr>
        <w:jc w:val="both"/>
        <w:ind w:left="364" w:right="4419" w:firstLine="372"/>
        <w:spacing w:after="0" w:line="251" w:lineRule="auto"/>
        <w:tabs>
          <w:tab w:leader="none" w:pos="1027"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deliver to the Purchaser a copy of the approval of the TASE for listing the shares issuable upon conversion of the Capital Note (the "SHARES");</w:t>
      </w:r>
    </w:p>
    <w:p>
      <w:pPr>
        <w:spacing w:after="0" w:line="139" w:lineRule="exact"/>
        <w:rPr>
          <w:rFonts w:ascii="Courier New" w:cs="Courier New" w:eastAsia="Courier New" w:hAnsi="Courier New"/>
          <w:sz w:val="12"/>
          <w:szCs w:val="12"/>
          <w:color w:val="auto"/>
        </w:rPr>
      </w:pPr>
    </w:p>
    <w:p>
      <w:pPr>
        <w:ind w:left="1024" w:hanging="288"/>
        <w:spacing w:after="0"/>
        <w:tabs>
          <w:tab w:leader="none" w:pos="1024"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record such issuance of the Capital Note in the</w:t>
      </w:r>
    </w:p>
    <w:p>
      <w:pPr>
        <w:sectPr>
          <w:pgSz w:w="11900" w:h="16881" w:orient="portrait"/>
          <w:cols w:equalWidth="0" w:num="1">
            <w:col w:w="10244"/>
          </w:cols>
          <w:pgMar w:left="216" w:top="283"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2"/>
          <w:szCs w:val="12"/>
          <w:color w:val="auto"/>
        </w:rPr>
        <w:t>name of the Purchaser on the records of the Company; and</w:t>
      </w:r>
    </w:p>
    <w:p>
      <w:pPr>
        <w:sectPr>
          <w:pgSz w:w="11900" w:h="16838" w:orient="portrait"/>
          <w:cols w:equalWidth="0" w:num="1">
            <w:col w:w="9879"/>
          </w:cols>
          <w:pgMar w:left="580" w:top="141" w:right="1440" w:bottom="1440" w:gutter="0" w:footer="0" w:header="0"/>
        </w:sectPr>
      </w:pPr>
    </w:p>
    <w:p>
      <w:pPr>
        <w:spacing w:after="0" w:line="289" w:lineRule="exact"/>
        <w:rPr>
          <w:sz w:val="20"/>
          <w:szCs w:val="20"/>
          <w:color w:val="auto"/>
        </w:rPr>
      </w:pPr>
    </w:p>
    <w:p>
      <w:pPr>
        <w:ind w:left="2360"/>
        <w:spacing w:after="0"/>
        <w:rPr>
          <w:sz w:val="20"/>
          <w:szCs w:val="20"/>
          <w:color w:val="auto"/>
        </w:rPr>
      </w:pPr>
      <w:r>
        <w:rPr>
          <w:rFonts w:ascii="Courier New" w:cs="Courier New" w:eastAsia="Courier New" w:hAnsi="Courier New"/>
          <w:sz w:val="11"/>
          <w:szCs w:val="11"/>
          <w:color w:val="auto"/>
        </w:rPr>
        <w:t>- 2 -</w:t>
      </w:r>
    </w:p>
    <w:p>
      <w:pPr>
        <w:sectPr>
          <w:pgSz w:w="11900" w:h="16838" w:orient="portrait"/>
          <w:cols w:equalWidth="0" w:num="1">
            <w:col w:w="9879"/>
          </w:cols>
          <w:pgMar w:left="580" w:top="141" w:right="1440" w:bottom="1440" w:gutter="0" w:footer="0" w:header="0"/>
          <w:type w:val="continuous"/>
        </w:sectPr>
      </w:pPr>
    </w:p>
    <w:bookmarkStart w:id="23" w:name="page24"/>
    <w:bookmarkEnd w:id="23"/>
    <w:p>
      <w:pPr>
        <w:ind w:left="364" w:right="4419" w:firstLine="372"/>
        <w:spacing w:after="0" w:line="249" w:lineRule="auto"/>
        <w:tabs>
          <w:tab w:leader="none" w:pos="1027" w:val="left"/>
        </w:tabs>
        <w:numPr>
          <w:ilvl w:val="1"/>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be deemed to have exercised its Call Option (as defined in the Equipment Purchase Agreement) pursuant to the Equipment Purchase Agreement and in accordance with the terms set forth therein (the</w:t>
      </w:r>
    </w:p>
    <w:p>
      <w:pPr>
        <w:spacing w:after="0" w:line="1"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"CALL OPTION EXERCISE");</w:t>
      </w:r>
    </w:p>
    <w:p>
      <w:pPr>
        <w:spacing w:after="0" w:line="147" w:lineRule="exact"/>
        <w:rPr>
          <w:rFonts w:ascii="Courier New" w:cs="Courier New" w:eastAsia="Courier New" w:hAnsi="Courier New"/>
          <w:sz w:val="12"/>
          <w:szCs w:val="12"/>
          <w:color w:val="auto"/>
        </w:rPr>
      </w:pPr>
    </w:p>
    <w:p>
      <w:pPr>
        <w:ind w:left="364" w:right="4359" w:firstLine="372"/>
        <w:spacing w:after="0" w:line="250" w:lineRule="auto"/>
        <w:tabs>
          <w:tab w:leader="none" w:pos="1027" w:val="left"/>
        </w:tabs>
        <w:numPr>
          <w:ilvl w:val="1"/>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 Equipment Agreements (as defined in the Equipment Purchase Agreement) shall be assigned by the Purchaser to the Company, to the extent that they are assignable; (ii) Future Payments (as defined in the Equipment Purchase Agreement) with respect to Non-Assignable Obligations (as defined in the Equipment Purchase Agreement) shall be held in trust by the Purchaser; and (iii) title to Purchased Assets (as defined in the Equipment Purchase Agreement) shall be transferred or deemed transferred to the Company, all as set forth in Section 2 of the Equipment Purchase Agreement; and</w:t>
      </w:r>
    </w:p>
    <w:p>
      <w:pPr>
        <w:spacing w:after="0" w:line="141" w:lineRule="exact"/>
        <w:rPr>
          <w:rFonts w:ascii="Courier New" w:cs="Courier New" w:eastAsia="Courier New" w:hAnsi="Courier New"/>
          <w:sz w:val="12"/>
          <w:szCs w:val="12"/>
          <w:color w:val="auto"/>
        </w:rPr>
      </w:pPr>
    </w:p>
    <w:p>
      <w:pPr>
        <w:ind w:left="364" w:right="4419" w:firstLine="372"/>
        <w:spacing w:after="0" w:line="250" w:lineRule="auto"/>
        <w:tabs>
          <w:tab w:leader="none" w:pos="1027" w:val="left"/>
        </w:tabs>
        <w:numPr>
          <w:ilvl w:val="1"/>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the avoidance of all doubt, the Purchaser and the Company shall set-off the Note Purchase Price payable by the Purchaser hereunder with the Call Option Purchase Price and any other sums relating to obligations owed and payable by the Company to the Purchaser pursuant to the Equipment Purchase Agreement or the transactions contemplated thereby; and</w:t>
      </w:r>
    </w:p>
    <w:p>
      <w:pPr>
        <w:spacing w:after="0" w:line="141" w:lineRule="exact"/>
        <w:rPr>
          <w:rFonts w:ascii="Courier New" w:cs="Courier New" w:eastAsia="Courier New" w:hAnsi="Courier New"/>
          <w:sz w:val="12"/>
          <w:szCs w:val="12"/>
          <w:color w:val="auto"/>
        </w:rPr>
      </w:pPr>
    </w:p>
    <w:p>
      <w:pPr>
        <w:ind w:left="364" w:right="4419" w:firstLine="372"/>
        <w:spacing w:after="0" w:line="253" w:lineRule="auto"/>
        <w:tabs>
          <w:tab w:leader="none" w:pos="1027" w:val="left"/>
        </w:tabs>
        <w:numPr>
          <w:ilvl w:val="1"/>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Closing of the Amendment shall take place simultaneously with the Closing under this Agreement.</w:t>
      </w:r>
    </w:p>
    <w:p>
      <w:pPr>
        <w:spacing w:after="0" w:line="138"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POST CLOSING OBLIGATIONS OF THE PARTIES.</w:t>
      </w:r>
    </w:p>
    <w:p>
      <w:pPr>
        <w:spacing w:after="0" w:line="147" w:lineRule="exact"/>
        <w:rPr>
          <w:sz w:val="20"/>
          <w:szCs w:val="20"/>
          <w:color w:val="auto"/>
        </w:rPr>
      </w:pPr>
    </w:p>
    <w:p>
      <w:pPr>
        <w:ind w:left="4" w:right="4419"/>
        <w:spacing w:after="0" w:line="250" w:lineRule="auto"/>
        <w:rPr>
          <w:sz w:val="20"/>
          <w:szCs w:val="20"/>
          <w:color w:val="auto"/>
        </w:rPr>
      </w:pPr>
      <w:r>
        <w:rPr>
          <w:rFonts w:ascii="Courier New" w:cs="Courier New" w:eastAsia="Courier New" w:hAnsi="Courier New"/>
          <w:sz w:val="12"/>
          <w:szCs w:val="12"/>
          <w:color w:val="auto"/>
        </w:rPr>
        <w:t>In the event that after the Closing any Equipment Agreement that prior to Closing was not assignable to the Company becomes assignable, the Purchaser shall as soon as practicable assign such Equipment Agreement to the Company and transfer the balance, as of the date of assignment, if any, of the Future Payments related thereto back to the Company, provided, that, upon assignment, the Purchaser is completely released from any obligations under such Equipment Agreement.</w:t>
      </w:r>
    </w:p>
    <w:p>
      <w:pPr>
        <w:spacing w:after="0" w:line="141" w:lineRule="exact"/>
        <w:rPr>
          <w:sz w:val="20"/>
          <w:szCs w:val="20"/>
          <w:color w:val="auto"/>
        </w:rPr>
      </w:pPr>
    </w:p>
    <w:p>
      <w:pPr>
        <w:jc w:val="both"/>
        <w:ind w:left="4" w:right="4579"/>
        <w:spacing w:after="0" w:line="251" w:lineRule="auto"/>
        <w:rPr>
          <w:sz w:val="20"/>
          <w:szCs w:val="20"/>
          <w:color w:val="auto"/>
        </w:rPr>
      </w:pPr>
      <w:r>
        <w:rPr>
          <w:rFonts w:ascii="Courier New" w:cs="Courier New" w:eastAsia="Courier New" w:hAnsi="Courier New"/>
          <w:sz w:val="12"/>
          <w:szCs w:val="12"/>
          <w:color w:val="auto"/>
        </w:rPr>
        <w:t>For the avoidance of doubt, to the extent that the Call Option Purchase Price exceeds the Note Purchase Price, such amounts shall not be deemed paid by the Company as part of the Investment.</w:t>
      </w:r>
    </w:p>
    <w:p>
      <w:pPr>
        <w:spacing w:after="0" w:line="140" w:lineRule="exact"/>
        <w:rPr>
          <w:sz w:val="20"/>
          <w:szCs w:val="20"/>
          <w:color w:val="auto"/>
        </w:rPr>
      </w:pPr>
    </w:p>
    <w:p>
      <w:pPr>
        <w:ind w:left="364" w:hanging="364"/>
        <w:spacing w:after="0"/>
        <w:tabs>
          <w:tab w:leader="none" w:pos="364" w:val="left"/>
        </w:tabs>
        <w:numPr>
          <w:ilvl w:val="0"/>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AND WARRANTIES OF THE COMPANY.</w:t>
      </w:r>
    </w:p>
    <w:p>
      <w:pPr>
        <w:spacing w:after="0" w:line="147"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The Company hereby represents and warrants to the Purchaser, as follows:</w:t>
      </w:r>
    </w:p>
    <w:p>
      <w:pPr>
        <w:spacing w:after="0" w:line="147" w:lineRule="exact"/>
        <w:rPr>
          <w:sz w:val="20"/>
          <w:szCs w:val="20"/>
          <w:color w:val="auto"/>
        </w:rPr>
      </w:pPr>
    </w:p>
    <w:p>
      <w:pPr>
        <w:ind w:left="4" w:right="4419" w:firstLine="368"/>
        <w:spacing w:after="0" w:line="251" w:lineRule="auto"/>
        <w:rPr>
          <w:sz w:val="20"/>
          <w:szCs w:val="20"/>
          <w:color w:val="auto"/>
        </w:rPr>
      </w:pPr>
      <w:r>
        <w:rPr>
          <w:rFonts w:ascii="Courier New" w:cs="Courier New" w:eastAsia="Courier New" w:hAnsi="Courier New"/>
          <w:sz w:val="12"/>
          <w:szCs w:val="12"/>
          <w:color w:val="auto"/>
        </w:rPr>
        <w:t>4.1 ORGANIZATION. The Company is duly organized and validly existing under the laws of the State of Israel and has full corporate power and authority to own, lease and operate its properties and assets and to conduct its business as now being conducted and to perform all its obligations under this Agreement.</w:t>
      </w:r>
    </w:p>
    <w:p>
      <w:pPr>
        <w:spacing w:after="0" w:line="139"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4.2 MEMORANDUM AND ARTICLES OF ASSOCIATION. The Company has made available for inspection by the Purchaser complete and correct copies of the Memorandum of Association and Articles of Association of the Company, as amended to the date furnished. Such Memorandum and Articles of Association are in effect as of the date hereof and as will be in effect at the Closing.</w:t>
      </w:r>
    </w:p>
    <w:p>
      <w:pPr>
        <w:spacing w:after="0" w:line="283"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- 3 -</w:t>
      </w:r>
    </w:p>
    <w:p>
      <w:pPr>
        <w:sectPr>
          <w:pgSz w:w="11900" w:h="16838" w:orient="portrait"/>
          <w:cols w:equalWidth="0" w:num="1">
            <w:col w:w="10244"/>
          </w:cols>
          <w:pgMar w:left="216" w:top="689" w:right="1440" w:bottom="1440" w:gutter="0" w:footer="0" w:header="0"/>
        </w:sectPr>
      </w:pPr>
    </w:p>
    <w:bookmarkStart w:id="24" w:name="page25"/>
    <w:bookmarkEnd w:id="24"/>
    <w:p>
      <w:pPr>
        <w:ind w:left="360"/>
        <w:spacing w:after="0"/>
        <w:rPr>
          <w:sz w:val="20"/>
          <w:szCs w:val="20"/>
          <w:color w:val="auto"/>
        </w:rPr>
      </w:pPr>
      <w:r>
        <w:rPr>
          <w:rFonts w:ascii="Courier New" w:cs="Courier New" w:eastAsia="Courier New" w:hAnsi="Courier New"/>
          <w:sz w:val="12"/>
          <w:szCs w:val="12"/>
          <w:color w:val="auto"/>
        </w:rPr>
        <w:t>4.3 SHARE CAPITALIZATION.</w:t>
      </w:r>
    </w:p>
    <w:p>
      <w:pPr>
        <w:spacing w:after="0" w:line="147" w:lineRule="exact"/>
        <w:rPr>
          <w:sz w:val="20"/>
          <w:szCs w:val="20"/>
          <w:color w:val="auto"/>
        </w:rPr>
      </w:pPr>
    </w:p>
    <w:p>
      <w:pPr>
        <w:ind w:right="4359" w:firstLine="368"/>
        <w:spacing w:after="0" w:line="250" w:lineRule="auto"/>
        <w:rPr>
          <w:sz w:val="20"/>
          <w:szCs w:val="20"/>
          <w:color w:val="auto"/>
        </w:rPr>
      </w:pPr>
      <w:r>
        <w:rPr>
          <w:rFonts w:ascii="Courier New" w:cs="Courier New" w:eastAsia="Courier New" w:hAnsi="Courier New"/>
          <w:sz w:val="12"/>
          <w:szCs w:val="12"/>
          <w:color w:val="auto"/>
        </w:rPr>
        <w:t>As at August 17, 2006, the authorised share capital of the Company consists of 500,000,000 (five hundred million) ordinary shares, of which 85,406,010 (eighty five million four hundred and six thousand and ten) shares are issued and outstanding, 40,600,675 (forty million six hundred thousand six hundred and seventy five) shares are reserved for issuance upon exercise of outstanding options and warrants (including options granted to employees, officers, directors, related parties, banks, contractors and other public investors), 51,143,776 (fifty one million one hundred and forty three thousand seven hundred and seventy six) shares are reserved for issuance upon conversion of outstanding convertible debentures, 4,341,571 (four million three hundred and forty one thousand five hundred and seventy one) shares are reserved for issuance upon conversion of convertible debentures issuable upon exercise of outstanding warrants and 14,124,285 (fourteen million one hundred and twenty four thousand two hundred and eighty five) shares are reserved for future grants of options to employees, officers, consultants and directors. All issued and outstanding share capital of the Company has been duly authorized, and is validly issued and outstanding and fully paid and non-assessable. The Capital Note and the Shares issued upon its conversion will be validly issued, fully paid, nonassessable and not subject to any pledge, lien or restriction on transfer, except for restrictions on transfer imposed hereunder and by the applicable securities laws. The Company has reserved for issuance enough ordinary shares to issue the Shares. The issuance of the Capital Note and the Shares issued upon its conversion will not conflict with the Memorandum of Association or the Articles of Association of the Company then in effect nor with any outstanding warrant, option, call, preemptive right or commitment of any type relating to the Company's capital stock.</w:t>
      </w:r>
    </w:p>
    <w:p>
      <w:pPr>
        <w:spacing w:after="0" w:line="141" w:lineRule="exact"/>
        <w:rPr>
          <w:sz w:val="20"/>
          <w:szCs w:val="20"/>
          <w:color w:val="auto"/>
        </w:rPr>
      </w:pPr>
    </w:p>
    <w:p>
      <w:pPr>
        <w:ind w:right="4359" w:firstLine="368"/>
        <w:spacing w:after="0" w:line="250" w:lineRule="auto"/>
        <w:rPr>
          <w:sz w:val="20"/>
          <w:szCs w:val="20"/>
          <w:color w:val="auto"/>
        </w:rPr>
      </w:pPr>
      <w:r>
        <w:rPr>
          <w:rFonts w:ascii="Courier New" w:cs="Courier New" w:eastAsia="Courier New" w:hAnsi="Courier New"/>
          <w:sz w:val="12"/>
          <w:szCs w:val="12"/>
          <w:color w:val="auto"/>
        </w:rPr>
        <w:t>4.4 AUTHORIZATION; APPROVALS. Prior to the Closing, all corporate action on the part of the Company necessary for the execution, delivery and performance of this Agreement shall have been taken. Except as set forth in SCHEDULE 4.4, no consent, approval or authorization of, exemption by, or filing with, any governmental or regulatory authority or any third party is required in connection with the execution, delivery and performance by the Company of this Agreement and the consummation by the Company of the transactions contemplated hereby. Other than approval by the Company's shareholders, this Agreement when executed and delivered by or on behalf of the Company, shall constitute the valid and legally binding obligations of the Company, legally enforceable against the Company in accordance with its terms, subject to applicable bankruptcy, insolvency, fraudulent conveyance, reorganization, moratorium and other laws relating to creditor's rights generally and general principles of equity.</w:t>
      </w:r>
    </w:p>
    <w:p>
      <w:pPr>
        <w:spacing w:after="0" w:line="283" w:lineRule="exact"/>
        <w:rPr>
          <w:sz w:val="20"/>
          <w:szCs w:val="20"/>
          <w:color w:val="auto"/>
        </w:rPr>
      </w:pPr>
    </w:p>
    <w:p>
      <w:pPr>
        <w:ind w:right="4419" w:firstLine="368"/>
        <w:spacing w:after="0" w:line="251" w:lineRule="auto"/>
        <w:rPr>
          <w:sz w:val="20"/>
          <w:szCs w:val="20"/>
          <w:color w:val="auto"/>
        </w:rPr>
      </w:pPr>
      <w:r>
        <w:rPr>
          <w:rFonts w:ascii="Courier New" w:cs="Courier New" w:eastAsia="Courier New" w:hAnsi="Courier New"/>
          <w:sz w:val="12"/>
          <w:szCs w:val="12"/>
          <w:color w:val="auto"/>
        </w:rPr>
        <w:t>4.5 CROSS-DEFAULT. The Company is not in default under the Equipment Purchase Agreement or the Agreement dated August 1, 2006 with regard to the use of some of the Equipment by Tower (hereinafter, the "AUGUST 1 AGREEMENT").</w:t>
      </w:r>
    </w:p>
    <w:p>
      <w:pPr>
        <w:spacing w:after="0" w:line="140" w:lineRule="exact"/>
        <w:rPr>
          <w:sz w:val="20"/>
          <w:szCs w:val="20"/>
          <w:color w:val="auto"/>
        </w:rPr>
      </w:pPr>
    </w:p>
    <w:p>
      <w:pPr>
        <w:ind w:right="4359" w:firstLine="368"/>
        <w:spacing w:after="0" w:line="250" w:lineRule="auto"/>
        <w:rPr>
          <w:sz w:val="20"/>
          <w:szCs w:val="20"/>
          <w:color w:val="auto"/>
        </w:rPr>
      </w:pPr>
      <w:r>
        <w:rPr>
          <w:rFonts w:ascii="Courier New" w:cs="Courier New" w:eastAsia="Courier New" w:hAnsi="Courier New"/>
          <w:sz w:val="12"/>
          <w:szCs w:val="12"/>
          <w:color w:val="auto"/>
        </w:rPr>
        <w:t>4.6 NO CONFLICTS. Neither the execution and delivery of this Agreement by Tower, nor the compliance with the terms and provisions of this Agreement on the part of Tower, will: (i) violate any statute or regulation of any governmental authority, domestic or foreign, affecting Tower; (ii) require the issuance of any authorization, license, consent or approval of any governmental agency, or any other person other than as set forth in SCHEDULE 4.4; or (iii) conflict with or result in a breach of any of the terms, conditions or provisions of any judgment, order, injunction, decree, loan agreement or other material agreement or instrument to which Tower is a party, or by which Tower is bound, or constitute a default thereunder, the effect of which might have a material adverse effect on Tower.</w:t>
      </w:r>
    </w:p>
    <w:p>
      <w:pPr>
        <w:spacing w:after="0" w:line="283"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- 4 -</w:t>
      </w:r>
    </w:p>
    <w:p>
      <w:pPr>
        <w:sectPr>
          <w:pgSz w:w="11900" w:h="16838" w:orient="portrait"/>
          <w:cols w:equalWidth="0" w:num="1">
            <w:col w:w="10239"/>
          </w:cols>
          <w:pgMar w:left="220" w:top="689" w:right="1440" w:bottom="1440" w:gutter="0" w:footer="0" w:header="0"/>
        </w:sectPr>
      </w:pPr>
    </w:p>
    <w:bookmarkStart w:id="25" w:name="page26"/>
    <w:bookmarkEnd w:id="25"/>
    <w:p>
      <w:pPr>
        <w:ind w:left="4" w:right="4359" w:firstLine="368"/>
        <w:spacing w:after="0" w:line="251" w:lineRule="auto"/>
        <w:rPr>
          <w:sz w:val="20"/>
          <w:szCs w:val="20"/>
          <w:color w:val="auto"/>
        </w:rPr>
      </w:pPr>
      <w:r>
        <w:rPr>
          <w:rFonts w:ascii="Courier New" w:cs="Courier New" w:eastAsia="Courier New" w:hAnsi="Courier New"/>
          <w:sz w:val="12"/>
          <w:szCs w:val="12"/>
          <w:color w:val="auto"/>
        </w:rPr>
        <w:t>4.7 NO LITIGATION. There are no actions, suits, proceedings, or injunctive orders, pending or threatened against or affecting Tower relating to the subject matter of this Agreement and/or the Equipment Purchase Agreement and/or the August 1 Agreement.</w:t>
      </w:r>
    </w:p>
    <w:p>
      <w:pPr>
        <w:spacing w:after="0" w:line="139" w:lineRule="exact"/>
        <w:rPr>
          <w:sz w:val="20"/>
          <w:szCs w:val="20"/>
          <w:color w:val="auto"/>
        </w:rPr>
      </w:pPr>
    </w:p>
    <w:p>
      <w:pPr>
        <w:jc w:val="both"/>
        <w:ind w:left="4" w:right="4579" w:firstLine="368"/>
        <w:spacing w:after="0" w:line="251" w:lineRule="auto"/>
        <w:rPr>
          <w:sz w:val="20"/>
          <w:szCs w:val="20"/>
          <w:color w:val="auto"/>
        </w:rPr>
      </w:pPr>
      <w:r>
        <w:rPr>
          <w:rFonts w:ascii="Courier New" w:cs="Courier New" w:eastAsia="Courier New" w:hAnsi="Courier New"/>
          <w:sz w:val="12"/>
          <w:szCs w:val="12"/>
          <w:color w:val="auto"/>
        </w:rPr>
        <w:t>4.8 NO BROKERS. Tower has not engaged any broker or finder in connection with the transactions contemplated by this Agreement, and no broker or other person is entitled to any commission or finder's fee in connection with such transactions.</w:t>
      </w:r>
    </w:p>
    <w:p>
      <w:pPr>
        <w:spacing w:after="0" w:line="139" w:lineRule="exact"/>
        <w:rPr>
          <w:sz w:val="20"/>
          <w:szCs w:val="20"/>
          <w:color w:val="auto"/>
        </w:rPr>
      </w:pPr>
    </w:p>
    <w:p>
      <w:pPr>
        <w:ind w:left="364" w:hanging="364"/>
        <w:spacing w:after="0"/>
        <w:tabs>
          <w:tab w:leader="none" w:pos="364"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AND WARRANTIES OF THE PURCHASER.</w:t>
      </w:r>
    </w:p>
    <w:p>
      <w:pPr>
        <w:spacing w:after="0" w:line="147"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The Purchaser hereby represents and warrants to the Company as follows:</w:t>
      </w:r>
    </w:p>
    <w:p>
      <w:pPr>
        <w:spacing w:after="0" w:line="147"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5.1 ORGANIZATIONS; GOOD STANDING. The Purchaser is a corporation duly organized, validly existing, and in good standing under the laws of the State of Israel with full corporate power and authority to perform all its obligations under this Agreement.</w:t>
      </w:r>
    </w:p>
    <w:p>
      <w:pPr>
        <w:spacing w:after="0" w:line="139"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5.2 AUTHORIZATION; APPROVALS. Prior to the Closing, all corporate action on the part of the Purchaser necessary for the execution and delivery of this Agreement and other agreements contemplated hereby has been taken. No consent, approval or authorization of, exemption by, or filing with, any governmental or regulatory authority is required in connection with the execution, delivery and performance by the Purchaser of this Agreement and the consummation by the Purchaser of the transactions contemplated hereby, except the approval of the Israeli Comptroller of Restrictive Trade Practice ("COMPTROLLER"), to the extent required under law. This Agreement and other agreements contemplated hereby, when executed and delivered by or on behalf of the Purchaser, shall constitute the valid and legally binding obligations of the Purchaser, legally enforceable against the Purchaser in accordance with their respective terms, subject to applicable bankruptcy, insolvency, fraudulent conveyance, reorganization, moratorium and other laws relating to creditor's rights generally and general principles of equity.</w:t>
      </w:r>
    </w:p>
    <w:p>
      <w:pPr>
        <w:spacing w:after="0" w:line="141"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5.3 INVESTMENT INTENT; NO REGISTRATION</w:t>
      </w:r>
    </w:p>
    <w:p>
      <w:pPr>
        <w:spacing w:after="0" w:line="147" w:lineRule="exact"/>
        <w:rPr>
          <w:sz w:val="20"/>
          <w:szCs w:val="20"/>
          <w:color w:val="auto"/>
        </w:rPr>
      </w:pPr>
    </w:p>
    <w:p>
      <w:pPr>
        <w:ind w:left="364" w:right="4359" w:firstLine="368"/>
        <w:spacing w:after="0" w:line="250" w:lineRule="auto"/>
        <w:rPr>
          <w:sz w:val="20"/>
          <w:szCs w:val="20"/>
          <w:color w:val="auto"/>
        </w:rPr>
      </w:pPr>
      <w:r>
        <w:rPr>
          <w:rFonts w:ascii="Courier New" w:cs="Courier New" w:eastAsia="Courier New" w:hAnsi="Courier New"/>
          <w:sz w:val="12"/>
          <w:szCs w:val="12"/>
          <w:color w:val="auto"/>
        </w:rPr>
        <w:t>The Purchaser is acquiring the Capital Note and the Shares issued upon its conversion for its own account and not with a view to their distribution within the meaning of Section 2(11) of the Securities Act of 1933 (the "SECURITIES ACT"). The Purchaser has requisite knowledge and experience in financial and business matters to be capable of evaluating the merits and risks of an investment in the Company and is an accredited investor as defined under Regulation D as promulgated by the United States Securities and Exchange Commission; and</w:t>
      </w:r>
    </w:p>
    <w:p>
      <w:pPr>
        <w:spacing w:after="0" w:line="141" w:lineRule="exact"/>
        <w:rPr>
          <w:sz w:val="20"/>
          <w:szCs w:val="20"/>
          <w:color w:val="auto"/>
        </w:rPr>
      </w:pPr>
    </w:p>
    <w:p>
      <w:pPr>
        <w:ind w:left="364" w:right="4359" w:firstLine="368"/>
        <w:spacing w:after="0" w:line="250" w:lineRule="auto"/>
        <w:rPr>
          <w:sz w:val="20"/>
          <w:szCs w:val="20"/>
          <w:color w:val="auto"/>
        </w:rPr>
      </w:pPr>
      <w:r>
        <w:rPr>
          <w:rFonts w:ascii="Courier New" w:cs="Courier New" w:eastAsia="Courier New" w:hAnsi="Courier New"/>
          <w:sz w:val="12"/>
          <w:szCs w:val="12"/>
          <w:color w:val="auto"/>
        </w:rPr>
        <w:t>The Purchaser understands that none of the Capital Note or the Shares issued upon its conversion have been registered under the Securities Act, the Israeli Securities Law or the laws of any jurisdiction, and agrees that the Capital Note and the Shares issued upon its conversion may not be sold, offered for sale, transferred, pledged, hypothecated or otherwise disposed of except in compliance with the Securities Act, Israeli Securities Law or any applicable securities laws of any jurisdiction (including but not limited to pursuant to an exemption therefrom). The Purchaser also acknowledges that the Capital Note and the Shares issued upon its conversion, upon issuance, will bear the following legend:</w:t>
      </w:r>
    </w:p>
    <w:p>
      <w:pPr>
        <w:spacing w:after="0" w:line="283"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- 5 -</w:t>
      </w:r>
    </w:p>
    <w:p>
      <w:pPr>
        <w:sectPr>
          <w:pgSz w:w="11900" w:h="16838" w:orient="portrait"/>
          <w:cols w:equalWidth="0" w:num="1">
            <w:col w:w="10244"/>
          </w:cols>
          <w:pgMar w:left="216" w:top="689" w:right="1440" w:bottom="1440" w:gutter="0" w:footer="0" w:header="0"/>
        </w:sectPr>
      </w:pPr>
    </w:p>
    <w:bookmarkStart w:id="26" w:name="page27"/>
    <w:bookmarkEnd w:id="26"/>
    <w:p>
      <w:pPr>
        <w:ind w:left="364" w:right="4359" w:firstLine="368"/>
        <w:spacing w:after="0" w:line="250" w:lineRule="auto"/>
        <w:rPr>
          <w:sz w:val="20"/>
          <w:szCs w:val="20"/>
          <w:color w:val="auto"/>
        </w:rPr>
      </w:pPr>
      <w:r>
        <w:rPr>
          <w:rFonts w:ascii="Courier New" w:cs="Courier New" w:eastAsia="Courier New" w:hAnsi="Courier New"/>
          <w:sz w:val="12"/>
          <w:szCs w:val="12"/>
          <w:color w:val="auto"/>
        </w:rPr>
        <w:t>THESE SECURITIES HAVE NOT BEEN REGISTERED OR QUALIFIED UNDER THE SECURITIES ACT OF 1933, AS AMENDED (THE "ACT"), OR ANY STATE OR OTHER JURISDICTION'S SECURITIES LAWS. THESE SECURITIES MAY NOT BE SOLD, OFFERED FOR SALE OR PLEDGED, HYPOTHECATED OR OTHERWISE TRANSFERRED IN THE ABSENCE OF A REGISTRATION STATEMENT IN EFFECT WITH RESPECT TO THE SECURITIES UNDER THE ACT OR AN OPINION OF COUNSEL (SATISFACTORY IN FORM AND SUBSTANCE TO THE COMPANY) THAT SUCH REGISTRATION IS NOT REQUIRED OR UNLESS SOLD PURSUANT TO RULE 144 OF THE ACT.</w:t>
      </w:r>
    </w:p>
    <w:p>
      <w:pPr>
        <w:spacing w:after="0" w:line="141" w:lineRule="exact"/>
        <w:rPr>
          <w:sz w:val="20"/>
          <w:szCs w:val="20"/>
          <w:color w:val="auto"/>
        </w:rPr>
      </w:pPr>
    </w:p>
    <w:p>
      <w:pPr>
        <w:ind w:left="4" w:right="4719" w:firstLine="368"/>
        <w:spacing w:after="0" w:line="253" w:lineRule="auto"/>
        <w:rPr>
          <w:sz w:val="20"/>
          <w:szCs w:val="20"/>
          <w:color w:val="auto"/>
        </w:rPr>
      </w:pPr>
      <w:r>
        <w:rPr>
          <w:rFonts w:ascii="Courier New" w:cs="Courier New" w:eastAsia="Courier New" w:hAnsi="Courier New"/>
          <w:sz w:val="12"/>
          <w:szCs w:val="12"/>
          <w:color w:val="auto"/>
        </w:rPr>
        <w:t>5.4 CROSS-DEFAULT. The Purchaser is not in default under the Equipment Purchase Agreement or the August 1 Agreement.</w:t>
      </w:r>
    </w:p>
    <w:p>
      <w:pPr>
        <w:spacing w:after="0" w:line="138" w:lineRule="exact"/>
        <w:rPr>
          <w:sz w:val="20"/>
          <w:szCs w:val="20"/>
          <w:color w:val="auto"/>
        </w:rPr>
      </w:pPr>
    </w:p>
    <w:p>
      <w:pPr>
        <w:jc w:val="both"/>
        <w:ind w:left="4" w:right="4359" w:firstLine="368"/>
        <w:spacing w:after="0" w:line="251" w:lineRule="auto"/>
        <w:rPr>
          <w:sz w:val="20"/>
          <w:szCs w:val="20"/>
          <w:color w:val="auto"/>
        </w:rPr>
      </w:pPr>
      <w:r>
        <w:rPr>
          <w:rFonts w:ascii="Courier New" w:cs="Courier New" w:eastAsia="Courier New" w:hAnsi="Courier New"/>
          <w:sz w:val="12"/>
          <w:szCs w:val="12"/>
          <w:color w:val="auto"/>
        </w:rPr>
        <w:t>5.5 NO LITIGATION. There are no actions, suits, proceedings, or injunctive orders, pending or threatened against or affecting the Purchaser relating to the subject matter of this Agreement and/or the Equipment Purchase Agreement and/or the August 1 Agreement.</w:t>
      </w:r>
    </w:p>
    <w:p>
      <w:pPr>
        <w:spacing w:after="0" w:line="139"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5.6 NO BROKERS. The Purchaser has not engaged any broker or finder in connection with the transactions contemplated by this Agreement, and no broker or other person is entitled to any commission or finder's fee in connection with such transactions.</w:t>
      </w:r>
    </w:p>
    <w:p>
      <w:pPr>
        <w:spacing w:after="0" w:line="139" w:lineRule="exact"/>
        <w:rPr>
          <w:sz w:val="20"/>
          <w:szCs w:val="20"/>
          <w:color w:val="auto"/>
        </w:rPr>
      </w:pPr>
    </w:p>
    <w:p>
      <w:pPr>
        <w:ind w:left="364" w:hanging="364"/>
        <w:spacing w:after="0"/>
        <w:tabs>
          <w:tab w:leader="none" w:pos="364"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CONDITIONS OF CLOSING OF THE PURCHASER.</w:t>
      </w:r>
    </w:p>
    <w:p>
      <w:pPr>
        <w:spacing w:after="0" w:line="147" w:lineRule="exact"/>
        <w:rPr>
          <w:sz w:val="20"/>
          <w:szCs w:val="20"/>
          <w:color w:val="auto"/>
        </w:rPr>
      </w:pPr>
    </w:p>
    <w:p>
      <w:pPr>
        <w:ind w:left="4" w:right="4419"/>
        <w:spacing w:after="0" w:line="250" w:lineRule="auto"/>
        <w:rPr>
          <w:sz w:val="20"/>
          <w:szCs w:val="20"/>
          <w:color w:val="auto"/>
        </w:rPr>
      </w:pPr>
      <w:r>
        <w:rPr>
          <w:rFonts w:ascii="Courier New" w:cs="Courier New" w:eastAsia="Courier New" w:hAnsi="Courier New"/>
          <w:sz w:val="12"/>
          <w:szCs w:val="12"/>
          <w:color w:val="auto"/>
        </w:rPr>
        <w:t>The obligations of the Purchaser to purchase the Capital Note and to transfer the Note Purchase Price at the Closing are subject to the fulfillment at or before the Closing of the following conditions precedent, any one or more of which may be waived in whole or in part by the Purchaser, which waiver shall be at the sole discretion of the Purchaser:</w:t>
      </w:r>
    </w:p>
    <w:p>
      <w:pPr>
        <w:spacing w:after="0" w:line="141"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6.1 REPRESENTATIONS AND WARRANTIES. The representations and warranties made by the Company in this Agreement shall have been true and correct when made, and, shall be true and correct in all material respects as of the Closing, as if made on the date of the Closing.6.2 THE AMENDMENT. The conditions precedent for the closing of transactions contemplated by the Amendment shall have been satisfied (unless waived by the Banks) and shall have been concluded in a manner which is satisfactory to the Purchaser other than the Investment contemplated by this Agreement.</w:t>
      </w:r>
    </w:p>
    <w:p>
      <w:pPr>
        <w:spacing w:after="0" w:line="141" w:lineRule="exact"/>
        <w:rPr>
          <w:sz w:val="20"/>
          <w:szCs w:val="20"/>
          <w:color w:val="auto"/>
        </w:rPr>
      </w:pPr>
    </w:p>
    <w:p>
      <w:pPr>
        <w:ind w:left="4" w:right="4419" w:firstLine="368"/>
        <w:spacing w:after="0" w:line="251" w:lineRule="auto"/>
        <w:rPr>
          <w:sz w:val="20"/>
          <w:szCs w:val="20"/>
          <w:color w:val="auto"/>
        </w:rPr>
      </w:pPr>
      <w:r>
        <w:rPr>
          <w:rFonts w:ascii="Courier New" w:cs="Courier New" w:eastAsia="Courier New" w:hAnsi="Courier New"/>
          <w:sz w:val="12"/>
          <w:szCs w:val="12"/>
          <w:color w:val="auto"/>
        </w:rPr>
        <w:t>6.3 COVENANTS. All covenants, agreements, and conditions contained in this Agreement to be performed or complied with by the Company prior the Closing shall have been performed or complied with by the Company prior to or at the Closing.</w:t>
      </w:r>
    </w:p>
    <w:p>
      <w:pPr>
        <w:spacing w:after="0" w:line="281"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- 6 -</w:t>
      </w:r>
    </w:p>
    <w:p>
      <w:pPr>
        <w:sectPr>
          <w:pgSz w:w="11900" w:h="16838" w:orient="portrait"/>
          <w:cols w:equalWidth="0" w:num="1">
            <w:col w:w="10244"/>
          </w:cols>
          <w:pgMar w:left="216" w:top="689" w:right="1440" w:bottom="1440" w:gutter="0" w:footer="0" w:header="0"/>
        </w:sectPr>
      </w:pPr>
    </w:p>
    <w:bookmarkStart w:id="27" w:name="page28"/>
    <w:bookmarkEnd w:id="27"/>
    <w:p>
      <w:pPr>
        <w:ind w:left="4" w:right="4359" w:firstLine="368"/>
        <w:spacing w:after="0" w:line="250" w:lineRule="auto"/>
        <w:rPr>
          <w:sz w:val="20"/>
          <w:szCs w:val="20"/>
          <w:color w:val="auto"/>
        </w:rPr>
      </w:pPr>
      <w:r>
        <w:rPr>
          <w:rFonts w:ascii="Courier New" w:cs="Courier New" w:eastAsia="Courier New" w:hAnsi="Courier New"/>
          <w:sz w:val="12"/>
          <w:szCs w:val="12"/>
          <w:color w:val="auto"/>
        </w:rPr>
        <w:t>6.4 CONSENTS, ETC. The Company shall have secured all permits, consents and authorizations that shall be reasonably necessary or required lawfully for the Company to consummate this Agreement and to issue the Capital Note and the Shares issued upon its conversion to be purchased by the Purchaser at the Closing, including the approval of the Company's Audit Committee, Board of Directors and General Assembly and third party and/or governmental consents and the approval of all of the parties to the Registration Rights Agreement by and between the Company, SanDisk Corporation, Alliance Semiconductor Corp., Macronix International Co., Ltd., QuickLogic Corporation, and the Purchaser, dated January 18, 2001 of the registration rights that will be received by the Purchaser pursuant to the Registration Rights Agreement entered into by the Parties, if necessary.</w:t>
      </w:r>
    </w:p>
    <w:p>
      <w:pPr>
        <w:spacing w:after="0" w:line="141"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6.5 REGISTRATION RIGHTS AGREEMENT. The Company and the Purchaser shall have entered into a registration rights agreement in form and substance satisfactory to the Purchaser and with rights which are at least as good as those provided to the Banks and no worse than those currently enjoyed by the Purchaser and provides a satisfactory arrangement with respect to the registration rights of the Shares of the Company owned by the Purchaser on the date of this Agreement.</w:t>
      </w:r>
    </w:p>
    <w:p>
      <w:pPr>
        <w:spacing w:after="0" w:line="141" w:lineRule="exact"/>
        <w:rPr>
          <w:sz w:val="20"/>
          <w:szCs w:val="20"/>
          <w:color w:val="auto"/>
        </w:rPr>
      </w:pPr>
    </w:p>
    <w:p>
      <w:pPr>
        <w:ind w:left="4" w:right="4499" w:firstLine="368"/>
        <w:spacing w:after="0" w:line="251" w:lineRule="auto"/>
        <w:rPr>
          <w:sz w:val="20"/>
          <w:szCs w:val="20"/>
          <w:color w:val="auto"/>
        </w:rPr>
      </w:pPr>
      <w:r>
        <w:rPr>
          <w:rFonts w:ascii="Courier New" w:cs="Courier New" w:eastAsia="Courier New" w:hAnsi="Courier New"/>
          <w:sz w:val="12"/>
          <w:szCs w:val="12"/>
          <w:color w:val="auto"/>
        </w:rPr>
        <w:t>6.6 DELIVERY OF DOCUMENTS. All of the documents to be delivered by the Company, and all actions to be performed or concluded pursuant to Section 2 by the Company, shall be in a form and substance reasonably satisfactory to the Purchaser and its counsel and shall have been delivered to the Purchaser.</w:t>
      </w:r>
    </w:p>
    <w:p>
      <w:pPr>
        <w:spacing w:after="0" w:line="139"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6.7 ANTITRUST APPROVAL. To the extent required under law, the unconditional approval of the Comptroller to the consummation of the Closing under this Agreement has been received.</w:t>
      </w:r>
    </w:p>
    <w:p>
      <w:pPr>
        <w:spacing w:after="0" w:line="140" w:lineRule="exact"/>
        <w:rPr>
          <w:sz w:val="20"/>
          <w:szCs w:val="20"/>
          <w:color w:val="auto"/>
        </w:rPr>
      </w:pPr>
    </w:p>
    <w:p>
      <w:pPr>
        <w:ind w:left="364" w:hanging="364"/>
        <w:spacing w:after="0"/>
        <w:tabs>
          <w:tab w:leader="none" w:pos="364" w:val="left"/>
        </w:tabs>
        <w:numPr>
          <w:ilvl w:val="0"/>
          <w:numId w:val="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CONDITIONS OF CLOSING OF THE COMPANY.</w:t>
      </w:r>
    </w:p>
    <w:p>
      <w:pPr>
        <w:spacing w:after="0" w:line="147" w:lineRule="exact"/>
        <w:rPr>
          <w:sz w:val="20"/>
          <w:szCs w:val="20"/>
          <w:color w:val="auto"/>
        </w:rPr>
      </w:pPr>
    </w:p>
    <w:p>
      <w:pPr>
        <w:ind w:left="4" w:right="4359"/>
        <w:spacing w:after="0" w:line="251" w:lineRule="auto"/>
        <w:rPr>
          <w:sz w:val="20"/>
          <w:szCs w:val="20"/>
          <w:color w:val="auto"/>
        </w:rPr>
      </w:pPr>
      <w:r>
        <w:rPr>
          <w:rFonts w:ascii="Courier New" w:cs="Courier New" w:eastAsia="Courier New" w:hAnsi="Courier New"/>
          <w:sz w:val="12"/>
          <w:szCs w:val="12"/>
          <w:color w:val="auto"/>
        </w:rPr>
        <w:t>The obligations of the Company to sell and issue the Capital Note at the Closing are subject to the fulfillment at or before the Closing of the following conditions precedent, any one or more of which may be waived in whole or in part by the Company, which waiver shall be at the sole discretion of the Company:</w:t>
      </w:r>
    </w:p>
    <w:p>
      <w:pPr>
        <w:spacing w:after="0" w:line="139"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7.1 REPRESENTATIONS AND WARRANTIES. The representations and warranties made by the Purchaser in this Agreement shall have been true and correct when made, and shall be true and correct in all material respects as of the Closing, as if made on the date of the Closing.</w:t>
      </w:r>
    </w:p>
    <w:p>
      <w:pPr>
        <w:spacing w:after="0" w:line="139" w:lineRule="exact"/>
        <w:rPr>
          <w:sz w:val="20"/>
          <w:szCs w:val="20"/>
          <w:color w:val="auto"/>
        </w:rPr>
      </w:pPr>
    </w:p>
    <w:p>
      <w:pPr>
        <w:ind w:left="4" w:right="4419" w:firstLine="368"/>
        <w:spacing w:after="0" w:line="251" w:lineRule="auto"/>
        <w:rPr>
          <w:sz w:val="20"/>
          <w:szCs w:val="20"/>
          <w:color w:val="auto"/>
        </w:rPr>
      </w:pPr>
      <w:r>
        <w:rPr>
          <w:rFonts w:ascii="Courier New" w:cs="Courier New" w:eastAsia="Courier New" w:hAnsi="Courier New"/>
          <w:sz w:val="12"/>
          <w:szCs w:val="12"/>
          <w:color w:val="auto"/>
        </w:rPr>
        <w:t>7.2 COVENANTS. All covenants, agreements, and conditions contained in this Agreement to be performed or complied with by the Purchaser prior the Closing shall have been performed or complied with by the Purchaser prior to or at the Closing.</w:t>
      </w:r>
    </w:p>
    <w:p>
      <w:pPr>
        <w:spacing w:after="0" w:line="139" w:lineRule="exact"/>
        <w:rPr>
          <w:sz w:val="20"/>
          <w:szCs w:val="20"/>
          <w:color w:val="auto"/>
        </w:rPr>
      </w:pPr>
    </w:p>
    <w:p>
      <w:pPr>
        <w:ind w:left="4" w:right="4419" w:firstLine="368"/>
        <w:spacing w:after="0" w:line="250" w:lineRule="auto"/>
        <w:rPr>
          <w:sz w:val="20"/>
          <w:szCs w:val="20"/>
          <w:color w:val="auto"/>
        </w:rPr>
      </w:pPr>
      <w:r>
        <w:rPr>
          <w:rFonts w:ascii="Courier New" w:cs="Courier New" w:eastAsia="Courier New" w:hAnsi="Courier New"/>
          <w:sz w:val="12"/>
          <w:szCs w:val="12"/>
          <w:color w:val="auto"/>
        </w:rPr>
        <w:t>7.3 CONSENTS, ETC. The Purchaser and the Company shall have secured all permits, consents and authorizations, including, without limitations, approval of its corporate organs that shall be reasonably necessary or required lawfully for the Company to consummate this Agreement and to issue the Capital Note and the Shares issued upon its conversion to be purchased by the Purchaser at the Closing.</w:t>
      </w:r>
    </w:p>
    <w:p>
      <w:pPr>
        <w:spacing w:after="0" w:line="141"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7.4 DELIVERY OF DOCUMENTS. All of the documents to be delivered by the Purchaser, and all actions to be performed or concluded pursuant to Section 2 by the Purchaser, shall be in a form and substance reasonably satisfactory to the Company and its counsel.</w:t>
      </w:r>
    </w:p>
    <w:p>
      <w:pPr>
        <w:spacing w:after="0" w:line="139"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7.5 ANTITRUST APPROVAL. To the extent required under law, the unconditional approval of the Comptroller to the consummation of the Closing under this Agreement has been received.</w:t>
      </w:r>
    </w:p>
    <w:p>
      <w:pPr>
        <w:spacing w:after="0" w:line="281"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- 7 -</w:t>
      </w:r>
    </w:p>
    <w:p>
      <w:pPr>
        <w:sectPr>
          <w:pgSz w:w="11900" w:h="16838" w:orient="portrait"/>
          <w:cols w:equalWidth="0" w:num="1">
            <w:col w:w="10244"/>
          </w:cols>
          <w:pgMar w:left="216" w:top="689" w:right="1440" w:bottom="1440" w:gutter="0" w:footer="0" w:header="0"/>
        </w:sectPr>
      </w:pPr>
    </w:p>
    <w:bookmarkStart w:id="28" w:name="page29"/>
    <w:bookmarkEnd w:id="28"/>
    <w:p>
      <w:pPr>
        <w:ind w:left="364" w:hanging="364"/>
        <w:spacing w:after="0"/>
        <w:tabs>
          <w:tab w:leader="none" w:pos="364" w:val="left"/>
        </w:tabs>
        <w:numPr>
          <w:ilvl w:val="0"/>
          <w:numId w:val="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COVENANTS. Between the date hereof, and the Closing Date:</w:t>
      </w:r>
    </w:p>
    <w:p>
      <w:pPr>
        <w:spacing w:after="0" w:line="147" w:lineRule="exact"/>
        <w:rPr>
          <w:sz w:val="20"/>
          <w:szCs w:val="20"/>
          <w:color w:val="auto"/>
        </w:rPr>
      </w:pPr>
    </w:p>
    <w:p>
      <w:pPr>
        <w:ind w:left="4" w:right="4639" w:firstLine="368"/>
        <w:spacing w:after="0" w:line="253" w:lineRule="auto"/>
        <w:rPr>
          <w:sz w:val="20"/>
          <w:szCs w:val="20"/>
          <w:color w:val="auto"/>
        </w:rPr>
      </w:pPr>
      <w:r>
        <w:rPr>
          <w:rFonts w:ascii="Courier New" w:cs="Courier New" w:eastAsia="Courier New" w:hAnsi="Courier New"/>
          <w:sz w:val="12"/>
          <w:szCs w:val="12"/>
          <w:color w:val="auto"/>
        </w:rPr>
        <w:t>8.1 ORDINARY COURSE. The Company will operate in the ordinary course of business as now being conducted and as currently proposed to be conducted.</w:t>
      </w:r>
    </w:p>
    <w:p>
      <w:pPr>
        <w:spacing w:after="0" w:line="138" w:lineRule="exact"/>
        <w:rPr>
          <w:sz w:val="20"/>
          <w:szCs w:val="20"/>
          <w:color w:val="auto"/>
        </w:rPr>
      </w:pPr>
    </w:p>
    <w:p>
      <w:pPr>
        <w:ind w:left="4" w:right="4579" w:firstLine="368"/>
        <w:spacing w:after="0" w:line="253" w:lineRule="auto"/>
        <w:rPr>
          <w:sz w:val="20"/>
          <w:szCs w:val="20"/>
          <w:color w:val="auto"/>
        </w:rPr>
      </w:pPr>
      <w:r>
        <w:rPr>
          <w:rFonts w:ascii="Courier New" w:cs="Courier New" w:eastAsia="Courier New" w:hAnsi="Courier New"/>
          <w:sz w:val="12"/>
          <w:szCs w:val="12"/>
          <w:color w:val="auto"/>
        </w:rPr>
        <w:t>8.2 DIVIDENDS. The Company will not declare, make or pay any dividend or other distribution.</w:t>
      </w:r>
    </w:p>
    <w:p>
      <w:pPr>
        <w:spacing w:after="0" w:line="138"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8.3 ACTIONS INCONSISTENT WITH THIS AGREEMENT. Neither the Purchaser nor the Company will take any action inconsistent with this Agreement. For the avoidance of any doubt, nothing herein shall require the Purchaser to take or refrain from taking any action as a shareholder or investor in the Company. Nothing herein shall prohibit the Purchaser from exercising, prior to the Closing, any rights it may have under the Equipment Purchase Agreement to sell the Purchased Assets or assign the Equipment Agreements to third parties.</w:t>
      </w:r>
    </w:p>
    <w:p>
      <w:pPr>
        <w:spacing w:after="0" w:line="141" w:lineRule="exact"/>
        <w:rPr>
          <w:sz w:val="20"/>
          <w:szCs w:val="20"/>
          <w:color w:val="auto"/>
        </w:rPr>
      </w:pPr>
    </w:p>
    <w:p>
      <w:pPr>
        <w:ind w:left="4" w:right="4359" w:hanging="4"/>
        <w:spacing w:after="0" w:line="251" w:lineRule="auto"/>
        <w:tabs>
          <w:tab w:leader="none" w:pos="225"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INDEMNIFICATION PURSUANT TO THE EQUIPMENT PURCHASE AGREEMENT. Nothing herein shall derogate from the Company's obligations to indemnify the Purchaser for any amount paid or incurred by the Purchaser pursuant to the Equipment Purchase Agreement.</w:t>
      </w:r>
    </w:p>
    <w:p>
      <w:pPr>
        <w:spacing w:after="0" w:line="139"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MISCELLANEOUS.</w:t>
      </w:r>
    </w:p>
    <w:p>
      <w:pPr>
        <w:spacing w:after="0" w:line="147" w:lineRule="exact"/>
        <w:rPr>
          <w:sz w:val="20"/>
          <w:szCs w:val="20"/>
          <w:color w:val="auto"/>
        </w:rPr>
      </w:pPr>
    </w:p>
    <w:p>
      <w:pPr>
        <w:ind w:left="4" w:right="4499" w:firstLine="368"/>
        <w:spacing w:after="0" w:line="251" w:lineRule="auto"/>
        <w:rPr>
          <w:sz w:val="20"/>
          <w:szCs w:val="20"/>
          <w:color w:val="auto"/>
        </w:rPr>
      </w:pPr>
      <w:r>
        <w:rPr>
          <w:rFonts w:ascii="Courier New" w:cs="Courier New" w:eastAsia="Courier New" w:hAnsi="Courier New"/>
          <w:sz w:val="12"/>
          <w:szCs w:val="12"/>
          <w:color w:val="auto"/>
        </w:rPr>
        <w:t>10.1 FURTHER ASSURANCES. Each of the parties hereto shall perform such further acts and execute such further documents as may reasonably be necessary to carry out and give full effect to the provisions of this Agreement and the intentions of the parties as reflected thereby.</w:t>
      </w:r>
    </w:p>
    <w:p>
      <w:pPr>
        <w:spacing w:after="0" w:line="139"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10.2 GOVERNING LAW; JURISDICTION. This Agreement will be governed by the laws of the State of Israel without regard to conflicts of law principles. Any suit, action or proceeding seeking to enforce any provision of, or based on any matter arising out of or in connection with, this Agreement or the transactions contemplated hereby may be brought in the Courts of Tel Aviv-Jaffa, and each of the parties hereby consents to the jurisdiction of such courts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141" w:lineRule="exact"/>
        <w:rPr>
          <w:sz w:val="20"/>
          <w:szCs w:val="20"/>
          <w:color w:val="auto"/>
        </w:rPr>
      </w:pPr>
    </w:p>
    <w:p>
      <w:pPr>
        <w:ind w:left="4" w:right="4419" w:firstLine="368"/>
        <w:spacing w:after="0" w:line="250" w:lineRule="auto"/>
        <w:rPr>
          <w:sz w:val="20"/>
          <w:szCs w:val="20"/>
          <w:color w:val="auto"/>
        </w:rPr>
      </w:pPr>
      <w:r>
        <w:rPr>
          <w:rFonts w:ascii="Courier New" w:cs="Courier New" w:eastAsia="Courier New" w:hAnsi="Courier New"/>
          <w:sz w:val="12"/>
          <w:szCs w:val="12"/>
          <w:color w:val="auto"/>
        </w:rPr>
        <w:t>10.3 SUCCESSORS AND ASSIGNS; ASSIGNMENT. Except as otherwise expressly limited herein, the provisions hereof shall inure to the benefit of, and be binding upon, the successors, assigns, heirs, executors, and administrators of the parties hereto. This Agreement may not be assigned by any party without the prior written consent of the other party hereto. However, all of Tower's rights to receive cash, but none of its obligations, under this Agreement may be assigned by Tower, including by way of a first ranking fixed pledge and charge, in favor of the Banks (or the permitted successors or assignees of the Banks), provided that such pledges or charges shall not take effect on any portion of the Share Purchase Price that could be set off against other obligations of the Company.</w:t>
      </w:r>
    </w:p>
    <w:p>
      <w:pPr>
        <w:spacing w:after="0" w:line="283"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- 8 -</w:t>
      </w:r>
    </w:p>
    <w:p>
      <w:pPr>
        <w:sectPr>
          <w:pgSz w:w="11900" w:h="16838" w:orient="portrait"/>
          <w:cols w:equalWidth="0" w:num="1">
            <w:col w:w="10244"/>
          </w:cols>
          <w:pgMar w:left="216" w:top="689" w:right="1440" w:bottom="1440" w:gutter="0" w:footer="0" w:header="0"/>
        </w:sectPr>
      </w:pPr>
    </w:p>
    <w:bookmarkStart w:id="29" w:name="page30"/>
    <w:bookmarkEnd w:id="29"/>
    <w:p>
      <w:pPr>
        <w:ind w:right="4879" w:firstLine="368"/>
        <w:spacing w:after="0" w:line="253" w:lineRule="auto"/>
        <w:rPr>
          <w:sz w:val="20"/>
          <w:szCs w:val="20"/>
          <w:color w:val="auto"/>
        </w:rPr>
      </w:pPr>
      <w:r>
        <w:rPr>
          <w:rFonts w:ascii="Courier New" w:cs="Courier New" w:eastAsia="Courier New" w:hAnsi="Courier New"/>
          <w:sz w:val="12"/>
          <w:szCs w:val="12"/>
          <w:color w:val="auto"/>
        </w:rPr>
        <w:t>10.4 EXPENSES. The Company shall bear the expenses and costs of both parties to the transactions contemplated hereby.</w:t>
      </w:r>
    </w:p>
    <w:p>
      <w:pPr>
        <w:spacing w:after="0" w:line="138" w:lineRule="exact"/>
        <w:rPr>
          <w:sz w:val="20"/>
          <w:szCs w:val="20"/>
          <w:color w:val="auto"/>
        </w:rPr>
      </w:pPr>
    </w:p>
    <w:p>
      <w:pPr>
        <w:ind w:right="4419" w:firstLine="368"/>
        <w:spacing w:after="0" w:line="250" w:lineRule="auto"/>
        <w:rPr>
          <w:sz w:val="20"/>
          <w:szCs w:val="20"/>
          <w:color w:val="auto"/>
        </w:rPr>
      </w:pPr>
      <w:r>
        <w:rPr>
          <w:rFonts w:ascii="Courier New" w:cs="Courier New" w:eastAsia="Courier New" w:hAnsi="Courier New"/>
          <w:sz w:val="12"/>
          <w:szCs w:val="12"/>
          <w:color w:val="auto"/>
        </w:rPr>
        <w:t>10.5 ENTIRE AGREEMENT; AMENDMENT AND WAIVER. This Agreement, the Schedules hereto and the Equipment Purchase Agreement, constitute the full and entire understanding and agreement between the parties with regard to the subject matters hereof and thereof.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141" w:lineRule="exact"/>
        <w:rPr>
          <w:sz w:val="20"/>
          <w:szCs w:val="20"/>
          <w:color w:val="auto"/>
        </w:rPr>
      </w:pPr>
    </w:p>
    <w:p>
      <w:pPr>
        <w:ind w:right="4359" w:firstLine="368"/>
        <w:spacing w:after="0" w:line="250" w:lineRule="auto"/>
        <w:rPr>
          <w:sz w:val="20"/>
          <w:szCs w:val="20"/>
          <w:color w:val="auto"/>
        </w:rPr>
      </w:pPr>
      <w:r>
        <w:rPr>
          <w:rFonts w:ascii="Courier New" w:cs="Courier New" w:eastAsia="Courier New" w:hAnsi="Courier New"/>
          <w:sz w:val="12"/>
          <w:szCs w:val="12"/>
          <w:color w:val="auto"/>
        </w:rPr>
        <w:t>10.6 NOTICES, ETC. 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 or at such other address as the party shall have furnished to each other party in writing in accordance with this provision:</w:t>
      </w:r>
    </w:p>
    <w:p>
      <w:pPr>
        <w:spacing w:after="0" w:line="141" w:lineRule="exact"/>
        <w:rPr>
          <w:sz w:val="20"/>
          <w:szCs w:val="20"/>
          <w:color w:val="auto"/>
        </w:rPr>
      </w:pPr>
    </w:p>
    <w:tbl>
      <w:tblPr>
        <w:tblLayout w:type="fixed"/>
        <w:tblInd w:w="1320" w:type="dxa"/>
        <w:tblCellMar>
          <w:top w:w="0" w:type="dxa"/>
          <w:left w:w="0" w:type="dxa"/>
          <w:bottom w:w="0" w:type="dxa"/>
          <w:right w:w="0" w:type="dxa"/>
        </w:tblCellMar>
      </w:tblPr>
      <w:tr>
        <w:trPr>
          <w:trHeight w:val="138"/>
        </w:trPr>
        <w:tc>
          <w:tcPr>
            <w:tcW w:w="1700" w:type="dxa"/>
            <w:vAlign w:val="bottom"/>
          </w:tcPr>
          <w:p>
            <w:pPr>
              <w:spacing w:after="0"/>
              <w:rPr>
                <w:sz w:val="20"/>
                <w:szCs w:val="20"/>
                <w:color w:val="auto"/>
              </w:rPr>
            </w:pPr>
            <w:r>
              <w:rPr>
                <w:rFonts w:ascii="Courier New" w:cs="Courier New" w:eastAsia="Courier New" w:hAnsi="Courier New"/>
                <w:sz w:val="12"/>
                <w:szCs w:val="12"/>
                <w:color w:val="auto"/>
              </w:rPr>
              <w:t>If to the Purchaser:</w:t>
            </w: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Israel Corporation Ltd.</w:t>
            </w:r>
          </w:p>
        </w:tc>
      </w:tr>
      <w:tr>
        <w:trPr>
          <w:trHeight w:val="142"/>
        </w:trPr>
        <w:tc>
          <w:tcPr>
            <w:tcW w:w="1700" w:type="dxa"/>
            <w:vAlign w:val="bottom"/>
          </w:tcPr>
          <w:p>
            <w:pPr>
              <w:spacing w:after="0"/>
              <w:rPr>
                <w:sz w:val="12"/>
                <w:szCs w:val="12"/>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Millennium Tower,</w:t>
            </w:r>
          </w:p>
        </w:tc>
      </w:tr>
      <w:tr>
        <w:trPr>
          <w:trHeight w:val="142"/>
        </w:trPr>
        <w:tc>
          <w:tcPr>
            <w:tcW w:w="1700" w:type="dxa"/>
            <w:vAlign w:val="bottom"/>
          </w:tcPr>
          <w:p>
            <w:pPr>
              <w:spacing w:after="0"/>
              <w:rPr>
                <w:sz w:val="12"/>
                <w:szCs w:val="12"/>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23 Aranha St.</w:t>
            </w:r>
          </w:p>
        </w:tc>
      </w:tr>
      <w:tr>
        <w:trPr>
          <w:trHeight w:val="142"/>
        </w:trPr>
        <w:tc>
          <w:tcPr>
            <w:tcW w:w="1700" w:type="dxa"/>
            <w:vAlign w:val="bottom"/>
          </w:tcPr>
          <w:p>
            <w:pPr>
              <w:spacing w:after="0"/>
              <w:rPr>
                <w:sz w:val="12"/>
                <w:szCs w:val="12"/>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Tel Aviv Israel 61070</w:t>
            </w:r>
          </w:p>
        </w:tc>
      </w:tr>
      <w:tr>
        <w:trPr>
          <w:trHeight w:val="142"/>
        </w:trPr>
        <w:tc>
          <w:tcPr>
            <w:tcW w:w="1700" w:type="dxa"/>
            <w:vAlign w:val="bottom"/>
          </w:tcPr>
          <w:p>
            <w:pPr>
              <w:spacing w:after="0"/>
              <w:rPr>
                <w:sz w:val="12"/>
                <w:szCs w:val="12"/>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Fax: 972-3-684-4574</w:t>
            </w:r>
          </w:p>
        </w:tc>
      </w:tr>
      <w:tr>
        <w:trPr>
          <w:trHeight w:val="142"/>
        </w:trPr>
        <w:tc>
          <w:tcPr>
            <w:tcW w:w="1700" w:type="dxa"/>
            <w:vAlign w:val="bottom"/>
          </w:tcPr>
          <w:p>
            <w:pPr>
              <w:spacing w:after="0"/>
              <w:rPr>
                <w:sz w:val="12"/>
                <w:szCs w:val="12"/>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Attn: Chief Financial Officer</w:t>
            </w:r>
          </w:p>
        </w:tc>
      </w:tr>
      <w:tr>
        <w:trPr>
          <w:trHeight w:val="283"/>
        </w:trPr>
        <w:tc>
          <w:tcPr>
            <w:tcW w:w="1700" w:type="dxa"/>
            <w:vAlign w:val="bottom"/>
          </w:tcPr>
          <w:p>
            <w:pPr>
              <w:spacing w:after="0"/>
              <w:rPr>
                <w:sz w:val="20"/>
                <w:szCs w:val="20"/>
                <w:color w:val="auto"/>
              </w:rPr>
            </w:pPr>
            <w:r>
              <w:rPr>
                <w:rFonts w:ascii="Courier New" w:cs="Courier New" w:eastAsia="Courier New" w:hAnsi="Courier New"/>
                <w:sz w:val="12"/>
                <w:szCs w:val="12"/>
                <w:color w:val="auto"/>
              </w:rPr>
              <w:t>with a copy to</w:t>
            </w: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42"/>
        </w:trPr>
        <w:tc>
          <w:tcPr>
            <w:tcW w:w="1700" w:type="dxa"/>
            <w:vAlign w:val="bottom"/>
          </w:tcPr>
          <w:p>
            <w:pPr>
              <w:spacing w:after="0"/>
              <w:rPr>
                <w:sz w:val="20"/>
                <w:szCs w:val="20"/>
                <w:color w:val="auto"/>
              </w:rPr>
            </w:pPr>
            <w:r>
              <w:rPr>
                <w:rFonts w:ascii="Courier New" w:cs="Courier New" w:eastAsia="Courier New" w:hAnsi="Courier New"/>
                <w:sz w:val="12"/>
                <w:szCs w:val="12"/>
                <w:color w:val="auto"/>
              </w:rPr>
              <w:t>(which shall not</w:t>
            </w:r>
          </w:p>
        </w:tc>
        <w:tc>
          <w:tcPr>
            <w:tcW w:w="66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2"/>
        </w:trPr>
        <w:tc>
          <w:tcPr>
            <w:tcW w:w="1700" w:type="dxa"/>
            <w:vAlign w:val="bottom"/>
          </w:tcPr>
          <w:p>
            <w:pPr>
              <w:spacing w:after="0"/>
              <w:rPr>
                <w:sz w:val="20"/>
                <w:szCs w:val="20"/>
                <w:color w:val="auto"/>
              </w:rPr>
            </w:pPr>
            <w:r>
              <w:rPr>
                <w:rFonts w:ascii="Courier New" w:cs="Courier New" w:eastAsia="Courier New" w:hAnsi="Courier New"/>
                <w:sz w:val="12"/>
                <w:szCs w:val="12"/>
                <w:color w:val="auto"/>
              </w:rPr>
              <w:t>constitute notice):</w:t>
            </w: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Gornitzky &amp; Co.</w:t>
            </w:r>
          </w:p>
        </w:tc>
      </w:tr>
      <w:tr>
        <w:trPr>
          <w:trHeight w:val="142"/>
        </w:trPr>
        <w:tc>
          <w:tcPr>
            <w:tcW w:w="1700" w:type="dxa"/>
            <w:vAlign w:val="bottom"/>
          </w:tcPr>
          <w:p>
            <w:pPr>
              <w:spacing w:after="0"/>
              <w:rPr>
                <w:sz w:val="12"/>
                <w:szCs w:val="12"/>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45 Rothschild Blvd.,</w:t>
            </w:r>
          </w:p>
        </w:tc>
      </w:tr>
      <w:tr>
        <w:trPr>
          <w:trHeight w:val="142"/>
        </w:trPr>
        <w:tc>
          <w:tcPr>
            <w:tcW w:w="1700" w:type="dxa"/>
            <w:vAlign w:val="bottom"/>
          </w:tcPr>
          <w:p>
            <w:pPr>
              <w:spacing w:after="0"/>
              <w:rPr>
                <w:sz w:val="12"/>
                <w:szCs w:val="12"/>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Tel-Aviv 65784 Israel</w:t>
            </w:r>
          </w:p>
        </w:tc>
      </w:tr>
      <w:tr>
        <w:trPr>
          <w:trHeight w:val="142"/>
        </w:trPr>
        <w:tc>
          <w:tcPr>
            <w:tcW w:w="1700" w:type="dxa"/>
            <w:vAlign w:val="bottom"/>
          </w:tcPr>
          <w:p>
            <w:pPr>
              <w:spacing w:after="0"/>
              <w:rPr>
                <w:sz w:val="12"/>
                <w:szCs w:val="12"/>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Fax: 972-3-560-6555</w:t>
            </w:r>
          </w:p>
        </w:tc>
      </w:tr>
      <w:tr>
        <w:trPr>
          <w:trHeight w:val="142"/>
        </w:trPr>
        <w:tc>
          <w:tcPr>
            <w:tcW w:w="1700" w:type="dxa"/>
            <w:vAlign w:val="bottom"/>
          </w:tcPr>
          <w:p>
            <w:pPr>
              <w:spacing w:after="0"/>
              <w:rPr>
                <w:sz w:val="12"/>
                <w:szCs w:val="12"/>
                <w:color w:val="auto"/>
              </w:rPr>
            </w:pPr>
          </w:p>
        </w:tc>
        <w:tc>
          <w:tcPr>
            <w:tcW w:w="660" w:type="dxa"/>
            <w:vAlign w:val="bottom"/>
          </w:tcPr>
          <w:p>
            <w:pPr>
              <w:ind w:left="220"/>
              <w:spacing w:after="0"/>
              <w:rPr>
                <w:sz w:val="20"/>
                <w:szCs w:val="20"/>
                <w:color w:val="auto"/>
              </w:rPr>
            </w:pPr>
            <w:r>
              <w:rPr>
                <w:rFonts w:ascii="Courier New" w:cs="Courier New" w:eastAsia="Courier New" w:hAnsi="Courier New"/>
                <w:sz w:val="12"/>
                <w:szCs w:val="12"/>
                <w:color w:val="auto"/>
              </w:rPr>
              <w:t>Attn:</w:t>
            </w:r>
          </w:p>
        </w:tc>
        <w:tc>
          <w:tcPr>
            <w:tcW w:w="1760" w:type="dxa"/>
            <w:vAlign w:val="bottom"/>
          </w:tcPr>
          <w:p>
            <w:pPr>
              <w:ind w:left="80"/>
              <w:spacing w:after="0"/>
              <w:rPr>
                <w:sz w:val="20"/>
                <w:szCs w:val="20"/>
                <w:color w:val="auto"/>
              </w:rPr>
            </w:pPr>
            <w:r>
              <w:rPr>
                <w:rFonts w:ascii="Courier New" w:cs="Courier New" w:eastAsia="Courier New" w:hAnsi="Courier New"/>
                <w:sz w:val="12"/>
                <w:szCs w:val="12"/>
                <w:color w:val="auto"/>
              </w:rPr>
              <w:t>Adv. Zvi Ephrat</w:t>
            </w:r>
          </w:p>
        </w:tc>
      </w:tr>
      <w:tr>
        <w:trPr>
          <w:trHeight w:val="283"/>
        </w:trPr>
        <w:tc>
          <w:tcPr>
            <w:tcW w:w="1700" w:type="dxa"/>
            <w:vAlign w:val="bottom"/>
          </w:tcPr>
          <w:p>
            <w:pPr>
              <w:spacing w:after="0"/>
              <w:rPr>
                <w:sz w:val="20"/>
                <w:szCs w:val="20"/>
                <w:color w:val="auto"/>
              </w:rPr>
            </w:pPr>
            <w:r>
              <w:rPr>
                <w:rFonts w:ascii="Courier New" w:cs="Courier New" w:eastAsia="Courier New" w:hAnsi="Courier New"/>
                <w:sz w:val="12"/>
                <w:szCs w:val="12"/>
                <w:color w:val="auto"/>
              </w:rPr>
              <w:t>if to the Company:</w:t>
            </w: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Tower Semiconductor Ltd.</w:t>
            </w:r>
          </w:p>
        </w:tc>
      </w:tr>
      <w:tr>
        <w:trPr>
          <w:trHeight w:val="142"/>
        </w:trPr>
        <w:tc>
          <w:tcPr>
            <w:tcW w:w="1700" w:type="dxa"/>
            <w:vAlign w:val="bottom"/>
          </w:tcPr>
          <w:p>
            <w:pPr>
              <w:spacing w:after="0"/>
              <w:rPr>
                <w:sz w:val="12"/>
                <w:szCs w:val="12"/>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Ramat Gavriel Industrial Area</w:t>
            </w:r>
          </w:p>
        </w:tc>
      </w:tr>
      <w:tr>
        <w:trPr>
          <w:trHeight w:val="142"/>
        </w:trPr>
        <w:tc>
          <w:tcPr>
            <w:tcW w:w="1700" w:type="dxa"/>
            <w:vAlign w:val="bottom"/>
          </w:tcPr>
          <w:p>
            <w:pPr>
              <w:spacing w:after="0"/>
              <w:rPr>
                <w:sz w:val="12"/>
                <w:szCs w:val="12"/>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P.O. Box 619</w:t>
            </w:r>
          </w:p>
        </w:tc>
      </w:tr>
      <w:tr>
        <w:trPr>
          <w:trHeight w:val="142"/>
        </w:trPr>
        <w:tc>
          <w:tcPr>
            <w:tcW w:w="1700" w:type="dxa"/>
            <w:vAlign w:val="bottom"/>
          </w:tcPr>
          <w:p>
            <w:pPr>
              <w:spacing w:after="0"/>
              <w:rPr>
                <w:sz w:val="12"/>
                <w:szCs w:val="12"/>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Migdal Haemek Israel 23105</w:t>
            </w:r>
          </w:p>
        </w:tc>
      </w:tr>
      <w:tr>
        <w:trPr>
          <w:trHeight w:val="142"/>
        </w:trPr>
        <w:tc>
          <w:tcPr>
            <w:tcW w:w="1700" w:type="dxa"/>
            <w:vAlign w:val="bottom"/>
          </w:tcPr>
          <w:p>
            <w:pPr>
              <w:spacing w:after="0"/>
              <w:rPr>
                <w:sz w:val="12"/>
                <w:szCs w:val="12"/>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Fax. 972-4-6047242</w:t>
            </w:r>
          </w:p>
        </w:tc>
      </w:tr>
      <w:tr>
        <w:trPr>
          <w:trHeight w:val="142"/>
        </w:trPr>
        <w:tc>
          <w:tcPr>
            <w:tcW w:w="1700" w:type="dxa"/>
            <w:vAlign w:val="bottom"/>
          </w:tcPr>
          <w:p>
            <w:pPr>
              <w:spacing w:after="0"/>
              <w:rPr>
                <w:sz w:val="12"/>
                <w:szCs w:val="12"/>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Attn: Oren Shirazi, Acting CFO</w:t>
            </w:r>
          </w:p>
        </w:tc>
      </w:tr>
      <w:tr>
        <w:trPr>
          <w:trHeight w:val="283"/>
        </w:trPr>
        <w:tc>
          <w:tcPr>
            <w:tcW w:w="1700" w:type="dxa"/>
            <w:vAlign w:val="bottom"/>
          </w:tcPr>
          <w:p>
            <w:pPr>
              <w:spacing w:after="0"/>
              <w:rPr>
                <w:sz w:val="20"/>
                <w:szCs w:val="20"/>
                <w:color w:val="auto"/>
              </w:rPr>
            </w:pPr>
            <w:r>
              <w:rPr>
                <w:rFonts w:ascii="Courier New" w:cs="Courier New" w:eastAsia="Courier New" w:hAnsi="Courier New"/>
                <w:sz w:val="12"/>
                <w:szCs w:val="12"/>
                <w:color w:val="auto"/>
              </w:rPr>
              <w:t>with a copy to</w:t>
            </w: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42"/>
        </w:trPr>
        <w:tc>
          <w:tcPr>
            <w:tcW w:w="1700" w:type="dxa"/>
            <w:vAlign w:val="bottom"/>
          </w:tcPr>
          <w:p>
            <w:pPr>
              <w:spacing w:after="0"/>
              <w:rPr>
                <w:sz w:val="20"/>
                <w:szCs w:val="20"/>
                <w:color w:val="auto"/>
              </w:rPr>
            </w:pPr>
            <w:r>
              <w:rPr>
                <w:rFonts w:ascii="Courier New" w:cs="Courier New" w:eastAsia="Courier New" w:hAnsi="Courier New"/>
                <w:sz w:val="12"/>
                <w:szCs w:val="12"/>
                <w:color w:val="auto"/>
              </w:rPr>
              <w:t>(which shall not</w:t>
            </w:r>
          </w:p>
        </w:tc>
        <w:tc>
          <w:tcPr>
            <w:tcW w:w="66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2"/>
        </w:trPr>
        <w:tc>
          <w:tcPr>
            <w:tcW w:w="1700" w:type="dxa"/>
            <w:vAlign w:val="bottom"/>
          </w:tcPr>
          <w:p>
            <w:pPr>
              <w:spacing w:after="0"/>
              <w:rPr>
                <w:sz w:val="20"/>
                <w:szCs w:val="20"/>
                <w:color w:val="auto"/>
              </w:rPr>
            </w:pPr>
            <w:r>
              <w:rPr>
                <w:rFonts w:ascii="Courier New" w:cs="Courier New" w:eastAsia="Courier New" w:hAnsi="Courier New"/>
                <w:sz w:val="12"/>
                <w:szCs w:val="12"/>
                <w:color w:val="auto"/>
              </w:rPr>
              <w:t>constitute notice):</w:t>
            </w: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Yigal Arnon &amp; Co.</w:t>
            </w:r>
          </w:p>
        </w:tc>
      </w:tr>
      <w:tr>
        <w:trPr>
          <w:trHeight w:val="142"/>
        </w:trPr>
        <w:tc>
          <w:tcPr>
            <w:tcW w:w="1700" w:type="dxa"/>
            <w:vAlign w:val="bottom"/>
          </w:tcPr>
          <w:p>
            <w:pPr>
              <w:spacing w:after="0"/>
              <w:rPr>
                <w:sz w:val="12"/>
                <w:szCs w:val="12"/>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1 Azrieli Center</w:t>
            </w:r>
          </w:p>
        </w:tc>
      </w:tr>
      <w:tr>
        <w:trPr>
          <w:trHeight w:val="142"/>
        </w:trPr>
        <w:tc>
          <w:tcPr>
            <w:tcW w:w="1700" w:type="dxa"/>
            <w:vAlign w:val="bottom"/>
          </w:tcPr>
          <w:p>
            <w:pPr>
              <w:spacing w:after="0"/>
              <w:rPr>
                <w:sz w:val="12"/>
                <w:szCs w:val="12"/>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46th Floor</w:t>
            </w:r>
          </w:p>
        </w:tc>
      </w:tr>
      <w:tr>
        <w:trPr>
          <w:trHeight w:val="142"/>
        </w:trPr>
        <w:tc>
          <w:tcPr>
            <w:tcW w:w="1700" w:type="dxa"/>
            <w:vAlign w:val="bottom"/>
          </w:tcPr>
          <w:p>
            <w:pPr>
              <w:spacing w:after="0"/>
              <w:rPr>
                <w:sz w:val="12"/>
                <w:szCs w:val="12"/>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Tel Aviv, Israel, 67021</w:t>
            </w:r>
          </w:p>
        </w:tc>
      </w:tr>
      <w:tr>
        <w:trPr>
          <w:trHeight w:val="142"/>
        </w:trPr>
        <w:tc>
          <w:tcPr>
            <w:tcW w:w="1700" w:type="dxa"/>
            <w:vAlign w:val="bottom"/>
          </w:tcPr>
          <w:p>
            <w:pPr>
              <w:spacing w:after="0"/>
              <w:rPr>
                <w:sz w:val="12"/>
                <w:szCs w:val="12"/>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Fax: 03-608-7714</w:t>
            </w:r>
          </w:p>
        </w:tc>
      </w:tr>
      <w:tr>
        <w:trPr>
          <w:trHeight w:val="142"/>
        </w:trPr>
        <w:tc>
          <w:tcPr>
            <w:tcW w:w="1700" w:type="dxa"/>
            <w:vAlign w:val="bottom"/>
          </w:tcPr>
          <w:p>
            <w:pPr>
              <w:spacing w:after="0"/>
              <w:rPr>
                <w:sz w:val="12"/>
                <w:szCs w:val="12"/>
                <w:color w:val="auto"/>
              </w:rPr>
            </w:pPr>
          </w:p>
        </w:tc>
        <w:tc>
          <w:tcPr>
            <w:tcW w:w="660" w:type="dxa"/>
            <w:vAlign w:val="bottom"/>
          </w:tcPr>
          <w:p>
            <w:pPr>
              <w:ind w:left="220"/>
              <w:spacing w:after="0"/>
              <w:rPr>
                <w:sz w:val="20"/>
                <w:szCs w:val="20"/>
                <w:color w:val="auto"/>
              </w:rPr>
            </w:pPr>
            <w:r>
              <w:rPr>
                <w:rFonts w:ascii="Courier New" w:cs="Courier New" w:eastAsia="Courier New" w:hAnsi="Courier New"/>
                <w:sz w:val="12"/>
                <w:szCs w:val="12"/>
                <w:color w:val="auto"/>
              </w:rPr>
              <w:t>Attn:</w:t>
            </w:r>
          </w:p>
        </w:tc>
        <w:tc>
          <w:tcPr>
            <w:tcW w:w="1760" w:type="dxa"/>
            <w:vAlign w:val="bottom"/>
          </w:tcPr>
          <w:p>
            <w:pPr>
              <w:ind w:left="80"/>
              <w:spacing w:after="0"/>
              <w:rPr>
                <w:sz w:val="20"/>
                <w:szCs w:val="20"/>
                <w:color w:val="auto"/>
              </w:rPr>
            </w:pPr>
            <w:r>
              <w:rPr>
                <w:rFonts w:ascii="Courier New" w:cs="Courier New" w:eastAsia="Courier New" w:hAnsi="Courier New"/>
                <w:sz w:val="12"/>
                <w:szCs w:val="12"/>
                <w:color w:val="auto"/>
              </w:rPr>
              <w:t>David Schapiro, Adv.</w:t>
            </w:r>
          </w:p>
        </w:tc>
      </w:tr>
    </w:tbl>
    <w:p>
      <w:pPr>
        <w:spacing w:after="0" w:line="287"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- 9 -</w:t>
      </w:r>
    </w:p>
    <w:p>
      <w:pPr>
        <w:sectPr>
          <w:pgSz w:w="11900" w:h="16838" w:orient="portrait"/>
          <w:cols w:equalWidth="0" w:num="1">
            <w:col w:w="10239"/>
          </w:cols>
          <w:pgMar w:left="220" w:top="689" w:right="1440" w:bottom="1440" w:gutter="0" w:footer="0" w:header="0"/>
        </w:sectPr>
      </w:pPr>
    </w:p>
    <w:bookmarkStart w:id="30" w:name="page31"/>
    <w:bookmarkEnd w:id="30"/>
    <w:p>
      <w:pPr>
        <w:ind w:right="4419" w:firstLine="368"/>
        <w:spacing w:after="0" w:line="250" w:lineRule="auto"/>
        <w:rPr>
          <w:sz w:val="20"/>
          <w:szCs w:val="20"/>
          <w:color w:val="auto"/>
        </w:rPr>
      </w:pPr>
      <w:r>
        <w:rPr>
          <w:rFonts w:ascii="Courier New" w:cs="Courier New" w:eastAsia="Courier New" w:hAnsi="Courier New"/>
          <w:sz w:val="12"/>
          <w:szCs w:val="12"/>
          <w:color w:val="auto"/>
        </w:rPr>
        <w:t>or such other address with respect to a party as such party shall notify each other party in writing as above provided. Any notice sent in accordance with this Section 10.6 shall be effective (i) if mailed, five (5) business days after mailing, (ii) if sent by messenger, upon delivery, and (iii) if sent via facsimile, one (1) business day following transmission and electronic confirmation of receipt.</w:t>
      </w:r>
    </w:p>
    <w:p>
      <w:pPr>
        <w:spacing w:after="0" w:line="141" w:lineRule="exact"/>
        <w:rPr>
          <w:sz w:val="20"/>
          <w:szCs w:val="20"/>
          <w:color w:val="auto"/>
        </w:rPr>
      </w:pPr>
    </w:p>
    <w:p>
      <w:pPr>
        <w:ind w:right="4359" w:firstLine="368"/>
        <w:spacing w:after="0" w:line="250" w:lineRule="auto"/>
        <w:rPr>
          <w:sz w:val="20"/>
          <w:szCs w:val="20"/>
          <w:color w:val="auto"/>
        </w:rPr>
      </w:pPr>
      <w:r>
        <w:rPr>
          <w:rFonts w:ascii="Courier New" w:cs="Courier New" w:eastAsia="Courier New" w:hAnsi="Courier New"/>
          <w:sz w:val="12"/>
          <w:szCs w:val="12"/>
          <w:color w:val="auto"/>
        </w:rPr>
        <w:t>10.7 DELAYS OR OMISSIONS.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141" w:lineRule="exact"/>
        <w:rPr>
          <w:sz w:val="20"/>
          <w:szCs w:val="20"/>
          <w:color w:val="auto"/>
        </w:rPr>
      </w:pPr>
    </w:p>
    <w:p>
      <w:pPr>
        <w:ind w:right="4359" w:firstLine="368"/>
        <w:spacing w:after="0" w:line="250" w:lineRule="auto"/>
        <w:rPr>
          <w:sz w:val="20"/>
          <w:szCs w:val="20"/>
          <w:color w:val="auto"/>
        </w:rPr>
      </w:pPr>
      <w:r>
        <w:rPr>
          <w:rFonts w:ascii="Courier New" w:cs="Courier New" w:eastAsia="Courier New" w:hAnsi="Courier New"/>
          <w:sz w:val="12"/>
          <w:szCs w:val="12"/>
          <w:color w:val="auto"/>
        </w:rPr>
        <w:t>10.8 SEVERABILITY.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283" w:lineRule="exact"/>
        <w:rPr>
          <w:sz w:val="20"/>
          <w:szCs w:val="20"/>
          <w:color w:val="auto"/>
        </w:rPr>
      </w:pPr>
    </w:p>
    <w:p>
      <w:pPr>
        <w:ind w:right="4499" w:firstLine="368"/>
        <w:spacing w:after="0" w:line="251" w:lineRule="auto"/>
        <w:rPr>
          <w:sz w:val="20"/>
          <w:szCs w:val="20"/>
          <w:color w:val="auto"/>
        </w:rPr>
      </w:pPr>
      <w:r>
        <w:rPr>
          <w:rFonts w:ascii="Courier New" w:cs="Courier New" w:eastAsia="Courier New" w:hAnsi="Courier New"/>
          <w:sz w:val="12"/>
          <w:szCs w:val="12"/>
          <w:color w:val="auto"/>
        </w:rPr>
        <w:t>10.9 COUNTERPARTS. This Agreement may be executed in any number of counterparts (including facsimile counterparts), each of which shall be deemed an original, and all of which together shall constitute one and the same instrument.</w:t>
      </w:r>
    </w:p>
    <w:p>
      <w:pPr>
        <w:spacing w:after="0" w:line="139" w:lineRule="exact"/>
        <w:rPr>
          <w:sz w:val="20"/>
          <w:szCs w:val="20"/>
          <w:color w:val="auto"/>
        </w:rPr>
      </w:pPr>
    </w:p>
    <w:p>
      <w:pPr>
        <w:ind w:right="4939" w:firstLine="368"/>
        <w:spacing w:after="0" w:line="251" w:lineRule="auto"/>
        <w:rPr>
          <w:sz w:val="20"/>
          <w:szCs w:val="20"/>
          <w:color w:val="auto"/>
        </w:rPr>
      </w:pPr>
      <w:r>
        <w:rPr>
          <w:rFonts w:ascii="Courier New" w:cs="Courier New" w:eastAsia="Courier New" w:hAnsi="Courier New"/>
          <w:sz w:val="12"/>
          <w:szCs w:val="12"/>
          <w:color w:val="auto"/>
        </w:rPr>
        <w:t>10.10 HEADINGS. The headings of the sections and paragraphs of this Agreement are inserted for convenience only and shall not be deemed to constitute part of this Agreement or to affect the construction hereof.</w:t>
      </w:r>
    </w:p>
    <w:p>
      <w:pPr>
        <w:spacing w:after="0" w:line="140" w:lineRule="exact"/>
        <w:rPr>
          <w:sz w:val="20"/>
          <w:szCs w:val="20"/>
          <w:color w:val="auto"/>
        </w:rPr>
      </w:pPr>
    </w:p>
    <w:p>
      <w:pPr>
        <w:ind w:right="4359" w:firstLine="368"/>
        <w:spacing w:after="0" w:line="253" w:lineRule="auto"/>
        <w:rPr>
          <w:sz w:val="20"/>
          <w:szCs w:val="20"/>
          <w:color w:val="auto"/>
        </w:rPr>
      </w:pPr>
      <w:r>
        <w:rPr>
          <w:rFonts w:ascii="Courier New" w:cs="Courier New" w:eastAsia="Courier New" w:hAnsi="Courier New"/>
          <w:sz w:val="12"/>
          <w:szCs w:val="12"/>
          <w:color w:val="auto"/>
        </w:rPr>
        <w:t>IN WITNESS WHEREOF, each of the parties has signed this Agreement as of the date first hereinabove set forth.</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00" w:type="dxa"/>
            <w:vAlign w:val="bottom"/>
            <w:gridSpan w:val="2"/>
          </w:tcPr>
          <w:p>
            <w:pPr>
              <w:spacing w:after="0"/>
              <w:rPr>
                <w:sz w:val="20"/>
                <w:szCs w:val="20"/>
                <w:color w:val="auto"/>
              </w:rPr>
            </w:pPr>
            <w:r>
              <w:rPr>
                <w:rFonts w:ascii="Courier New" w:cs="Courier New" w:eastAsia="Courier New" w:hAnsi="Courier New"/>
                <w:sz w:val="12"/>
                <w:szCs w:val="12"/>
                <w:color w:val="auto"/>
              </w:rPr>
              <w:t>TOWER SEMICONDUCTOR LTD.</w:t>
            </w:r>
          </w:p>
        </w:tc>
        <w:tc>
          <w:tcPr>
            <w:tcW w:w="3380" w:type="dxa"/>
            <w:vAlign w:val="bottom"/>
          </w:tcPr>
          <w:p>
            <w:pPr>
              <w:ind w:left="1100"/>
              <w:spacing w:after="0"/>
              <w:rPr>
                <w:sz w:val="20"/>
                <w:szCs w:val="20"/>
                <w:color w:val="auto"/>
              </w:rPr>
            </w:pPr>
            <w:r>
              <w:rPr>
                <w:rFonts w:ascii="Courier New" w:cs="Courier New" w:eastAsia="Courier New" w:hAnsi="Courier New"/>
                <w:sz w:val="12"/>
                <w:szCs w:val="12"/>
                <w:color w:val="auto"/>
              </w:rPr>
              <w:t>ISRAEL CORPORATION LTD.</w:t>
            </w:r>
          </w:p>
        </w:tc>
      </w:tr>
      <w:tr>
        <w:trPr>
          <w:trHeight w:val="283"/>
        </w:trPr>
        <w:tc>
          <w:tcPr>
            <w:tcW w:w="440" w:type="dxa"/>
            <w:vAlign w:val="bottom"/>
          </w:tcPr>
          <w:p>
            <w:pPr>
              <w:spacing w:after="0"/>
              <w:rPr>
                <w:sz w:val="20"/>
                <w:szCs w:val="20"/>
                <w:color w:val="auto"/>
              </w:rPr>
            </w:pPr>
            <w:r>
              <w:rPr>
                <w:rFonts w:ascii="Courier New" w:cs="Courier New" w:eastAsia="Courier New" w:hAnsi="Courier New"/>
                <w:sz w:val="12"/>
                <w:szCs w:val="12"/>
                <w:color w:val="auto"/>
              </w:rPr>
              <w:t>By:</w:t>
            </w:r>
          </w:p>
        </w:tc>
        <w:tc>
          <w:tcPr>
            <w:tcW w:w="2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________________________</w:t>
            </w:r>
          </w:p>
        </w:tc>
        <w:tc>
          <w:tcPr>
            <w:tcW w:w="3380" w:type="dxa"/>
            <w:vAlign w:val="bottom"/>
          </w:tcPr>
          <w:p>
            <w:pPr>
              <w:ind w:left="1100"/>
              <w:spacing w:after="0"/>
              <w:rPr>
                <w:sz w:val="20"/>
                <w:szCs w:val="20"/>
                <w:color w:val="auto"/>
              </w:rPr>
            </w:pPr>
            <w:r>
              <w:rPr>
                <w:rFonts w:ascii="Courier New" w:cs="Courier New" w:eastAsia="Courier New" w:hAnsi="Courier New"/>
                <w:sz w:val="12"/>
                <w:szCs w:val="12"/>
                <w:color w:val="auto"/>
              </w:rPr>
              <w:t>By: ________________________</w:t>
            </w:r>
          </w:p>
        </w:tc>
      </w:tr>
      <w:tr>
        <w:trPr>
          <w:trHeight w:val="283"/>
        </w:trPr>
        <w:tc>
          <w:tcPr>
            <w:tcW w:w="440" w:type="dxa"/>
            <w:vAlign w:val="bottom"/>
          </w:tcPr>
          <w:p>
            <w:pPr>
              <w:spacing w:after="0"/>
              <w:rPr>
                <w:sz w:val="20"/>
                <w:szCs w:val="20"/>
                <w:color w:val="auto"/>
              </w:rPr>
            </w:pPr>
            <w:r>
              <w:rPr>
                <w:rFonts w:ascii="Courier New" w:cs="Courier New" w:eastAsia="Courier New" w:hAnsi="Courier New"/>
                <w:sz w:val="12"/>
                <w:szCs w:val="12"/>
                <w:color w:val="auto"/>
              </w:rPr>
              <w:t>Name:</w:t>
            </w:r>
          </w:p>
        </w:tc>
        <w:tc>
          <w:tcPr>
            <w:tcW w:w="2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________________________</w:t>
            </w:r>
          </w:p>
        </w:tc>
        <w:tc>
          <w:tcPr>
            <w:tcW w:w="3380" w:type="dxa"/>
            <w:vAlign w:val="bottom"/>
          </w:tcPr>
          <w:p>
            <w:pPr>
              <w:ind w:left="1100"/>
              <w:spacing w:after="0"/>
              <w:rPr>
                <w:sz w:val="20"/>
                <w:szCs w:val="20"/>
                <w:color w:val="auto"/>
              </w:rPr>
            </w:pPr>
            <w:r>
              <w:rPr>
                <w:rFonts w:ascii="Courier New" w:cs="Courier New" w:eastAsia="Courier New" w:hAnsi="Courier New"/>
                <w:sz w:val="12"/>
                <w:szCs w:val="12"/>
                <w:color w:val="auto"/>
              </w:rPr>
              <w:t>Name: ________________________</w:t>
            </w:r>
          </w:p>
        </w:tc>
      </w:tr>
      <w:tr>
        <w:trPr>
          <w:trHeight w:val="283"/>
        </w:trPr>
        <w:tc>
          <w:tcPr>
            <w:tcW w:w="2500" w:type="dxa"/>
            <w:vAlign w:val="bottom"/>
            <w:gridSpan w:val="2"/>
          </w:tcPr>
          <w:p>
            <w:pPr>
              <w:spacing w:after="0"/>
              <w:rPr>
                <w:sz w:val="20"/>
                <w:szCs w:val="20"/>
                <w:color w:val="auto"/>
              </w:rPr>
            </w:pPr>
            <w:r>
              <w:rPr>
                <w:rFonts w:ascii="Courier New" w:cs="Courier New" w:eastAsia="Courier New" w:hAnsi="Courier New"/>
                <w:sz w:val="12"/>
                <w:szCs w:val="12"/>
                <w:color w:val="auto"/>
              </w:rPr>
              <w:t>Title: ________________________</w:t>
            </w:r>
          </w:p>
        </w:tc>
        <w:tc>
          <w:tcPr>
            <w:tcW w:w="3380" w:type="dxa"/>
            <w:vAlign w:val="bottom"/>
          </w:tcPr>
          <w:p>
            <w:pPr>
              <w:ind w:left="1100"/>
              <w:spacing w:after="0"/>
              <w:rPr>
                <w:sz w:val="20"/>
                <w:szCs w:val="20"/>
                <w:color w:val="auto"/>
              </w:rPr>
            </w:pPr>
            <w:r>
              <w:rPr>
                <w:rFonts w:ascii="Courier New" w:cs="Courier New" w:eastAsia="Courier New" w:hAnsi="Courier New"/>
                <w:sz w:val="12"/>
                <w:szCs w:val="12"/>
                <w:color w:val="auto"/>
              </w:rPr>
              <w:t>Title: ________________________</w:t>
            </w:r>
          </w:p>
        </w:tc>
      </w:tr>
      <w:tr>
        <w:trPr>
          <w:trHeight w:val="425"/>
        </w:trPr>
        <w:tc>
          <w:tcPr>
            <w:tcW w:w="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380" w:type="dxa"/>
            <w:vAlign w:val="bottom"/>
          </w:tcPr>
          <w:p>
            <w:pPr>
              <w:ind w:left="220"/>
              <w:spacing w:after="0"/>
              <w:rPr>
                <w:sz w:val="20"/>
                <w:szCs w:val="20"/>
                <w:color w:val="auto"/>
              </w:rPr>
            </w:pPr>
            <w:r>
              <w:rPr>
                <w:rFonts w:ascii="Courier New" w:cs="Courier New" w:eastAsia="Courier New" w:hAnsi="Courier New"/>
                <w:sz w:val="12"/>
                <w:szCs w:val="12"/>
                <w:color w:val="auto"/>
              </w:rPr>
              <w:t>- 10 -</w:t>
            </w:r>
          </w:p>
        </w:tc>
      </w:tr>
    </w:tbl>
    <w:p>
      <w:pPr>
        <w:sectPr>
          <w:pgSz w:w="11900" w:h="16838" w:orient="portrait"/>
          <w:cols w:equalWidth="0" w:num="1">
            <w:col w:w="10239"/>
          </w:cols>
          <w:pgMar w:left="220" w:top="689" w:right="1440" w:bottom="1440" w:gutter="0" w:footer="0" w:header="0"/>
        </w:sectPr>
      </w:pPr>
    </w:p>
    <w:bookmarkStart w:id="31" w:name="page32"/>
    <w:bookmarkEnd w:id="31"/>
    <w:p>
      <w:pPr>
        <w:ind w:left="5004"/>
        <w:spacing w:after="0"/>
        <w:rPr>
          <w:sz w:val="20"/>
          <w:szCs w:val="20"/>
          <w:color w:val="auto"/>
        </w:rPr>
      </w:pPr>
      <w:r>
        <w:rPr>
          <w:rFonts w:ascii="Courier New" w:cs="Courier New" w:eastAsia="Courier New" w:hAnsi="Courier New"/>
          <w:sz w:val="12"/>
          <w:szCs w:val="12"/>
          <w:color w:val="auto"/>
        </w:rPr>
        <w:t>EXHIBIT 99.4</w:t>
      </w:r>
    </w:p>
    <w:p>
      <w:pPr>
        <w:spacing w:after="0" w:line="147" w:lineRule="exact"/>
        <w:rPr>
          <w:sz w:val="20"/>
          <w:szCs w:val="20"/>
          <w:color w:val="auto"/>
        </w:rPr>
      </w:pPr>
    </w:p>
    <w:p>
      <w:pPr>
        <w:ind w:left="364" w:right="4359"/>
        <w:spacing w:after="0" w:line="250" w:lineRule="auto"/>
        <w:rPr>
          <w:sz w:val="20"/>
          <w:szCs w:val="20"/>
          <w:color w:val="auto"/>
        </w:rPr>
      </w:pPr>
      <w:r>
        <w:rPr>
          <w:rFonts w:ascii="Courier New" w:cs="Courier New" w:eastAsia="Courier New" w:hAnsi="Courier New"/>
          <w:sz w:val="12"/>
          <w:szCs w:val="12"/>
          <w:color w:val="auto"/>
        </w:rPr>
        <w:t>THESE SECURITIES [(INCLUDING THE SECURITIES ISSUABLE PURSUANT HERETO)](1) HAVE NOT BEEN REGISTERED OR QUALIFIED UNDER THE U.S. SECURITIES ACT OF 1933, AS AMENDED ("THE ACT"), OR ANY U.S. STATE OR OTHER JURISDICTION'S SECURITIES LAWS. THESE SECURITIES (INCLUDING THE SECURITIES ISSUABLE PURSUANT HERETO) MAY NOT BE SOLD, OFFERED FOR SALE OR PLEDGED, HYPOTHECATED OR OTHERWISE TRANSFERRED IN THE ABSENCE OF A REGISTRATION STATEMENT IN EFFECT UNDER THE ACT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141" w:lineRule="exact"/>
        <w:rPr>
          <w:sz w:val="20"/>
          <w:szCs w:val="20"/>
          <w:color w:val="auto"/>
        </w:rPr>
      </w:pPr>
    </w:p>
    <w:p>
      <w:pPr>
        <w:ind w:left="1404"/>
        <w:spacing w:after="0"/>
        <w:rPr>
          <w:sz w:val="20"/>
          <w:szCs w:val="20"/>
          <w:color w:val="auto"/>
        </w:rPr>
      </w:pPr>
      <w:r>
        <w:rPr>
          <w:rFonts w:ascii="Courier New" w:cs="Courier New" w:eastAsia="Courier New" w:hAnsi="Courier New"/>
          <w:sz w:val="12"/>
          <w:szCs w:val="12"/>
          <w:color w:val="auto"/>
        </w:rPr>
        <w:t>EQUITY EQUIVALENT CONVERTIBLE CAPITAL NOTE</w:t>
      </w:r>
    </w:p>
    <w:p>
      <w:pPr>
        <w:spacing w:after="0" w:line="6" w:lineRule="exact"/>
        <w:rPr>
          <w:sz w:val="20"/>
          <w:szCs w:val="20"/>
          <w:color w:val="auto"/>
        </w:rPr>
      </w:pPr>
    </w:p>
    <w:p>
      <w:pPr>
        <w:ind w:left="1624"/>
        <w:spacing w:after="0"/>
        <w:rPr>
          <w:sz w:val="20"/>
          <w:szCs w:val="20"/>
          <w:color w:val="auto"/>
        </w:rPr>
      </w:pPr>
      <w:r>
        <w:rPr>
          <w:rFonts w:ascii="Courier New" w:cs="Courier New" w:eastAsia="Courier New" w:hAnsi="Courier New"/>
          <w:sz w:val="12"/>
          <w:szCs w:val="12"/>
          <w:color w:val="auto"/>
        </w:rPr>
        <w:t>(PRINCIPAL AMOUNT OF US $100,000,000)</w:t>
      </w:r>
    </w:p>
    <w:p>
      <w:pPr>
        <w:spacing w:after="0" w:line="147" w:lineRule="exact"/>
        <w:rPr>
          <w:sz w:val="20"/>
          <w:szCs w:val="20"/>
          <w:color w:val="auto"/>
        </w:rPr>
      </w:pPr>
    </w:p>
    <w:p>
      <w:pPr>
        <w:ind w:left="4" w:right="4359"/>
        <w:spacing w:after="0" w:line="250" w:lineRule="auto"/>
        <w:rPr>
          <w:sz w:val="20"/>
          <w:szCs w:val="20"/>
          <w:color w:val="auto"/>
        </w:rPr>
      </w:pPr>
      <w:r>
        <w:rPr>
          <w:rFonts w:ascii="Courier New" w:cs="Courier New" w:eastAsia="Courier New" w:hAnsi="Courier New"/>
          <w:sz w:val="12"/>
          <w:szCs w:val="12"/>
          <w:color w:val="auto"/>
        </w:rPr>
        <w:t>THIS EQUITY EQUIVALENT CONVERTIBLE CAPITAL NOTE ("THIS CAPITAL NOTE") in the principal amount of US $100,000,000 (one hundred million United States Dollars) ("THE PRINCIPAL AMOUNT") has been issued by Tower Semiconductor Ltd., an Israeli company ("THE COMPANY"), whose shares are currently traded on The Nasdaq National Market ("NASDAQ") and the Tel-Aviv Stock Exchange ("TASE"), to Israel Corporation Ltd. ("THE HOLDER"). This Capital Note was originally issued by the Company pursuant to a Securities Purchase Agreement between the Company and the original Holder, dated August 24, 2006, and represents the obligation of the Company to pay the Principal Amount to the Holder in accordance with and subject to the terms set forth in this Capital Note.</w:t>
      </w:r>
    </w:p>
    <w:p>
      <w:pPr>
        <w:spacing w:after="0" w:line="141" w:lineRule="exact"/>
        <w:rPr>
          <w:sz w:val="20"/>
          <w:szCs w:val="20"/>
          <w:color w:val="auto"/>
        </w:rPr>
      </w:pPr>
    </w:p>
    <w:p>
      <w:pPr>
        <w:ind w:left="364" w:hanging="364"/>
        <w:spacing w:after="0"/>
        <w:tabs>
          <w:tab w:leader="none" w:pos="364"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DEFINITIONS</w:t>
      </w:r>
    </w:p>
    <w:p>
      <w:pPr>
        <w:spacing w:after="0" w:line="147" w:lineRule="exact"/>
        <w:rPr>
          <w:rFonts w:ascii="Courier New" w:cs="Courier New" w:eastAsia="Courier New" w:hAnsi="Courier New"/>
          <w:sz w:val="12"/>
          <w:szCs w:val="12"/>
          <w:color w:val="auto"/>
        </w:rPr>
      </w:pPr>
    </w:p>
    <w:p>
      <w:pPr>
        <w:ind w:left="364" w:right="4499"/>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this Capital Note, the following terms have the meanings given to them in this clause 1:</w:t>
      </w:r>
    </w:p>
    <w:p>
      <w:pPr>
        <w:spacing w:after="0" w:line="138" w:lineRule="exact"/>
        <w:rPr>
          <w:rFonts w:ascii="Courier New" w:cs="Courier New" w:eastAsia="Courier New" w:hAnsi="Courier New"/>
          <w:sz w:val="12"/>
          <w:szCs w:val="12"/>
          <w:color w:val="auto"/>
        </w:rPr>
      </w:pPr>
    </w:p>
    <w:p>
      <w:pPr>
        <w:ind w:left="744" w:right="4719" w:hanging="368"/>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1.1. "COMPANY" includes any person that shall succeed to or assume the obligations of the Company under this Capital Note; and</w:t>
      </w:r>
    </w:p>
    <w:p>
      <w:pPr>
        <w:spacing w:after="0" w:line="138" w:lineRule="exact"/>
        <w:rPr>
          <w:rFonts w:ascii="Courier New" w:cs="Courier New" w:eastAsia="Courier New" w:hAnsi="Courier New"/>
          <w:sz w:val="12"/>
          <w:szCs w:val="12"/>
          <w:color w:val="auto"/>
        </w:rPr>
      </w:pPr>
    </w:p>
    <w:p>
      <w:pPr>
        <w:ind w:left="744" w:right="4359" w:hanging="368"/>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1.2. "HOLDER" shall mean any person who at the time shall be the registered holder of this Capital Note or any part thereof.</w:t>
      </w:r>
    </w:p>
    <w:p>
      <w:pPr>
        <w:spacing w:after="0" w:line="138"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 ----------</w:t>
      </w:r>
    </w:p>
    <w:p>
      <w:pPr>
        <w:spacing w:after="0" w:line="147" w:lineRule="exact"/>
        <w:rPr>
          <w:sz w:val="20"/>
          <w:szCs w:val="20"/>
          <w:color w:val="auto"/>
        </w:rPr>
      </w:pPr>
    </w:p>
    <w:p>
      <w:pPr>
        <w:ind w:left="364" w:right="4359" w:hanging="364"/>
        <w:spacing w:after="0" w:line="250" w:lineRule="auto"/>
        <w:tabs>
          <w:tab w:leader="none" w:pos="364"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effective date of the Registration Statement covering the Conversion Shares, bracketed language to be removed from all future Capital Notes to be issued and, at the request of the Holder, a substitute Capital Note omitting the bracketed language will promptly be delivered to the Holder.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44" w:right="4359" w:hanging="367"/>
        <w:spacing w:after="0" w:line="250" w:lineRule="auto"/>
        <w:rPr>
          <w:sz w:val="20"/>
          <w:szCs w:val="20"/>
          <w:color w:val="auto"/>
        </w:rPr>
      </w:pPr>
      <w:r>
        <w:rPr>
          <w:rFonts w:ascii="Courier New" w:cs="Courier New" w:eastAsia="Courier New" w:hAnsi="Courier New"/>
          <w:sz w:val="12"/>
          <w:szCs w:val="12"/>
          <w:color w:val="auto"/>
        </w:rPr>
        <w:t>1.3. "ORDINARY SHARES" means the ordinary shares, nominal value NIS 1.00 (one New Israel Sheqel) per share, of the Company (and any shares of capital stock substituted for the ordinary shares as a result of any stock split, stock dividend, recapitalisation, rights offering, exchange, merger or similar event or otherwise, including as described in this Capital Note).</w:t>
      </w:r>
    </w:p>
    <w:p>
      <w:pPr>
        <w:spacing w:after="0" w:line="141" w:lineRule="exact"/>
        <w:rPr>
          <w:sz w:val="20"/>
          <w:szCs w:val="20"/>
          <w:color w:val="auto"/>
        </w:rPr>
      </w:pPr>
    </w:p>
    <w:p>
      <w:pPr>
        <w:ind w:left="364" w:hanging="364"/>
        <w:spacing w:after="0"/>
        <w:tabs>
          <w:tab w:leader="none" w:pos="364" w:val="left"/>
        </w:tabs>
        <w:numPr>
          <w:ilvl w:val="0"/>
          <w:numId w:val="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TERMS</w:t>
      </w:r>
    </w:p>
    <w:p>
      <w:pPr>
        <w:spacing w:after="0" w:line="147" w:lineRule="exact"/>
        <w:rPr>
          <w:rFonts w:ascii="Courier New" w:cs="Courier New" w:eastAsia="Courier New" w:hAnsi="Courier New"/>
          <w:sz w:val="12"/>
          <w:szCs w:val="12"/>
          <w:color w:val="auto"/>
        </w:rPr>
      </w:pPr>
    </w:p>
    <w:p>
      <w:pPr>
        <w:jc w:val="both"/>
        <w:ind w:left="364" w:right="435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Principal Amount shall neither bear interest nor be linked to any index and shall be subordinated to all liabilities of the Company having priority over the Ordinary Shares.</w:t>
      </w:r>
    </w:p>
    <w:p>
      <w:pPr>
        <w:spacing w:after="0" w:line="139"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Principal Amount shall only be payable by the Company to the Holder out of distributions made upon the winding-up (whether solvent or insolvent), liquidation or dissolution of the Company and, in such event, on a PARI PASSU and pro rata basis with the Ordinary Shares after payment of all liabilities of the Company having priority over the Ordinary Shares. For the purposes only of calculation of the allocation of such distributions between holders of the Capital Note and holders of Ordinary Shares, the holder of this Capital Note shall be deemed to own the number of Ordinary Shares into which this Capital Note may then be converted. The Company shall not be entitled to prepay or redeem this Capital Note.</w:t>
      </w:r>
    </w:p>
    <w:p>
      <w:pPr>
        <w:spacing w:after="0" w:line="141" w:lineRule="exact"/>
        <w:rPr>
          <w:rFonts w:ascii="Courier New" w:cs="Courier New" w:eastAsia="Courier New" w:hAnsi="Courier New"/>
          <w:sz w:val="12"/>
          <w:szCs w:val="12"/>
          <w:color w:val="auto"/>
        </w:rPr>
      </w:pPr>
    </w:p>
    <w:p>
      <w:pPr>
        <w:ind w:left="364" w:right="449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Capital Note shall be convertible into Ordinary Shares as set forth below and, for the removal of doubt, no such conversion shall be deemed a redemption or prepayment of this Capital Note.</w:t>
      </w:r>
    </w:p>
    <w:p>
      <w:pPr>
        <w:spacing w:after="0" w:line="139"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CONVERSION</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3.1. CONVERSION RIGHT</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The Holder of this Capital Note has the right, at the Holder's option, at any time and from time to time, to convert this Capital Note, without payment of any additional consideration, in accordance with the provisions of this clause 3, in whole or in part, into fully-paid and non-assessable Ordinary Shares. The number of Ordinary Shares into which this Capital Note may be converted ("THE CONVERSION SHARES") shall be determined by dividing the aggregate Principal Amount of this Capital Note by the conversion price in effect at the time of such conversion ("THE CONVERSION PRICE"). The Conversion Price initially shall be US $1.52 (one United States Dollars and fifty-two cents), as adjusted at any time and from time to time in accordance with clause 7 below.</w:t>
      </w:r>
    </w:p>
    <w:p>
      <w:pPr>
        <w:spacing w:after="0" w:line="283"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- 2 -</w:t>
      </w:r>
    </w:p>
    <w:p>
      <w:pPr>
        <w:sectPr>
          <w:pgSz w:w="11900" w:h="16838" w:orient="portrait"/>
          <w:cols w:equalWidth="0" w:num="1">
            <w:col w:w="10244"/>
          </w:cols>
          <w:pgMar w:left="216" w:top="283" w:right="1440" w:bottom="1440" w:gutter="0" w:footer="0" w:header="0"/>
        </w:sectPr>
      </w:pPr>
    </w:p>
    <w:bookmarkStart w:id="32" w:name="page33"/>
    <w:bookmarkEnd w:id="32"/>
    <w:p>
      <w:pPr>
        <w:ind w:left="364"/>
        <w:spacing w:after="0"/>
        <w:rPr>
          <w:sz w:val="20"/>
          <w:szCs w:val="20"/>
          <w:color w:val="auto"/>
        </w:rPr>
      </w:pPr>
      <w:r>
        <w:rPr>
          <w:rFonts w:ascii="Courier New" w:cs="Courier New" w:eastAsia="Courier New" w:hAnsi="Courier New"/>
          <w:sz w:val="12"/>
          <w:szCs w:val="12"/>
          <w:color w:val="auto"/>
        </w:rPr>
        <w:t>3.2. CONVERSION PROCEDURE</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This Capital Note may be converted in whole or in part at any time and from time to time by the surrender of this Capital Note to the Company at its principal office together with written notice of the election to convert all or any portion of the Principal Amount thereof, duly signed on behalf of the Holder. The Company shall, on such surrender date or as soon as practicable thereafter, issue irrevocable instructions to its stock transfer agent to deliver to the Holder a certificate or certificates for the number of Conversion Shares to which the Holder shall be entitled as a result of such conversion as aforesaid. Such conversion, the issue and allotment of such Conversion Shares and the registration of the Holder in the register of members of the Company as the holder of such Conversion Shares shall be deemed to have been made immediately prior to the close of business on the date of such surrender of this Capital Note or portion thereof and the person or persons entitled to receive the Conversion Shares issuable upon such conversion shall be treated for all purposes as the record holder or holders as of such date of such number of Conversion Shares to which the Holder shall be entitled as a result of such conversion as aforesaid. In the event of a partial conversion, the Company shall concurrently issue to the Holder a replacement Capital Note of like tenor as this Capital Note, but representing the Principal Amount remaining after such partial conversion. For the avoidance of doubt, the Company confirms that the terms of this Capital Note, including, without limitation, this clause 3, constitute the issue terms of the Conversion Shares and that, accordingly, the right of the Company pursuant to clauses 16.1 and 16.2 of the Company's Articles of Association to delay the issuance of stock certificates for up to 6 (six) months after the allotment and registration of transfer is inapplicable. For the further removal of doubt, nothing herein shall derogate from the second sentence of clause 16.1 of the Company's Articles of Association.</w:t>
      </w:r>
    </w:p>
    <w:p>
      <w:pPr>
        <w:spacing w:after="0" w:line="141" w:lineRule="exact"/>
        <w:rPr>
          <w:sz w:val="20"/>
          <w:szCs w:val="20"/>
          <w:color w:val="auto"/>
        </w:rPr>
      </w:pPr>
    </w:p>
    <w:p>
      <w:pPr>
        <w:ind w:left="364" w:hanging="364"/>
        <w:spacing w:after="0"/>
        <w:tabs>
          <w:tab w:leader="none" w:pos="364" w:val="left"/>
        </w:tabs>
        <w:numPr>
          <w:ilvl w:val="0"/>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FRACTIONAL INTEREST</w:t>
      </w:r>
    </w:p>
    <w:p>
      <w:pPr>
        <w:spacing w:after="0" w:line="147" w:lineRule="exact"/>
        <w:rPr>
          <w:rFonts w:ascii="Courier New" w:cs="Courier New" w:eastAsia="Courier New" w:hAnsi="Courier New"/>
          <w:sz w:val="12"/>
          <w:szCs w:val="12"/>
          <w:color w:val="auto"/>
        </w:rPr>
      </w:pPr>
    </w:p>
    <w:p>
      <w:pPr>
        <w:ind w:left="364" w:right="449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No fractional shares will be issued in connection with any conversion hereunder. The Company shall round-down, to the nearest whole number, the number of Conversion Shares issuable in connection with any conversion hereunder.</w:t>
      </w:r>
    </w:p>
    <w:p>
      <w:pPr>
        <w:spacing w:after="0" w:line="280"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3 -</w:t>
      </w:r>
    </w:p>
    <w:p>
      <w:pPr>
        <w:sectPr>
          <w:pgSz w:w="11900" w:h="16838" w:orient="portrait"/>
          <w:cols w:equalWidth="0" w:num="1">
            <w:col w:w="10244"/>
          </w:cols>
          <w:pgMar w:left="216" w:top="689" w:right="1440" w:bottom="1440" w:gutter="0" w:footer="0" w:header="0"/>
        </w:sectPr>
      </w:pPr>
    </w:p>
    <w:bookmarkStart w:id="33" w:name="page34"/>
    <w:bookmarkEnd w:id="33"/>
    <w:p>
      <w:pPr>
        <w:ind w:left="364" w:hanging="364"/>
        <w:spacing w:after="0"/>
        <w:tabs>
          <w:tab w:leader="none" w:pos="364"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CAPITAL NOTE CONFERS NO RIGHTS OF SHAREHOLDER</w:t>
      </w:r>
    </w:p>
    <w:p>
      <w:pPr>
        <w:spacing w:after="0" w:line="147" w:lineRule="exact"/>
        <w:rPr>
          <w:rFonts w:ascii="Courier New" w:cs="Courier New" w:eastAsia="Courier New" w:hAnsi="Courier New"/>
          <w:sz w:val="12"/>
          <w:szCs w:val="12"/>
          <w:color w:val="auto"/>
        </w:rPr>
      </w:pPr>
    </w:p>
    <w:p>
      <w:pPr>
        <w:ind w:left="364" w:right="441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Holder shall not, by virtue of this Capital Note, have any rights as a shareholder of the Company prior to actual conversion into Conversion Shares in accordance with clause 3.2 above.</w:t>
      </w:r>
    </w:p>
    <w:p>
      <w:pPr>
        <w:spacing w:after="0" w:line="139"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ACQUISITION FOR INVESTMENT</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Capital Note [, including and the Conversion Shares,(2)] has not been registered under the Securities Act of 1933, as amended ("THE SECURITIES ACT"), or any other securities laws. The Holder acknowledges by acceptance of this Capital Note that it has acquired this Capital Note for investment and not with a view to distribution. [The Holder agrees that, unless the Conversion Shares have been registered under the Securities Act, any Conversion Shares issuable upon conversion of this Capital Note will be acquired for investment and not with a view to distribution in a manner inconsistent with the registration requirements of the U.S. securities laws and may have to be held indefinitely unless they are subsequently registered under the Securities Act or, based on an opinion of counsel reasonably satisfactory to the Company, an exemption from such registration is available; provided, however, that no opinion shall be required if sold pursuant to Rule 144 of the Securities Act or the transfer will be effected on the TASE and the Holder represents that the applicable conditions under Regulation S under the Securities Act have been satisfied.(3)] The Holder, by acceptance hereof, consents to the placement of legend(s) on this Capital Note and also on the Conversion Shares issuable upon conversion of this Capital Note, as to the applicable restrictions on transferability in order to ensure compliance with the Securities Act, unless in the reasonable opinion of counsel for the Company such legend is not required in order to ensure compliance with the Securities Act. The Company may issue stop transfer instructions to its transfer agent in connection with such restrictions.</w:t>
      </w:r>
    </w:p>
    <w:p>
      <w:pPr>
        <w:spacing w:after="0" w:line="141" w:lineRule="exact"/>
        <w:rPr>
          <w:sz w:val="20"/>
          <w:szCs w:val="20"/>
          <w:color w:val="auto"/>
        </w:rPr>
      </w:pPr>
    </w:p>
    <w:p>
      <w:pPr>
        <w:jc w:val="both"/>
        <w:ind w:left="364" w:right="4359"/>
        <w:spacing w:after="0" w:line="251" w:lineRule="auto"/>
        <w:rPr>
          <w:sz w:val="20"/>
          <w:szCs w:val="20"/>
          <w:color w:val="auto"/>
        </w:rPr>
      </w:pPr>
      <w:r>
        <w:rPr>
          <w:rFonts w:ascii="Courier New" w:cs="Courier New" w:eastAsia="Courier New" w:hAnsi="Courier New"/>
          <w:sz w:val="12"/>
          <w:szCs w:val="12"/>
          <w:color w:val="auto"/>
        </w:rPr>
        <w:t>Nothing in this clause 6 shall derogate from any obligations of the Company under any Registration Rights Agreement to which the Company and the Holder are parties.</w:t>
      </w:r>
    </w:p>
    <w:p>
      <w:pPr>
        <w:spacing w:after="0" w:line="140"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 ----------</w:t>
      </w:r>
    </w:p>
    <w:p>
      <w:pPr>
        <w:spacing w:after="0" w:line="147" w:lineRule="exact"/>
        <w:rPr>
          <w:sz w:val="20"/>
          <w:szCs w:val="20"/>
          <w:color w:val="auto"/>
        </w:rPr>
      </w:pPr>
    </w:p>
    <w:p>
      <w:pPr>
        <w:ind w:left="364" w:right="4359" w:hanging="364"/>
        <w:spacing w:after="0" w:line="250" w:lineRule="auto"/>
        <w:tabs>
          <w:tab w:leader="none" w:pos="364" w:val="left"/>
        </w:tabs>
        <w:numPr>
          <w:ilvl w:val="0"/>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effective date of the Registration Statement covering the Conversion Shares, bracketed language to be removed from all future Capital Notes to be issued and, at the request of the Holder, a substitute Capital Note omitting the bracketed language will promptly be delivered to the Holder.</w:t>
      </w:r>
    </w:p>
    <w:p>
      <w:pPr>
        <w:spacing w:after="0" w:line="141" w:lineRule="exact"/>
        <w:rPr>
          <w:rFonts w:ascii="Courier New" w:cs="Courier New" w:eastAsia="Courier New" w:hAnsi="Courier New"/>
          <w:sz w:val="12"/>
          <w:szCs w:val="12"/>
          <w:color w:val="auto"/>
        </w:rPr>
      </w:pPr>
    </w:p>
    <w:p>
      <w:pPr>
        <w:ind w:left="364" w:right="4359" w:hanging="364"/>
        <w:spacing w:after="0" w:line="250" w:lineRule="auto"/>
        <w:tabs>
          <w:tab w:leader="none" w:pos="364" w:val="left"/>
        </w:tabs>
        <w:numPr>
          <w:ilvl w:val="0"/>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effective date of the Registration Statement covering the Conversion Shares, bracketed language to be replaced with the following: "The Conversion Shares have been registered under the Securities Act on Form F-3 Registration Statement No. [INSERT RELEVANT REGISTRATION NUMBER]." on all future Capital Notes to be issued, and, at the request of the Holder, a substitute Capital Note having such replacement language will promptly be delivered to the Holder.</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4 -</w:t>
      </w:r>
    </w:p>
    <w:p>
      <w:pPr>
        <w:sectPr>
          <w:pgSz w:w="11900" w:h="16838" w:orient="portrait"/>
          <w:cols w:equalWidth="0" w:num="1">
            <w:col w:w="10244"/>
          </w:cols>
          <w:pgMar w:left="216" w:top="689" w:right="1440" w:bottom="1440" w:gutter="0" w:footer="0" w:header="0"/>
        </w:sectPr>
      </w:pPr>
    </w:p>
    <w:bookmarkStart w:id="34" w:name="page35"/>
    <w:bookmarkEnd w:id="34"/>
    <w:p>
      <w:pPr>
        <w:ind w:left="364" w:hanging="364"/>
        <w:spacing w:after="0"/>
        <w:tabs>
          <w:tab w:leader="none" w:pos="364"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ADJUSTMENT OF CONVERSION PRICE AND NUMBER OF CONVERSION SHARES</w:t>
      </w:r>
    </w:p>
    <w:p>
      <w:pPr>
        <w:spacing w:after="0" w:line="147" w:lineRule="exact"/>
        <w:rPr>
          <w:sz w:val="20"/>
          <w:szCs w:val="20"/>
          <w:color w:val="auto"/>
        </w:rPr>
      </w:pPr>
    </w:p>
    <w:p>
      <w:pPr>
        <w:ind w:left="364" w:right="4359"/>
        <w:spacing w:after="0" w:line="251" w:lineRule="auto"/>
        <w:rPr>
          <w:sz w:val="20"/>
          <w:szCs w:val="20"/>
          <w:color w:val="auto"/>
        </w:rPr>
      </w:pPr>
      <w:r>
        <w:rPr>
          <w:rFonts w:ascii="Courier New" w:cs="Courier New" w:eastAsia="Courier New" w:hAnsi="Courier New"/>
          <w:sz w:val="12"/>
          <w:szCs w:val="12"/>
          <w:color w:val="auto"/>
        </w:rPr>
        <w:t>The number and kind of securities issuable initially upon the conversion of this Capital Note and the Conversion Price shall be subject to adjustment at any time and from time to time upon the occurrence of certain events, as follows:</w:t>
      </w:r>
    </w:p>
    <w:p>
      <w:pPr>
        <w:spacing w:after="0" w:line="139"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7.1. ADJUSTMENT FOR SHARES SPLITS AND COMBINATIONS</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If the Company at any time or from time to time effects a subdivision of the outstanding Ordinary Shares, the number of Conversion Shares issuable upon conversion of this Capital Note immediately before the subdivision shall be proportionately increased, and conversely, if the Company at any time or from time to time combines the outstanding Ordinary Shares, the number of Conversion Shares issuable upon conversion of this Capital Note immediately before the combination shall be proportionately decreased. Any adjustment under this clause 7.1 shall become effective at the close of business on the date the subdivision or combination becomes effective.</w:t>
      </w:r>
    </w:p>
    <w:p>
      <w:pPr>
        <w:spacing w:after="0" w:line="141"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7.2. ADJUSTMENT FOR CERTAIN DIVIDENDS AND DISTRIBUTIONS</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In the event the Company at any time, or from time to time, makes or fixes a record date for the determination of holders of Ordinary Shares entitled to receive a dividend or other distribution payable in additional Ordinary Shares, then and in each such event, the number of Ordinary Shares issuable upon conversion of this Capital Note shall be increased as of the time of such issuance or, in the event such a record date is fixed, as of the close of business on such record date, by multiplying the number of Ordinary Shares issuable upon conversion of this Capital Note by a fraction: (i) the numerator of which shall be the total number of Ordinary Shares issued and outstanding immediately prior to the time of such issuance or the close of business on such record date, as applicable, plus the number of Ordinary Shares issuable in payment of such dividend or distribution; and (ii) the denominator of which is the total number of Ordinary Shares issued and outstanding immediately prior to the time of such issuance or the close of business on such record date, as applicable; provided, however, that if such record date is fixed and such dividend is not fully paid or if such distribution is not fully made on the date fixed therefor, the number of Ordinary Shares issuable upon conversion of this Capital Note shall be recomputed accordingly as of the close of business on such record date and thereafter the number of Ordinary Shares issuable upon conversion of this Capital Note shall be adjusted pursuant to this clause 7.2 as of the time of the actual payment of such dividends or distribution.</w:t>
      </w:r>
    </w:p>
    <w:p>
      <w:pPr>
        <w:spacing w:after="0" w:line="283"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- 5 -</w:t>
      </w:r>
    </w:p>
    <w:p>
      <w:pPr>
        <w:sectPr>
          <w:pgSz w:w="11900" w:h="16838" w:orient="portrait"/>
          <w:cols w:equalWidth="0" w:num="1">
            <w:col w:w="10244"/>
          </w:cols>
          <w:pgMar w:left="216" w:top="689"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2"/>
          <w:szCs w:val="12"/>
          <w:color w:val="auto"/>
        </w:rPr>
        <w:t>7.3. ADJUSTMENTS FOR OTHER DIVIDENDS AND DISTRIBUTIONS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(for the avoidance of doubt, other than in a rights offering as to which clause 7.7 shall be applicable), then in each such event provision shall be made so that the Holder shall receive upon conversion of this Capital Note and for no additional consideration, in addition to the number of Ordinary Shares receivable thereupon, the amount of securities of the Company that the Holder would have received had this Capital Note been converted immediately prior to such event, or the record date for such event, as applicable.</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7.4. ADJUSTMENT FOR RECLASSIFICATION, EXCHANGE AND SUBSTITUTION</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If the Ordinary Shares issuable upon conversion of this Capital Note are changed into the same or a different number of shares of any class or classes of shares, whether by recapitalization, reclassification, exchange, substitution or otherwise (other than a subdivision or combination of shares, dividends payable in Ordinary Shares or other securities of the Company or a reorganization, merger, consolidation or sale of assets, provided for elsewhere in this clause 7), then and in any such event the Holder shall have the right thereafter to exercise this Capital Note into the kind and amount of shares and other securities receivable upon such recapitalization, reclassification, exchange, substitution or other change, by holders of the number of Ordinary Shares for which this Capital Note might have been converted immediately prior to such recapitalization, reclassification, exchange, substitution or other change (or the record date for such event), all subject to further adjustment as provided herein and under the Company's Articles of Association.</w:t>
      </w:r>
    </w:p>
    <w:p>
      <w:pPr>
        <w:spacing w:after="0" w:line="283"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- 6 -</w:t>
      </w:r>
    </w:p>
    <w:p>
      <w:pPr>
        <w:sectPr>
          <w:pgSz w:w="11900" w:h="16838" w:orient="portrait"/>
          <w:cols w:equalWidth="0" w:num="1">
            <w:col w:w="9879"/>
          </w:cols>
          <w:pgMar w:left="580" w:top="689"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2"/>
          <w:szCs w:val="12"/>
          <w:color w:val="auto"/>
        </w:rPr>
        <w:t>7.5. REORGANIZATION, MERGERS, CONSOLIDATIONS OR SALES OF ASSETS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If at any time or from time to time there is a capital reorganization of the Ordinary Shares (other than a recapitalization, subdivision, combination, reclassification, exchange or substitution of shares as provided for elsewhere in this clause 7), or a merger or consolidation of the 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conversion of this Capital Note and for no additional consideration, the number of shares or other securities or property (including, without limitation, cash) of the Company, or of the successor corporation resulting from such merger or consolidation or sale, to which a holder of the number of Ordinary Shares issuable upon conversion of this Capital Note would have been entitled on such capital reorganization, merger, consolidation or sale.</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7.6. OTHER TRANSACTIONS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Conversion Shares or by procuring that the Holder shall be entitled, on terms economically proportionate to those provided to its shareholders, to acquire additional shares of the spun-off or split-off entities.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7.7. RIGHTS OFFERINGS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If the Company, at any time and from time to time, shall fix a record date for, or shall make a distribution to, its shareholders of rights or warrants to subscribe for or purchase any security (collectively, "RIGHTS"), then, in each such event, the Company will provide the Holder, concurrently with the distribution of the Rights to its shareholders, identical rights, having terms and conditions identical to the Rights (for the avoidance of doubt, exercisable at the same time as the Rights), in such number to which the Holder would be entitled had the Holder converted this Capital Note into Conversion Shares immediately prior to the record date for such distribution, or if no record date shall be fixed, then immediately prior to such distribution, as applicable. Nothing in this clause 7.7 shall require the Company to complete any such distribution of Rights to its shareholders, including following the record date thereof, unless required pursuant to the terms of such distribution and, if such distribution of Rights to its shareholders is not completed in conformity with the terms of such distribution, then the Company shall be entitled not to complete the provision of rights to the Holder pursuant to this clause 7.7 above.</w:t>
      </w:r>
    </w:p>
    <w:p>
      <w:pPr>
        <w:spacing w:after="0" w:line="283"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- 7 -</w:t>
      </w:r>
    </w:p>
    <w:p>
      <w:pPr>
        <w:sectPr>
          <w:pgSz w:w="11900" w:h="16838" w:orient="portrait"/>
          <w:cols w:equalWidth="0" w:num="1">
            <w:col w:w="9879"/>
          </w:cols>
          <w:pgMar w:left="580" w:top="688"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2"/>
          <w:szCs w:val="12"/>
          <w:color w:val="auto"/>
        </w:rPr>
        <w:t>7.8. ADJUSTMENT FOR CASH DIVIDENDS AND DISTRIBUTIONS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In the event the Company, at any time or from time to time until September 28, 2021, makes or fixes a record date for the determination of holders of Ordinary Shares entitled to receive a cash dividend or distribution, then and in each such event, the number of Ordinary Shares issuable upon conversion of this Capital Note shall be adjusted (for the avoidance of doubt, never decreased but either shall remain the same or increased), as of the close of business on such record date, by multiplying the number of Ordinary Shares issuable upon conversion of this Capital Note by a fraction: (i) the numerator of which shall be the closing price per share of the Ordinary Shares on the TASE on the on the determining date ("HAYOM HAKOVAYA") for such dividend or distribution; and (ii) the denominator of which shall be the adjusted "ex-dividend" price of the Ordinary Shares as such prices set out in (i) and (ii) are determined in each case by the TASE in accordance with its rules.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7.9. GENERAL PROTECTION</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 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pacing w:after="0" w:line="200" w:lineRule="exact"/>
        <w:rPr>
          <w:sz w:val="20"/>
          <w:szCs w:val="20"/>
          <w:color w:val="auto"/>
        </w:rPr>
      </w:pPr>
    </w:p>
    <w:p>
      <w:pPr>
        <w:spacing w:after="0" w:line="224"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- 8 -</w:t>
      </w:r>
    </w:p>
    <w:p>
      <w:pPr>
        <w:sectPr>
          <w:pgSz w:w="11900" w:h="16838" w:orient="portrait"/>
          <w:cols w:equalWidth="0" w:num="1">
            <w:col w:w="9879"/>
          </w:cols>
          <w:pgMar w:left="580" w:top="689" w:right="1440" w:bottom="1440" w:gutter="0" w:footer="0" w:header="0"/>
        </w:sectPr>
      </w:pPr>
    </w:p>
    <w:bookmarkStart w:id="38" w:name="page39"/>
    <w:bookmarkEnd w:id="38"/>
    <w:p>
      <w:pPr>
        <w:ind w:left="364"/>
        <w:spacing w:after="0"/>
        <w:rPr>
          <w:sz w:val="20"/>
          <w:szCs w:val="20"/>
          <w:color w:val="auto"/>
        </w:rPr>
      </w:pPr>
      <w:r>
        <w:rPr>
          <w:rFonts w:ascii="Courier New" w:cs="Courier New" w:eastAsia="Courier New" w:hAnsi="Courier New"/>
          <w:sz w:val="12"/>
          <w:szCs w:val="12"/>
          <w:color w:val="auto"/>
        </w:rPr>
        <w:t>7.10. NOTICE OF CAPITAL CHANGES</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If at any time the Company shall declare any dividend or distribution of any kind, or offer for subscription pro rata to the holders of Ordinary Shares any additional shares of any class, other rights or any security of any kind, or there shall be any capital reorganization or reclassification of the capital shares of the Company, or consolidation or merger of the Company with, or sale of all or substantially all of its assets to another company or there shall be a voluntary or involuntary dissolution, liquidation or winding-up of the Company, or other transaction described in this clause 7, then, in any one or more of the said cases, the Company shall give the Holder prior written notice, by registered or certified mail, postage prepaid, of the date on which: (i) a record shall be taken for such dividend, distribution or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dividend or distribution, subscription rights, or shall be entitled to exchange their Ordinary Shares for securities or other property deliverable upon such reorganization, reclassification, consolidation, merger, sale, dissolution, liquidation or winding-up, as the case may be. Such written notice shall be given at least 14 (fourteen) days prior to the action in question and not less than 14 (fourteen) days prior to the record date in respect thereto.</w:t>
      </w:r>
    </w:p>
    <w:p>
      <w:pPr>
        <w:spacing w:after="0" w:line="283"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7.11. ADJUSTMENT OF CONVERSION PRICE</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Upon each adjustment in the number of Ordinary Shares purchasable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hereunder, the Conversion Price shall be proportionately increased or</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decreased, as the case may be, in a manner that is the inverse of the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manner in which the number of Ordinary Shares purchasable hereunder</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shall be adjusted.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7.12. NOTICE OF ADJUSTMENTS</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Whenever the Conversion Price or the number of Ordinary Shares issuable upon conversion of this Capital Note shall be adjusted pursuant to this clause 7, the Company shall prepare a certificate signed by the chief financial officer of the Company setting forth, in reasonable detail, the event requiring the adjustment, the amount of the adjustment, the method by which such adjustment was calculated, and the Conversion Price and the number of Conversion Shares issuable upon conversion of this Capital Note after giving effect to such adjustment, and shall cause copies of such certificate to be mailed (by first class mail, postage prepaid) to the Holder.</w:t>
      </w:r>
    </w:p>
    <w:p>
      <w:pPr>
        <w:spacing w:after="0" w:line="141" w:lineRule="exact"/>
        <w:rPr>
          <w:sz w:val="20"/>
          <w:szCs w:val="20"/>
          <w:color w:val="auto"/>
        </w:rPr>
      </w:pPr>
    </w:p>
    <w:p>
      <w:pPr>
        <w:ind w:left="364" w:hanging="364"/>
        <w:spacing w:after="0"/>
        <w:tabs>
          <w:tab w:leader="none" w:pos="364" w:val="left"/>
        </w:tabs>
        <w:numPr>
          <w:ilvl w:val="0"/>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TRANSACTIONS</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that the Company or its shareholders receive an offer to transfer all or substantially all of the shares in the Company, or to effect a merger or acquisition or sale of all or substantially all of the assets of the Company, then the Company shall promptly inform the Holder in writing of such offer.</w:t>
      </w:r>
    </w:p>
    <w:p>
      <w:pPr>
        <w:spacing w:after="0" w:line="283"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9 -</w:t>
      </w:r>
    </w:p>
    <w:p>
      <w:pPr>
        <w:sectPr>
          <w:pgSz w:w="11900" w:h="16838" w:orient="portrait"/>
          <w:cols w:equalWidth="0" w:num="1">
            <w:col w:w="10244"/>
          </w:cols>
          <w:pgMar w:left="216" w:top="689" w:right="1440" w:bottom="1440" w:gutter="0" w:footer="0" w:header="0"/>
        </w:sectPr>
      </w:pPr>
    </w:p>
    <w:bookmarkStart w:id="39" w:name="page40"/>
    <w:bookmarkEnd w:id="39"/>
    <w:p>
      <w:pPr>
        <w:ind w:left="364" w:hanging="364"/>
        <w:spacing w:after="0"/>
        <w:tabs>
          <w:tab w:leader="none" w:pos="364" w:val="left"/>
        </w:tabs>
        <w:numPr>
          <w:ilvl w:val="0"/>
          <w:numId w:val="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TRANSFER OF THIS CAPITAL NOTE BY THE HOLDER</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Capital Note shall be freely transferable or assignable by the Holder in whole or in part, at any time and from time to time, subject to the provisions of this clause 9. With respect to any transfer of this Capital Note, in whole or in part, the Holder shall surrender the Capital Note, together with a written request to transfer all or a portion of the Principal Amount of this Capital Note to the transferee, as well as, if reasonably requested by the Company, a written opinion of such Holder's counsel, to the effect that such offer, sale or other distribution may be effected without registration under the Securities Act. Upon surrender of such Capital Note (and delivery of such opinion, if so requested) by the Holder, the Company shall immediately register such transferee as the Holder of this Capital Note, or the portion thereof, transferred to such transferee, such registration shall be deemed to have been made immediately prior to the close of business on the date of such surrender and delivery (if applicable), and such transferee or transferees shall be treated for all purposes as the record holder or holders as of such date of a Capital Note in that portion of the Principal Amount of this Capital Note so transferred. The Company shall, as promptly as practicable, deliver to the Holder one or more Capital Notes, of like tenor as this Capital Note, except that the Principal Amount thereof shall be the amount transferred to such transferee, for delivery to the transferee or transferees (or, if the Holder requests, deliver such Capital Note directly to such transferee or transferees) and shall, if only a portion of the Principal Amount of this Capital Note is being transferred, concurrently deliver to the Holder one or more replacement Capital Notes to represent the portion of the Principal Amount of this Capital Note not so transferred. For the avoidance of doubt, the Company confirms that no approval by the Board of Directors of the Company of any transfer of this Capital Note or the Conversion Shares is required.</w:t>
      </w:r>
    </w:p>
    <w:p>
      <w:pPr>
        <w:spacing w:after="0" w:line="282"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WARRANTIES AND COVENANTS</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represents, warrants and covenants to the Holder as follows:</w:t>
      </w:r>
    </w:p>
    <w:p>
      <w:pPr>
        <w:spacing w:after="0" w:line="147" w:lineRule="exact"/>
        <w:rPr>
          <w:rFonts w:ascii="Courier New" w:cs="Courier New" w:eastAsia="Courier New" w:hAnsi="Courier New"/>
          <w:sz w:val="12"/>
          <w:szCs w:val="12"/>
          <w:color w:val="auto"/>
        </w:rPr>
      </w:pPr>
    </w:p>
    <w:p>
      <w:pPr>
        <w:ind w:left="744" w:right="4879" w:hanging="368"/>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10.1. this Capital Note has been duly authorized and executed by the Company and is a valid and binding obligation of the Company enforceable in accordance with its terms;</w:t>
      </w:r>
    </w:p>
    <w:p>
      <w:pPr>
        <w:spacing w:after="0" w:line="281"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10 -</w:t>
      </w:r>
    </w:p>
    <w:p>
      <w:pPr>
        <w:sectPr>
          <w:pgSz w:w="11900" w:h="16838" w:orient="portrait"/>
          <w:cols w:equalWidth="0" w:num="1">
            <w:col w:w="10244"/>
          </w:cols>
          <w:pgMar w:left="216" w:top="689" w:right="1440" w:bottom="1440" w:gutter="0" w:footer="0" w:header="0"/>
        </w:sectPr>
      </w:pPr>
    </w:p>
    <w:bookmarkStart w:id="40" w:name="page41"/>
    <w:bookmarkEnd w:id="40"/>
    <w:p>
      <w:pPr>
        <w:ind w:left="744" w:right="4359" w:hanging="367"/>
        <w:spacing w:after="0" w:line="250" w:lineRule="auto"/>
        <w:rPr>
          <w:sz w:val="20"/>
          <w:szCs w:val="20"/>
          <w:color w:val="auto"/>
        </w:rPr>
      </w:pPr>
      <w:r>
        <w:rPr>
          <w:rFonts w:ascii="Courier New" w:cs="Courier New" w:eastAsia="Courier New" w:hAnsi="Courier New"/>
          <w:sz w:val="12"/>
          <w:szCs w:val="12"/>
          <w:color w:val="auto"/>
        </w:rPr>
        <w:t>10.2. the Conversion Shares are duly authorized and are, and will be, reserved (for the avoidance of doubt, without the need for further corporate action by the Company) for issuance by the Company and, when issued in accordance with the terms hereof, will be validly issued, fully paid and non-assessable and not subject to any pre-emptive rights;</w:t>
      </w:r>
    </w:p>
    <w:p>
      <w:pPr>
        <w:spacing w:after="0" w:line="141" w:lineRule="exact"/>
        <w:rPr>
          <w:sz w:val="20"/>
          <w:szCs w:val="20"/>
          <w:color w:val="auto"/>
        </w:rPr>
      </w:pPr>
    </w:p>
    <w:p>
      <w:pPr>
        <w:ind w:left="744" w:right="4359" w:hanging="367"/>
        <w:spacing w:after="0" w:line="250" w:lineRule="auto"/>
        <w:rPr>
          <w:sz w:val="20"/>
          <w:szCs w:val="20"/>
          <w:color w:val="auto"/>
        </w:rPr>
      </w:pPr>
      <w:r>
        <w:rPr>
          <w:rFonts w:ascii="Courier New" w:cs="Courier New" w:eastAsia="Courier New" w:hAnsi="Courier New"/>
          <w:sz w:val="12"/>
          <w:szCs w:val="12"/>
          <w:color w:val="auto"/>
        </w:rPr>
        <w:t>10.3. the execution and delivery of this Capital Note are not, and the issuance of the Conversion Shares upon conversion of this Capital Note in accordance with the terms hereof will not be, inconsistent with the Company's Certificate of Incorporation, Memorandum of Association or Articles of Association, do not and will not contravene any law, governmental or regulatory rule or regulation, including NASDAQ and TASE rules and regulations, judgment or order applicable to the Company, do not and will not conflict with or contravene any provision of, or constitute a default under, any indenture, mortgage, contract or other instrument of which the Company is a party or by which it is bound or, except for consents that have already been obtained and filings already made, require the consent or approval of, the giving of notice to, the registration with or the taking of any action in respect of or by, any Israeli or foreign governmental authority or agency or other person; and</w:t>
      </w:r>
    </w:p>
    <w:p>
      <w:pPr>
        <w:spacing w:after="0" w:line="141" w:lineRule="exact"/>
        <w:rPr>
          <w:sz w:val="20"/>
          <w:szCs w:val="20"/>
          <w:color w:val="auto"/>
        </w:rPr>
      </w:pPr>
    </w:p>
    <w:p>
      <w:pPr>
        <w:ind w:left="744" w:right="4499" w:hanging="367"/>
        <w:spacing w:after="0" w:line="253" w:lineRule="auto"/>
        <w:rPr>
          <w:sz w:val="20"/>
          <w:szCs w:val="20"/>
          <w:color w:val="auto"/>
        </w:rPr>
      </w:pPr>
      <w:r>
        <w:rPr>
          <w:rFonts w:ascii="Courier New" w:cs="Courier New" w:eastAsia="Courier New" w:hAnsi="Courier New"/>
          <w:sz w:val="12"/>
          <w:szCs w:val="12"/>
          <w:color w:val="auto"/>
        </w:rPr>
        <w:t>10.4. the Conversion Shares have been approved for listing and trading on TASE.</w:t>
      </w:r>
    </w:p>
    <w:p>
      <w:pPr>
        <w:spacing w:after="0" w:line="138" w:lineRule="exact"/>
        <w:rPr>
          <w:sz w:val="20"/>
          <w:szCs w:val="20"/>
          <w:color w:val="auto"/>
        </w:rPr>
      </w:pPr>
    </w:p>
    <w:p>
      <w:pPr>
        <w:ind w:left="364" w:hanging="364"/>
        <w:spacing w:after="0"/>
        <w:tabs>
          <w:tab w:leader="none" w:pos="364"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THEFT, DESTRUCTION OR MUTILATION OF CAPITAL NOTE</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Upon receipt by the Company of evidence reasonably satisfactory to it of the loss, theft, destruction or mutilation of any Capital Note or Conversion Shares certificate, and in case of loss, theft or destruction, of indemnity, or security reasonably satisfactory to it, and upon reimbursement to the Company of all reasonable expenses incidental thereto, and upon surrender and cancellation of such Capital Note or Conversion Shares certificate, if mutilated, the Company will make and deliver a new Capital Note or Conversion Shares certificate of like tenor and dated as of such cancellation, in lieu of such Capital Note or Conversion Shares certificate.</w:t>
      </w:r>
    </w:p>
    <w:p>
      <w:pPr>
        <w:spacing w:after="0" w:line="200" w:lineRule="exact"/>
        <w:rPr>
          <w:rFonts w:ascii="Courier New" w:cs="Courier New" w:eastAsia="Courier New" w:hAnsi="Courier New"/>
          <w:sz w:val="12"/>
          <w:szCs w:val="12"/>
          <w:color w:val="auto"/>
        </w:rPr>
      </w:pPr>
    </w:p>
    <w:p>
      <w:pPr>
        <w:spacing w:after="0" w:line="224"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11 -</w:t>
      </w:r>
    </w:p>
    <w:p>
      <w:pPr>
        <w:sectPr>
          <w:pgSz w:w="11900" w:h="16838" w:orient="portrait"/>
          <w:cols w:equalWidth="0" w:num="1">
            <w:col w:w="10244"/>
          </w:cols>
          <w:pgMar w:left="216" w:top="689" w:right="1440" w:bottom="1440" w:gutter="0" w:footer="0" w:header="0"/>
        </w:sectPr>
      </w:pPr>
    </w:p>
    <w:bookmarkStart w:id="41" w:name="page42"/>
    <w:bookmarkEnd w:id="41"/>
    <w:p>
      <w:pPr>
        <w:ind w:left="364" w:hanging="364"/>
        <w:spacing w:after="0"/>
        <w:tabs>
          <w:tab w:leader="none" w:pos="364" w:val="left"/>
        </w:tabs>
        <w:numPr>
          <w:ilvl w:val="0"/>
          <w:numId w:val="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NOTICES</w:t>
      </w:r>
    </w:p>
    <w:p>
      <w:pPr>
        <w:spacing w:after="0" w:line="147" w:lineRule="exact"/>
        <w:rPr>
          <w:sz w:val="20"/>
          <w:szCs w:val="20"/>
          <w:color w:val="auto"/>
        </w:rPr>
      </w:pPr>
    </w:p>
    <w:p>
      <w:pPr>
        <w:ind w:left="4" w:right="4419" w:firstLine="368"/>
        <w:spacing w:after="0" w:line="251" w:lineRule="auto"/>
        <w:rPr>
          <w:sz w:val="20"/>
          <w:szCs w:val="20"/>
          <w:color w:val="auto"/>
        </w:rPr>
      </w:pPr>
      <w:r>
        <w:rPr>
          <w:rFonts w:ascii="Courier New" w:cs="Courier New" w:eastAsia="Courier New" w:hAnsi="Courier New"/>
          <w:sz w:val="12"/>
          <w:szCs w:val="12"/>
          <w:color w:val="auto"/>
        </w:rPr>
        <w:t>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ectPr>
          <w:pgSz w:w="11900" w:h="16838" w:orient="portrait"/>
          <w:cols w:equalWidth="0" w:num="1">
            <w:col w:w="10244"/>
          </w:cols>
          <w:pgMar w:left="216" w:top="689" w:right="1440" w:bottom="1440" w:gutter="0" w:footer="0" w:header="0"/>
        </w:sectPr>
      </w:pPr>
    </w:p>
    <w:p>
      <w:pPr>
        <w:spacing w:after="0" w:line="139" w:lineRule="exact"/>
        <w:rPr>
          <w:sz w:val="20"/>
          <w:szCs w:val="20"/>
          <w:color w:val="auto"/>
        </w:rPr>
      </w:pPr>
    </w:p>
    <w:p>
      <w:pPr>
        <w:ind w:left="1024"/>
        <w:spacing w:after="0"/>
        <w:rPr>
          <w:sz w:val="20"/>
          <w:szCs w:val="20"/>
          <w:color w:val="auto"/>
        </w:rPr>
      </w:pPr>
      <w:r>
        <w:rPr>
          <w:rFonts w:ascii="Courier New" w:cs="Courier New" w:eastAsia="Courier New" w:hAnsi="Courier New"/>
          <w:sz w:val="12"/>
          <w:szCs w:val="12"/>
          <w:color w:val="auto"/>
        </w:rPr>
        <w:t>If to the Holder:</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Israel Coropration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Milennium Tower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23 Aranha 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Tel-Aviv, Israel 61070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ATTENTION: CHIEF FINANCIAL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972-3-684-4574</w:t>
      </w:r>
    </w:p>
    <w:p>
      <w:pPr>
        <w:spacing w:after="0" w:line="147" w:lineRule="exact"/>
        <w:rPr>
          <w:sz w:val="20"/>
          <w:szCs w:val="20"/>
          <w:color w:val="auto"/>
        </w:rPr>
      </w:pPr>
    </w:p>
    <w:p>
      <w:pPr>
        <w:sectPr>
          <w:pgSz w:w="11900" w:h="16838" w:orient="portrait"/>
          <w:cols w:equalWidth="0" w:num="2">
            <w:col w:w="2364" w:space="720"/>
            <w:col w:w="7159"/>
          </w:cols>
          <w:pgMar w:left="216" w:top="689" w:right="1440" w:bottom="1440" w:gutter="0" w:footer="0" w:header="0"/>
          <w:type w:val="continuous"/>
        </w:sectPr>
      </w:pPr>
    </w:p>
    <w:p>
      <w:pPr>
        <w:jc w:val="center"/>
        <w:ind w:left="804"/>
        <w:spacing w:after="0"/>
        <w:rPr>
          <w:sz w:val="20"/>
          <w:szCs w:val="20"/>
          <w:color w:val="auto"/>
        </w:rPr>
      </w:pPr>
      <w:r>
        <w:rPr>
          <w:rFonts w:ascii="Courier New" w:cs="Courier New" w:eastAsia="Courier New" w:hAnsi="Courier New"/>
          <w:sz w:val="12"/>
          <w:szCs w:val="12"/>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Gornitzky &amp;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45 Rothschild Blvd.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 Aviv, Israel 65784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ATTENTION: ZVI EPHRAT, ADV.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(03) 560 6555</w:t>
      </w:r>
    </w:p>
    <w:p>
      <w:pPr>
        <w:spacing w:after="0" w:line="147" w:lineRule="exact"/>
        <w:rPr>
          <w:sz w:val="20"/>
          <w:szCs w:val="20"/>
          <w:color w:val="auto"/>
        </w:rPr>
      </w:pPr>
    </w:p>
    <w:p>
      <w:pPr>
        <w:sectPr>
          <w:pgSz w:w="11900" w:h="16838" w:orient="portrait"/>
          <w:cols w:equalWidth="0" w:num="2">
            <w:col w:w="2364" w:space="720"/>
            <w:col w:w="7159"/>
          </w:cols>
          <w:pgMar w:left="216" w:top="689" w:right="1440" w:bottom="1440" w:gutter="0" w:footer="0" w:header="0"/>
          <w:type w:val="continuous"/>
        </w:sectPr>
      </w:pPr>
    </w:p>
    <w:p>
      <w:pPr>
        <w:ind w:left="1024"/>
        <w:spacing w:after="0"/>
        <w:rPr>
          <w:sz w:val="20"/>
          <w:szCs w:val="20"/>
          <w:color w:val="auto"/>
        </w:rPr>
      </w:pPr>
      <w:r>
        <w:rPr>
          <w:rFonts w:ascii="Courier New" w:cs="Courier New" w:eastAsia="Courier New" w:hAnsi="Courier New"/>
          <w:sz w:val="12"/>
          <w:szCs w:val="12"/>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Tower Semiconductor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P.O. Box 619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Ramat Gabriel Industrial Zone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Migdal Haemek 23105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Israel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ATTENTION: OREN SHIRAZI, ACTING</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2"/>
          <w:szCs w:val="12"/>
          <w:color w:val="auto"/>
        </w:rPr>
        <w:t>CHIEF FINANCIAL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(04) 604 7242</w:t>
      </w:r>
    </w:p>
    <w:p>
      <w:pPr>
        <w:spacing w:after="0" w:line="147" w:lineRule="exact"/>
        <w:rPr>
          <w:sz w:val="20"/>
          <w:szCs w:val="20"/>
          <w:color w:val="auto"/>
        </w:rPr>
      </w:pPr>
    </w:p>
    <w:p>
      <w:pPr>
        <w:sectPr>
          <w:pgSz w:w="11900" w:h="16838" w:orient="portrait"/>
          <w:cols w:equalWidth="0" w:num="2">
            <w:col w:w="2364" w:space="720"/>
            <w:col w:w="7159"/>
          </w:cols>
          <w:pgMar w:left="216" w:top="689" w:right="1440" w:bottom="1440" w:gutter="0" w:footer="0" w:header="0"/>
          <w:type w:val="continuous"/>
        </w:sectPr>
      </w:pPr>
    </w:p>
    <w:p>
      <w:pPr>
        <w:jc w:val="center"/>
        <w:ind w:left="804"/>
        <w:spacing w:after="0"/>
        <w:rPr>
          <w:sz w:val="20"/>
          <w:szCs w:val="20"/>
          <w:color w:val="auto"/>
        </w:rPr>
      </w:pPr>
      <w:r>
        <w:rPr>
          <w:rFonts w:ascii="Courier New" w:cs="Courier New" w:eastAsia="Courier New" w:hAnsi="Courier New"/>
          <w:sz w:val="12"/>
          <w:szCs w:val="12"/>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Yigal Arnon &amp;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 Azrieli Center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 Aviv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Israel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ATTENTION: DAVID H. SCHAPIRO, ADV./</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2"/>
          <w:szCs w:val="12"/>
          <w:color w:val="auto"/>
        </w:rPr>
        <w:t>ARI FRIED, ADV.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(03) 608 7714</w:t>
      </w:r>
    </w:p>
    <w:p>
      <w:pPr>
        <w:spacing w:after="0" w:line="147" w:lineRule="exact"/>
        <w:rPr>
          <w:sz w:val="20"/>
          <w:szCs w:val="20"/>
          <w:color w:val="auto"/>
        </w:rPr>
      </w:pPr>
    </w:p>
    <w:p>
      <w:pPr>
        <w:sectPr>
          <w:pgSz w:w="11900" w:h="16838" w:orient="portrait"/>
          <w:cols w:equalWidth="0" w:num="2">
            <w:col w:w="2364" w:space="720"/>
            <w:col w:w="7159"/>
          </w:cols>
          <w:pgMar w:left="216" w:top="689" w:right="1440" w:bottom="1440" w:gutter="0" w:footer="0" w:header="0"/>
          <w:type w:val="continuous"/>
        </w:sectPr>
      </w:pPr>
    </w:p>
    <w:p>
      <w:pPr>
        <w:ind w:left="364" w:right="4419"/>
        <w:spacing w:after="0" w:line="249" w:lineRule="auto"/>
        <w:rPr>
          <w:sz w:val="20"/>
          <w:szCs w:val="20"/>
          <w:color w:val="auto"/>
        </w:rPr>
      </w:pPr>
      <w:r>
        <w:rPr>
          <w:rFonts w:ascii="Courier New" w:cs="Courier New" w:eastAsia="Courier New" w:hAnsi="Courier New"/>
          <w:sz w:val="12"/>
          <w:szCs w:val="12"/>
          <w:color w:val="auto"/>
        </w:rPr>
        <w:t>or such other address with respect to a party as such party shall notify each other party in writing as above provided. Any notice sent in accordance with this clause 12 shall be effective: (a) if mailed, 5 (five) business days after mailing; (b) if sent by messenger, upon delivery; and</w:t>
      </w:r>
    </w:p>
    <w:p>
      <w:pPr>
        <w:spacing w:after="0" w:line="2" w:lineRule="exact"/>
        <w:rPr>
          <w:sz w:val="20"/>
          <w:szCs w:val="20"/>
          <w:color w:val="auto"/>
        </w:rPr>
      </w:pPr>
    </w:p>
    <w:p>
      <w:pPr>
        <w:ind w:left="364" w:right="4419" w:firstLine="4"/>
        <w:spacing w:after="0" w:line="253" w:lineRule="auto"/>
        <w:tabs>
          <w:tab w:leader="none" w:pos="659"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sent via facsimile, 1 (one) business day following transmission and electronic confirmation of receipt.</w:t>
      </w:r>
    </w:p>
    <w:p>
      <w:pPr>
        <w:spacing w:after="0" w:line="279"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12 -</w:t>
      </w:r>
    </w:p>
    <w:p>
      <w:pPr>
        <w:sectPr>
          <w:pgSz w:w="11900" w:h="16838" w:orient="portrait"/>
          <w:cols w:equalWidth="0" w:num="1">
            <w:col w:w="10244"/>
          </w:cols>
          <w:pgMar w:left="216" w:top="689" w:right="1440" w:bottom="1440" w:gutter="0" w:footer="0" w:header="0"/>
          <w:type w:val="continuous"/>
        </w:sectPr>
      </w:pPr>
    </w:p>
    <w:bookmarkStart w:id="42" w:name="page43"/>
    <w:bookmarkEnd w:id="42"/>
    <w:p>
      <w:pPr>
        <w:ind w:left="364" w:hanging="364"/>
        <w:spacing w:after="0"/>
        <w:tabs>
          <w:tab w:leader="none" w:pos="364" w:val="left"/>
        </w:tabs>
        <w:numPr>
          <w:ilvl w:val="0"/>
          <w:numId w:val="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APPLICABLE LAW; JURISDICTION</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Capital Note shall be governed by and construed in accordance with the laws of the State of Israel as applicable to contracts between two residents of the State of Israel entered into and to be performed entirely within the State of Israel. Any dispute arising under or in relation to this Capital Note shall be resolved in the competent court for Tel Aviv-Jaffa district, and the Company and the Holder hereby submits irrevocably to the jurisdiction of such court.</w:t>
      </w:r>
    </w:p>
    <w:p>
      <w:pPr>
        <w:spacing w:after="0" w:line="141"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Dated: September 28, 2006</w:t>
      </w:r>
    </w:p>
    <w:p>
      <w:pPr>
        <w:sectPr>
          <w:pgSz w:w="11900" w:h="16838" w:orient="portrait"/>
          <w:cols w:equalWidth="0" w:num="1">
            <w:col w:w="10244"/>
          </w:cols>
          <w:pgMar w:left="216" w:top="689" w:right="1440" w:bottom="1440" w:gutter="0" w:footer="0" w:header="0"/>
        </w:sectPr>
      </w:pPr>
    </w:p>
    <w:p>
      <w:pPr>
        <w:spacing w:after="0" w:line="147"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for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TOWER SEMICONDUCTOR LTD.</w:t>
      </w:r>
    </w:p>
    <w:p>
      <w:pPr>
        <w:spacing w:after="0" w:line="147" w:lineRule="exact"/>
        <w:rPr>
          <w:sz w:val="20"/>
          <w:szCs w:val="20"/>
          <w:color w:val="auto"/>
        </w:rPr>
      </w:pPr>
    </w:p>
    <w:p>
      <w:pPr>
        <w:sectPr>
          <w:pgSz w:w="11900" w:h="16838" w:orient="portrait"/>
          <w:cols w:equalWidth="0" w:num="2">
            <w:col w:w="224" w:space="300"/>
            <w:col w:w="9719"/>
          </w:cols>
          <w:pgMar w:left="216" w:top="689" w:right="1440" w:bottom="144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_____________________________</w:t>
      </w:r>
    </w:p>
    <w:p>
      <w:pPr>
        <w:spacing w:after="0" w:line="147" w:lineRule="exact"/>
        <w:rPr>
          <w:sz w:val="20"/>
          <w:szCs w:val="20"/>
          <w:color w:val="auto"/>
        </w:rPr>
      </w:pPr>
    </w:p>
    <w:p>
      <w:pPr>
        <w:sectPr>
          <w:pgSz w:w="11900" w:h="16838" w:orient="portrait"/>
          <w:cols w:equalWidth="0" w:num="2">
            <w:col w:w="224" w:space="300"/>
            <w:col w:w="9719"/>
          </w:cols>
          <w:pgMar w:left="216" w:top="689" w:right="1440" w:bottom="144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Title: _____________________________</w:t>
      </w:r>
    </w:p>
    <w:p>
      <w:pPr>
        <w:sectPr>
          <w:pgSz w:w="11900" w:h="16838" w:orient="portrait"/>
          <w:cols w:equalWidth="0" w:num="1">
            <w:col w:w="10244"/>
          </w:cols>
          <w:pgMar w:left="216" w:top="689" w:right="1440" w:bottom="1440" w:gutter="0" w:footer="0" w:header="0"/>
          <w:type w:val="continuous"/>
        </w:sectPr>
      </w:pP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- 13 -</w:t>
      </w:r>
    </w:p>
    <w:p>
      <w:pPr>
        <w:sectPr>
          <w:pgSz w:w="11900" w:h="16838" w:orient="portrait"/>
          <w:cols w:equalWidth="0" w:num="1">
            <w:col w:w="10244"/>
          </w:cols>
          <w:pgMar w:left="216" w:top="689" w:right="1440" w:bottom="1440" w:gutter="0" w:footer="0" w:header="0"/>
          <w:type w:val="continuous"/>
        </w:sectPr>
      </w:pPr>
    </w:p>
    <w:bookmarkStart w:id="43" w:name="page44"/>
    <w:bookmarkEnd w:id="43"/>
    <w:p>
      <w:pPr>
        <w:jc w:val="right"/>
        <w:ind w:right="4359"/>
        <w:spacing w:after="0"/>
        <w:rPr>
          <w:sz w:val="20"/>
          <w:szCs w:val="20"/>
          <w:color w:val="auto"/>
        </w:rPr>
      </w:pPr>
      <w:r>
        <w:rPr>
          <w:rFonts w:ascii="Courier New" w:cs="Courier New" w:eastAsia="Courier New" w:hAnsi="Courier New"/>
          <w:sz w:val="12"/>
          <w:szCs w:val="12"/>
          <w:color w:val="auto"/>
        </w:rPr>
        <w:t>EXHIBIT 99.5</w:t>
      </w:r>
    </w:p>
    <w:p>
      <w:pPr>
        <w:spacing w:after="0" w:line="147" w:lineRule="exact"/>
        <w:rPr>
          <w:sz w:val="20"/>
          <w:szCs w:val="20"/>
          <w:color w:val="auto"/>
        </w:rPr>
      </w:pPr>
    </w:p>
    <w:p>
      <w:pPr>
        <w:jc w:val="center"/>
        <w:ind w:right="4295"/>
        <w:spacing w:after="0"/>
        <w:rPr>
          <w:sz w:val="20"/>
          <w:szCs w:val="20"/>
          <w:color w:val="auto"/>
        </w:rPr>
      </w:pPr>
      <w:r>
        <w:rPr>
          <w:rFonts w:ascii="Courier New" w:cs="Courier New" w:eastAsia="Courier New" w:hAnsi="Courier New"/>
          <w:sz w:val="12"/>
          <w:szCs w:val="12"/>
          <w:color w:val="auto"/>
        </w:rPr>
        <w:t>REGISTRATION RIGHTS AGREEMENT</w:t>
      </w:r>
    </w:p>
    <w:p>
      <w:pPr>
        <w:spacing w:after="0" w:line="147" w:lineRule="exact"/>
        <w:rPr>
          <w:sz w:val="20"/>
          <w:szCs w:val="20"/>
          <w:color w:val="auto"/>
        </w:rPr>
      </w:pPr>
    </w:p>
    <w:p>
      <w:pPr>
        <w:jc w:val="both"/>
        <w:ind w:left="4" w:right="4419" w:firstLine="368"/>
        <w:spacing w:after="0" w:line="250" w:lineRule="auto"/>
        <w:rPr>
          <w:sz w:val="20"/>
          <w:szCs w:val="20"/>
          <w:color w:val="auto"/>
        </w:rPr>
      </w:pPr>
      <w:r>
        <w:rPr>
          <w:rFonts w:ascii="Courier New" w:cs="Courier New" w:eastAsia="Courier New" w:hAnsi="Courier New"/>
          <w:sz w:val="12"/>
          <w:szCs w:val="12"/>
          <w:color w:val="auto"/>
        </w:rPr>
        <w:t>This Registration Rights Agreement (this "AGREEMENT") is made and entered into effective as of September 28, 2006 by and between TOWER SEMICONDUCTOR LTD. (the "COMPANY" or "TOWER"), a company organized under the laws of the State of Israel, and ISRAEL CORPORATION LTD., a corporation organized under the laws of the State of Israel ("TIC" or the "INVESTOR").</w:t>
      </w:r>
    </w:p>
    <w:p>
      <w:pPr>
        <w:spacing w:after="0" w:line="141" w:lineRule="exact"/>
        <w:rPr>
          <w:sz w:val="20"/>
          <w:szCs w:val="20"/>
          <w:color w:val="auto"/>
        </w:rPr>
      </w:pPr>
    </w:p>
    <w:p>
      <w:pPr>
        <w:ind w:left="4" w:right="4419" w:firstLine="368"/>
        <w:spacing w:after="0" w:line="251" w:lineRule="auto"/>
        <w:rPr>
          <w:sz w:val="20"/>
          <w:szCs w:val="20"/>
          <w:color w:val="auto"/>
        </w:rPr>
      </w:pPr>
      <w:r>
        <w:rPr>
          <w:rFonts w:ascii="Courier New" w:cs="Courier New" w:eastAsia="Courier New" w:hAnsi="Courier New"/>
          <w:sz w:val="12"/>
          <w:szCs w:val="12"/>
          <w:color w:val="auto"/>
        </w:rPr>
        <w:t>WHEREAS, Tower is an independent manufacturer of wafers whose Ordinary Shares are traded on the Nasdaq Stock Market ("NASDAQ") under the symbol "TSEM" and whose Ordinary Shares and certain other securities are traded on the Tel-Aviv Stock Exchange ("TASE") under the symbol "TSEM";</w:t>
      </w:r>
    </w:p>
    <w:p>
      <w:pPr>
        <w:spacing w:after="0" w:line="139"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WHEREAS, TIC and Tower have entered into a Securities Purchase Agreement dated August 24, 2006 (the "PURCHASE AGREEMENT"), the conditions to the effectiveness of which include, INTER ALIA, the issuance to TIC of an equity-equivalent convertible capital note which will in turn be convertible, in whole or in part, by the Investor at any time and from time to time into shares of Tower; and</w:t>
      </w:r>
    </w:p>
    <w:p>
      <w:pPr>
        <w:spacing w:after="0" w:line="141" w:lineRule="exact"/>
        <w:rPr>
          <w:sz w:val="20"/>
          <w:szCs w:val="20"/>
          <w:color w:val="auto"/>
        </w:rPr>
      </w:pPr>
    </w:p>
    <w:p>
      <w:pPr>
        <w:ind w:left="4" w:right="4419" w:firstLine="368"/>
        <w:spacing w:after="0" w:line="250" w:lineRule="auto"/>
        <w:rPr>
          <w:sz w:val="20"/>
          <w:szCs w:val="20"/>
          <w:color w:val="auto"/>
        </w:rPr>
      </w:pPr>
      <w:r>
        <w:rPr>
          <w:rFonts w:ascii="Courier New" w:cs="Courier New" w:eastAsia="Courier New" w:hAnsi="Courier New"/>
          <w:sz w:val="12"/>
          <w:szCs w:val="12"/>
          <w:color w:val="auto"/>
        </w:rPr>
        <w:t>WHEREAS, Tower, TIC and certain other shareholders of Tower entered into a Registration Rights Agreement, dated January 18, 2001 (the "2001 REGISTRATION RIGHTS AGREEMENT"); for the avoidance of doubt, nothing herein shall derogate from or limit the registration rights granted to TIC pursuant to the 2001 Registration Rights Agreement.</w:t>
      </w:r>
    </w:p>
    <w:p>
      <w:pPr>
        <w:spacing w:after="0" w:line="141" w:lineRule="exact"/>
        <w:rPr>
          <w:sz w:val="20"/>
          <w:szCs w:val="20"/>
          <w:color w:val="auto"/>
        </w:rPr>
      </w:pPr>
    </w:p>
    <w:p>
      <w:pPr>
        <w:ind w:left="4" w:right="4499" w:firstLine="368"/>
        <w:spacing w:after="0" w:line="251" w:lineRule="auto"/>
        <w:rPr>
          <w:sz w:val="20"/>
          <w:szCs w:val="20"/>
          <w:color w:val="auto"/>
        </w:rPr>
      </w:pPr>
      <w:r>
        <w:rPr>
          <w:rFonts w:ascii="Courier New" w:cs="Courier New" w:eastAsia="Courier New" w:hAnsi="Courier New"/>
          <w:sz w:val="12"/>
          <w:szCs w:val="12"/>
          <w:color w:val="auto"/>
        </w:rPr>
        <w:t>NOW, THEREFORE, in consideration of the premises and the mutual covenants contained herein and other good and valuable consideration, the receipt and sufficiency of which are hereby acknowledged, the Company and the Investor hereby agree as follows:</w:t>
      </w:r>
    </w:p>
    <w:p>
      <w:pPr>
        <w:spacing w:after="0" w:line="139" w:lineRule="exact"/>
        <w:rPr>
          <w:sz w:val="20"/>
          <w:szCs w:val="20"/>
          <w:color w:val="auto"/>
        </w:rPr>
      </w:pPr>
    </w:p>
    <w:p>
      <w:pPr>
        <w:ind w:left="364" w:hanging="364"/>
        <w:spacing w:after="0"/>
        <w:tabs>
          <w:tab w:leader="none" w:pos="364" w:val="left"/>
        </w:tabs>
        <w:numPr>
          <w:ilvl w:val="0"/>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DEFINITIONS AND INTERPRETATION.</w:t>
      </w:r>
    </w:p>
    <w:p>
      <w:pPr>
        <w:spacing w:after="0" w:line="147" w:lineRule="exact"/>
        <w:rPr>
          <w:rFonts w:ascii="Courier New" w:cs="Courier New" w:eastAsia="Courier New" w:hAnsi="Courier New"/>
          <w:sz w:val="12"/>
          <w:szCs w:val="12"/>
          <w:color w:val="auto"/>
        </w:rPr>
      </w:pPr>
    </w:p>
    <w:p>
      <w:pPr>
        <w:ind w:left="364" w:right="4639"/>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used in this Agreement, the following terms shall have the following meanings:</w:t>
      </w:r>
    </w:p>
    <w:p>
      <w:pPr>
        <w:spacing w:after="0" w:line="138" w:lineRule="exact"/>
        <w:rPr>
          <w:rFonts w:ascii="Courier New" w:cs="Courier New" w:eastAsia="Courier New" w:hAnsi="Courier New"/>
          <w:sz w:val="12"/>
          <w:szCs w:val="12"/>
          <w:color w:val="auto"/>
        </w:rPr>
      </w:pPr>
    </w:p>
    <w:p>
      <w:pPr>
        <w:ind w:left="744" w:right="4419" w:hanging="376"/>
        <w:spacing w:after="0" w:line="253" w:lineRule="auto"/>
        <w:tabs>
          <w:tab w:leader="none" w:pos="744" w:val="left"/>
        </w:tabs>
        <w:numPr>
          <w:ilvl w:val="1"/>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"CAPITAL NOTE" means any capital note that is convertible into shares of Tower.</w:t>
      </w:r>
    </w:p>
    <w:p>
      <w:pPr>
        <w:spacing w:after="0" w:line="138" w:lineRule="exact"/>
        <w:rPr>
          <w:rFonts w:ascii="Courier New" w:cs="Courier New" w:eastAsia="Courier New" w:hAnsi="Courier New"/>
          <w:sz w:val="12"/>
          <w:szCs w:val="12"/>
          <w:color w:val="auto"/>
        </w:rPr>
      </w:pPr>
    </w:p>
    <w:p>
      <w:pPr>
        <w:ind w:left="744" w:right="4579" w:hanging="376"/>
        <w:spacing w:after="0" w:line="251" w:lineRule="auto"/>
        <w:tabs>
          <w:tab w:leader="none" w:pos="744" w:val="left"/>
        </w:tabs>
        <w:numPr>
          <w:ilvl w:val="1"/>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"HOLDER" means TIC, any transferee or assignee to whom TIC, assigns its rights, in whole or in part, and any transferee or assignee thereof to whom a transferee or assignee assigns its rights, in accordance with Section 9.</w:t>
      </w:r>
    </w:p>
    <w:p>
      <w:pPr>
        <w:spacing w:after="0" w:line="200" w:lineRule="exact"/>
        <w:rPr>
          <w:rFonts w:ascii="Courier New" w:cs="Courier New" w:eastAsia="Courier New" w:hAnsi="Courier New"/>
          <w:sz w:val="12"/>
          <w:szCs w:val="12"/>
          <w:color w:val="auto"/>
        </w:rPr>
      </w:pPr>
    </w:p>
    <w:p>
      <w:pPr>
        <w:spacing w:after="0" w:line="200" w:lineRule="exact"/>
        <w:rPr>
          <w:rFonts w:ascii="Courier New" w:cs="Courier New" w:eastAsia="Courier New" w:hAnsi="Courier New"/>
          <w:sz w:val="12"/>
          <w:szCs w:val="12"/>
          <w:color w:val="auto"/>
        </w:rPr>
      </w:pPr>
    </w:p>
    <w:p>
      <w:pPr>
        <w:spacing w:after="0" w:line="286" w:lineRule="exact"/>
        <w:rPr>
          <w:rFonts w:ascii="Courier New" w:cs="Courier New" w:eastAsia="Courier New" w:hAnsi="Courier New"/>
          <w:sz w:val="12"/>
          <w:szCs w:val="12"/>
          <w:color w:val="auto"/>
        </w:rPr>
      </w:pPr>
    </w:p>
    <w:p>
      <w:pPr>
        <w:ind w:left="744" w:right="4579" w:hanging="376"/>
        <w:spacing w:after="0" w:line="253" w:lineRule="auto"/>
        <w:tabs>
          <w:tab w:leader="none" w:pos="744" w:val="left"/>
        </w:tabs>
        <w:numPr>
          <w:ilvl w:val="1"/>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"ISA" means the Israel Securities Authority or any similar or successor agency of Israel administering the Israel Securities Law.</w:t>
      </w:r>
    </w:p>
    <w:p>
      <w:pPr>
        <w:spacing w:after="0" w:line="138" w:lineRule="exact"/>
        <w:rPr>
          <w:rFonts w:ascii="Courier New" w:cs="Courier New" w:eastAsia="Courier New" w:hAnsi="Courier New"/>
          <w:sz w:val="12"/>
          <w:szCs w:val="12"/>
          <w:color w:val="auto"/>
        </w:rPr>
      </w:pPr>
    </w:p>
    <w:p>
      <w:pPr>
        <w:ind w:left="744" w:right="4639" w:hanging="376"/>
        <w:spacing w:after="0" w:line="253" w:lineRule="auto"/>
        <w:tabs>
          <w:tab w:leader="none" w:pos="744" w:val="left"/>
        </w:tabs>
        <w:numPr>
          <w:ilvl w:val="1"/>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"ISRAEL SECURITIES LAW" means the Israel Securities Law, 5728-1968 (including the regulations promulgated thereunder), as amended.</w:t>
      </w:r>
    </w:p>
    <w:p>
      <w:pPr>
        <w:spacing w:after="0" w:line="138" w:lineRule="exact"/>
        <w:rPr>
          <w:rFonts w:ascii="Courier New" w:cs="Courier New" w:eastAsia="Courier New" w:hAnsi="Courier New"/>
          <w:sz w:val="12"/>
          <w:szCs w:val="12"/>
          <w:color w:val="auto"/>
        </w:rPr>
      </w:pPr>
    </w:p>
    <w:p>
      <w:pPr>
        <w:ind w:left="744" w:right="4419" w:hanging="376"/>
        <w:spacing w:after="0" w:line="253" w:lineRule="auto"/>
        <w:tabs>
          <w:tab w:leader="none" w:pos="744" w:val="left"/>
        </w:tabs>
        <w:numPr>
          <w:ilvl w:val="1"/>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"1933 ACT" means the U.S. Securities Act of 1933, as amended, and the rules and regulations thereunder, or any similar successor statute.</w:t>
      </w:r>
    </w:p>
    <w:p>
      <w:pPr>
        <w:spacing w:after="0" w:line="138" w:lineRule="exact"/>
        <w:rPr>
          <w:rFonts w:ascii="Courier New" w:cs="Courier New" w:eastAsia="Courier New" w:hAnsi="Courier New"/>
          <w:sz w:val="12"/>
          <w:szCs w:val="12"/>
          <w:color w:val="auto"/>
        </w:rPr>
      </w:pPr>
    </w:p>
    <w:p>
      <w:pPr>
        <w:ind w:left="744" w:right="4359" w:hanging="376"/>
        <w:spacing w:after="0" w:line="251" w:lineRule="auto"/>
        <w:tabs>
          <w:tab w:leader="none" w:pos="744" w:val="left"/>
        </w:tabs>
        <w:numPr>
          <w:ilvl w:val="1"/>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"1934 ACT" means the U.S. Securities Exchange Act of 1934, as amended, and the rules and regulations thereunder, or any similar successor statute.</w:t>
      </w:r>
    </w:p>
    <w:p>
      <w:pPr>
        <w:spacing w:after="0" w:line="139" w:lineRule="exact"/>
        <w:rPr>
          <w:rFonts w:ascii="Courier New" w:cs="Courier New" w:eastAsia="Courier New" w:hAnsi="Courier New"/>
          <w:sz w:val="12"/>
          <w:szCs w:val="12"/>
          <w:color w:val="auto"/>
        </w:rPr>
      </w:pPr>
    </w:p>
    <w:p>
      <w:pPr>
        <w:ind w:left="744" w:right="4499" w:hanging="376"/>
        <w:spacing w:after="0" w:line="250" w:lineRule="auto"/>
        <w:tabs>
          <w:tab w:leader="none" w:pos="744" w:val="left"/>
        </w:tabs>
        <w:numPr>
          <w:ilvl w:val="1"/>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"REGISTER", "REGISTERED", and "REGISTRATION" refer to a registration effected by preparing and filing a registration statement in compliance with the 1933 Act and the effectiveness of such registration statement in accordance with the 1933 Act or the equivalent actions under the laws of another jurisdiction.</w:t>
      </w:r>
    </w:p>
    <w:p>
      <w:pPr>
        <w:spacing w:after="0" w:line="141" w:lineRule="exact"/>
        <w:rPr>
          <w:rFonts w:ascii="Courier New" w:cs="Courier New" w:eastAsia="Courier New" w:hAnsi="Courier New"/>
          <w:sz w:val="12"/>
          <w:szCs w:val="12"/>
          <w:color w:val="auto"/>
        </w:rPr>
      </w:pPr>
    </w:p>
    <w:p>
      <w:pPr>
        <w:ind w:left="744" w:right="4419" w:hanging="376"/>
        <w:spacing w:after="0" w:line="250" w:lineRule="auto"/>
        <w:tabs>
          <w:tab w:leader="none" w:pos="744" w:val="left"/>
        </w:tabs>
        <w:numPr>
          <w:ilvl w:val="1"/>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"REGISTRABLE SECURITIES" means (i) the ordinary shares of the Company issued or issuable upon conversion of any Capital Note by any Holder, and (ii) any shares of capital stock issued or issuable with respect to the ordinary shares of the Company issued or issuable upon conversion of the Capital Note as a result of any stock split, stock dividend, rights offering, recapitalization, merger, exchange or similar event or otherwise, as described in any Capital Note.</w:t>
      </w:r>
    </w:p>
    <w:p>
      <w:pPr>
        <w:spacing w:after="0" w:line="141" w:lineRule="exact"/>
        <w:rPr>
          <w:rFonts w:ascii="Courier New" w:cs="Courier New" w:eastAsia="Courier New" w:hAnsi="Courier New"/>
          <w:sz w:val="12"/>
          <w:szCs w:val="12"/>
          <w:color w:val="auto"/>
        </w:rPr>
      </w:pPr>
    </w:p>
    <w:p>
      <w:pPr>
        <w:ind w:left="744" w:right="4359" w:hanging="376"/>
        <w:spacing w:after="0" w:line="250" w:lineRule="auto"/>
        <w:tabs>
          <w:tab w:leader="none" w:pos="744" w:val="left"/>
        </w:tabs>
        <w:numPr>
          <w:ilvl w:val="1"/>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"REGISTRATION STATEMENT" means a registration statement or registration statements of the Company covering Registrable Securities filed with (a) the SEC under the 1933 Act, and (b) the ISA under the Israel Securities Law, to the extent required under the Israel Securities Law, so as to allow the Holder to freely resell the Registrable Securities in Israel, including on the TASE.</w:t>
      </w:r>
    </w:p>
    <w:p>
      <w:pPr>
        <w:spacing w:after="0" w:line="141" w:lineRule="exact"/>
        <w:rPr>
          <w:rFonts w:ascii="Courier New" w:cs="Courier New" w:eastAsia="Courier New" w:hAnsi="Courier New"/>
          <w:sz w:val="12"/>
          <w:szCs w:val="12"/>
          <w:color w:val="auto"/>
        </w:rPr>
      </w:pPr>
    </w:p>
    <w:p>
      <w:pPr>
        <w:ind w:left="744" w:right="4359" w:hanging="376"/>
        <w:spacing w:after="0" w:line="251" w:lineRule="auto"/>
        <w:tabs>
          <w:tab w:leader="none" w:pos="744" w:val="left"/>
        </w:tabs>
        <w:numPr>
          <w:ilvl w:val="1"/>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"SEC" means the United States Securities and Exchange Commission or any similar or successor agency of the United States administering the 1933 Act.</w:t>
      </w:r>
    </w:p>
    <w:p>
      <w:pPr>
        <w:spacing w:after="0" w:line="140"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In this Agreement:</w:t>
      </w:r>
    </w:p>
    <w:p>
      <w:pPr>
        <w:spacing w:after="0" w:line="147" w:lineRule="exact"/>
        <w:rPr>
          <w:sz w:val="20"/>
          <w:szCs w:val="20"/>
          <w:color w:val="auto"/>
        </w:rPr>
      </w:pPr>
    </w:p>
    <w:p>
      <w:pPr>
        <w:ind w:left="744" w:right="4499" w:hanging="376"/>
        <w:spacing w:after="0" w:line="251" w:lineRule="auto"/>
        <w:tabs>
          <w:tab w:leader="none" w:pos="744" w:val="left"/>
        </w:tabs>
        <w:numPr>
          <w:ilvl w:val="0"/>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Words importing the singular shall include the plural and VICE VERSA and words importing any gender shall include all other genders and references to persons shall include partnerships, corporations and unincorporated associations.</w:t>
      </w:r>
    </w:p>
    <w:p>
      <w:pPr>
        <w:spacing w:after="0" w:line="280"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2 -</w:t>
      </w:r>
    </w:p>
    <w:p>
      <w:pPr>
        <w:sectPr>
          <w:pgSz w:w="11900" w:h="16838" w:orient="portrait"/>
          <w:cols w:equalWidth="0" w:num="1">
            <w:col w:w="10244"/>
          </w:cols>
          <w:pgMar w:left="216" w:top="283" w:right="1440" w:bottom="1440" w:gutter="0" w:footer="0" w:header="0"/>
        </w:sectPr>
      </w:pPr>
    </w:p>
    <w:bookmarkStart w:id="44" w:name="page45"/>
    <w:bookmarkEnd w:id="44"/>
    <w:p>
      <w:pPr>
        <w:ind w:left="744" w:right="4359" w:hanging="376"/>
        <w:spacing w:after="0" w:line="251" w:lineRule="auto"/>
        <w:tabs>
          <w:tab w:leader="none" w:pos="744" w:val="left"/>
        </w:tabs>
        <w:numPr>
          <w:ilvl w:val="1"/>
          <w:numId w:val="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reference in this Agreement to a specific form or to any rule or regulation adopted by the SEC shall also include any successor form or amended or successor rule or regulation subsequently adopted by the SEC, all as the same may be in effect at the time.</w:t>
      </w:r>
    </w:p>
    <w:p>
      <w:pPr>
        <w:spacing w:after="0" w:line="139" w:lineRule="exact"/>
        <w:rPr>
          <w:rFonts w:ascii="Courier New" w:cs="Courier New" w:eastAsia="Courier New" w:hAnsi="Courier New"/>
          <w:sz w:val="12"/>
          <w:szCs w:val="12"/>
          <w:color w:val="auto"/>
        </w:rPr>
      </w:pPr>
    </w:p>
    <w:p>
      <w:pPr>
        <w:ind w:left="744" w:right="4499" w:hanging="376"/>
        <w:spacing w:after="0" w:line="251" w:lineRule="auto"/>
        <w:tabs>
          <w:tab w:leader="none" w:pos="744" w:val="left"/>
        </w:tabs>
        <w:numPr>
          <w:ilvl w:val="1"/>
          <w:numId w:val="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reference in this Agreement to a statute, act or law shall be construed as a reference to such statute, act or law as the same may have been, or may from time to time be, amended or reenacted.</w:t>
      </w:r>
    </w:p>
    <w:p>
      <w:pPr>
        <w:spacing w:after="0" w:line="139" w:lineRule="exact"/>
        <w:rPr>
          <w:rFonts w:ascii="Courier New" w:cs="Courier New" w:eastAsia="Courier New" w:hAnsi="Courier New"/>
          <w:sz w:val="12"/>
          <w:szCs w:val="12"/>
          <w:color w:val="auto"/>
        </w:rPr>
      </w:pPr>
    </w:p>
    <w:p>
      <w:pPr>
        <w:ind w:left="744" w:right="4579" w:hanging="376"/>
        <w:spacing w:after="0" w:line="251" w:lineRule="auto"/>
        <w:tabs>
          <w:tab w:leader="none" w:pos="744" w:val="left"/>
        </w:tabs>
        <w:numPr>
          <w:ilvl w:val="1"/>
          <w:numId w:val="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"PERSON" shall be construed as a reference to any person, firm, company, corporation, government, state or agency of a state or any association or partnership (whether or not having separate legal personality) or two or more of the aforegoing.</w:t>
      </w:r>
    </w:p>
    <w:p>
      <w:pPr>
        <w:spacing w:after="0" w:line="139" w:lineRule="exact"/>
        <w:rPr>
          <w:rFonts w:ascii="Courier New" w:cs="Courier New" w:eastAsia="Courier New" w:hAnsi="Courier New"/>
          <w:sz w:val="12"/>
          <w:szCs w:val="12"/>
          <w:color w:val="auto"/>
        </w:rPr>
      </w:pPr>
    </w:p>
    <w:p>
      <w:pPr>
        <w:ind w:left="744" w:right="4719" w:hanging="376"/>
        <w:spacing w:after="0" w:line="253" w:lineRule="auto"/>
        <w:tabs>
          <w:tab w:leader="none" w:pos="744" w:val="left"/>
        </w:tabs>
        <w:numPr>
          <w:ilvl w:val="1"/>
          <w:numId w:val="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"INCLUDING" and "INCLUDES" means, including, without limiting the generality of any description preceding such terms.</w:t>
      </w:r>
    </w:p>
    <w:p>
      <w:pPr>
        <w:spacing w:after="0" w:line="138" w:lineRule="exact"/>
        <w:rPr>
          <w:rFonts w:ascii="Courier New" w:cs="Courier New" w:eastAsia="Courier New" w:hAnsi="Courier New"/>
          <w:sz w:val="12"/>
          <w:szCs w:val="12"/>
          <w:color w:val="auto"/>
        </w:rPr>
      </w:pPr>
    </w:p>
    <w:p>
      <w:pPr>
        <w:ind w:left="744" w:right="4359" w:hanging="376"/>
        <w:spacing w:after="0" w:line="251" w:lineRule="auto"/>
        <w:tabs>
          <w:tab w:leader="none" w:pos="744" w:val="left"/>
        </w:tabs>
        <w:numPr>
          <w:ilvl w:val="1"/>
          <w:numId w:val="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headings herein are for convenience only, do not constitute a part of this Agreement and shall not be deemed to limit or affect any of the provisions hereof.</w:t>
      </w:r>
    </w:p>
    <w:p>
      <w:pPr>
        <w:spacing w:after="0" w:line="139"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REGISTRATION.</w:t>
      </w:r>
    </w:p>
    <w:p>
      <w:pPr>
        <w:spacing w:after="0" w:line="147" w:lineRule="exact"/>
        <w:rPr>
          <w:rFonts w:ascii="Courier New" w:cs="Courier New" w:eastAsia="Courier New" w:hAnsi="Courier New"/>
          <w:sz w:val="12"/>
          <w:szCs w:val="12"/>
          <w:color w:val="auto"/>
        </w:rPr>
      </w:pPr>
    </w:p>
    <w:p>
      <w:pPr>
        <w:ind w:left="744" w:right="4359" w:hanging="376"/>
        <w:spacing w:after="0" w:line="250" w:lineRule="auto"/>
        <w:tabs>
          <w:tab w:leader="none" w:pos="744" w:val="left"/>
        </w:tabs>
        <w:numPr>
          <w:ilvl w:val="1"/>
          <w:numId w:val="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prepare, and, as soon as practicable but in no event later than 45 days after the date of this Agreement file with the SEC a Registration Statement on Form F-3 and make all required filings with the ISA covering the resale of all of the then Registrable Securities that are not already registered. The Company shall use its best efforts to have the Registration Statement declared effective by the SEC and the ISA as soon as possible after such filing with the SEC and the ISA.</w:t>
      </w:r>
    </w:p>
    <w:p>
      <w:pPr>
        <w:spacing w:after="0" w:line="282" w:lineRule="exact"/>
        <w:rPr>
          <w:rFonts w:ascii="Courier New" w:cs="Courier New" w:eastAsia="Courier New" w:hAnsi="Courier New"/>
          <w:sz w:val="12"/>
          <w:szCs w:val="12"/>
          <w:color w:val="auto"/>
        </w:rPr>
      </w:pPr>
    </w:p>
    <w:p>
      <w:pPr>
        <w:ind w:left="744" w:right="4359" w:hanging="376"/>
        <w:spacing w:after="0" w:line="249" w:lineRule="auto"/>
        <w:tabs>
          <w:tab w:leader="none" w:pos="744" w:val="left"/>
        </w:tabs>
        <w:numPr>
          <w:ilvl w:val="1"/>
          <w:numId w:val="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that Form F-3 shall not be available for the registration of the resale of Registrable Securities hereunder, the Company shall</w:t>
      </w:r>
    </w:p>
    <w:p>
      <w:pPr>
        <w:spacing w:after="0" w:line="1" w:lineRule="exact"/>
        <w:rPr>
          <w:rFonts w:ascii="Courier New" w:cs="Courier New" w:eastAsia="Courier New" w:hAnsi="Courier New"/>
          <w:sz w:val="12"/>
          <w:szCs w:val="12"/>
          <w:color w:val="auto"/>
        </w:rPr>
      </w:pPr>
    </w:p>
    <w:p>
      <w:pPr>
        <w:ind w:left="744" w:right="4359" w:hanging="8"/>
        <w:spacing w:after="0" w:line="250" w:lineRule="auto"/>
        <w:tabs>
          <w:tab w:leader="none" w:pos="1039" w:val="left"/>
        </w:tabs>
        <w:numPr>
          <w:ilvl w:val="2"/>
          <w:numId w:val="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register the resale of the Registrable Securities on another appropriate form reasonably acceptable to the Holders of the Registrable Securities to be registered on such Registration Statement and (ii) undertake to register the Registrable Securities on Form F-3 as soon as such form is available, provided that, in each such event, the Company shall maintain the effectiveness of the Registration Statement then in effect until such time as a Registration Statement on Form F-3 covering the Registrable Securities has been declared effective by the SEC.</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3"/>
          <w:numId w:val="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3 -</w:t>
      </w:r>
    </w:p>
    <w:p>
      <w:pPr>
        <w:sectPr>
          <w:pgSz w:w="11900" w:h="16838" w:orient="portrait"/>
          <w:cols w:equalWidth="0" w:num="1">
            <w:col w:w="10244"/>
          </w:cols>
          <w:pgMar w:left="216" w:top="688" w:right="1440" w:bottom="1440" w:gutter="0" w:footer="0" w:header="0"/>
        </w:sectPr>
      </w:pPr>
    </w:p>
    <w:bookmarkStart w:id="45" w:name="page46"/>
    <w:bookmarkEnd w:id="45"/>
    <w:p>
      <w:pPr>
        <w:ind w:left="364" w:hanging="364"/>
        <w:spacing w:after="0"/>
        <w:tabs>
          <w:tab w:leader="none" w:pos="364" w:val="left"/>
        </w:tabs>
        <w:numPr>
          <w:ilvl w:val="0"/>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RELATED OBLIGATIONS.</w:t>
      </w:r>
    </w:p>
    <w:p>
      <w:pPr>
        <w:spacing w:after="0" w:line="147" w:lineRule="exact"/>
        <w:rPr>
          <w:rFonts w:ascii="Courier New" w:cs="Courier New" w:eastAsia="Courier New" w:hAnsi="Courier New"/>
          <w:sz w:val="12"/>
          <w:szCs w:val="12"/>
          <w:color w:val="auto"/>
        </w:rPr>
      </w:pPr>
    </w:p>
    <w:p>
      <w:pPr>
        <w:ind w:left="744" w:right="4419" w:hanging="376"/>
        <w:spacing w:after="0" w:line="249" w:lineRule="auto"/>
        <w:tabs>
          <w:tab w:leader="none" w:pos="744" w:val="left"/>
        </w:tabs>
        <w:numPr>
          <w:ilvl w:val="1"/>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filing and effectiveness of each Registration Statement with the SEC pursuant to Section 2(a), the Company shall keep the Registration Statement effective pursuant to Rule 415 of the 1933 Act and under the Israel Securities Law at all times until the earlier of</w:t>
      </w:r>
    </w:p>
    <w:p>
      <w:pPr>
        <w:spacing w:after="0" w:line="2" w:lineRule="exact"/>
        <w:rPr>
          <w:rFonts w:ascii="Courier New" w:cs="Courier New" w:eastAsia="Courier New" w:hAnsi="Courier New"/>
          <w:sz w:val="12"/>
          <w:szCs w:val="12"/>
          <w:color w:val="auto"/>
        </w:rPr>
      </w:pPr>
    </w:p>
    <w:p>
      <w:pPr>
        <w:ind w:left="744" w:right="4359" w:hanging="8"/>
        <w:spacing w:after="0" w:line="250" w:lineRule="auto"/>
        <w:tabs>
          <w:tab w:leader="none" w:pos="1039" w:val="left"/>
        </w:tabs>
        <w:numPr>
          <w:ilvl w:val="2"/>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date as of which all of the Holders confirm to the Company in writing that they may sell all of the Registrable Securities covered by such Registration Statement without restriction pursuant to all of the following: (x) Rule 144(k) under the 1933 Act, (y) the Israel Securities Law and (z) other securities or "blue sky" laws of each jurisdiction in which the Company obtained a registration or qualification in accordance with Section 3(d) below or (ii) the date on which the Holders shall have sold all the Registrable Securities covered by such Registration Statement (A) in accordance with such Registration Statement (except to another Holder pursuant to Section 9) or (B) to the public pursuant to Rule 144 under the 1933 Act, (the "REGISTRATION PERIOD") the Company to ensure that such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subject to Section 3(e) below.</w:t>
      </w:r>
    </w:p>
    <w:p>
      <w:pPr>
        <w:spacing w:after="0" w:line="141" w:lineRule="exact"/>
        <w:rPr>
          <w:rFonts w:ascii="Courier New" w:cs="Courier New" w:eastAsia="Courier New" w:hAnsi="Courier New"/>
          <w:sz w:val="12"/>
          <w:szCs w:val="12"/>
          <w:color w:val="auto"/>
        </w:rPr>
      </w:pPr>
    </w:p>
    <w:p>
      <w:pPr>
        <w:ind w:left="744" w:right="4359" w:hanging="376"/>
        <w:spacing w:after="0" w:line="250" w:lineRule="auto"/>
        <w:tabs>
          <w:tab w:leader="none" w:pos="744" w:val="left"/>
        </w:tabs>
        <w:numPr>
          <w:ilvl w:val="1"/>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prepare and file with the SEC and the ISA (to the extent required) such amendments (including post-effective amendments) and supplements to each Registration Statement and the prospectus used in connection with such Registration Statement, which prospectus is to be filed pursuant to Rule 424 under the 1933 Act or under the Israel Securities Law, as may be necessary to keep such Registration Statement effective at all times during the Registration Period, and, during such period, comply with the provisions of the 1933 Act and the Israel Securities Law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which, for the avoidance of doubt, shall include sales on the Nasdaq Stock Market and the TASE, as well as sales not made on such exchanges. In the case of amendments and supplements to a Registration Statement which are required to be filed pursuant to the Agreement (including pursuant to this Section 3(b) by reason of the Company filing a report on Form 20-F, Form 6-K or any analogous report under the 1934 Act), the Company shall have incorporated such report by reference into the Registration Statement, if applicable, or shall file such amendments or supplements with the SEC and the ISA on the same day on which the 1934 Act report is filed which created the requirement for the Company to amend or supplement the Registration Statement.</w:t>
      </w:r>
    </w:p>
    <w:p>
      <w:pPr>
        <w:spacing w:after="0" w:line="200" w:lineRule="exact"/>
        <w:rPr>
          <w:rFonts w:ascii="Courier New" w:cs="Courier New" w:eastAsia="Courier New" w:hAnsi="Courier New"/>
          <w:sz w:val="12"/>
          <w:szCs w:val="12"/>
          <w:color w:val="auto"/>
        </w:rPr>
      </w:pPr>
    </w:p>
    <w:p>
      <w:pPr>
        <w:spacing w:after="0" w:line="224" w:lineRule="exact"/>
        <w:rPr>
          <w:rFonts w:ascii="Courier New" w:cs="Courier New" w:eastAsia="Courier New" w:hAnsi="Courier New"/>
          <w:sz w:val="12"/>
          <w:szCs w:val="12"/>
          <w:color w:val="auto"/>
        </w:rPr>
      </w:pPr>
    </w:p>
    <w:p>
      <w:pPr>
        <w:ind w:left="2864" w:hanging="141"/>
        <w:spacing w:after="0"/>
        <w:tabs>
          <w:tab w:leader="none" w:pos="2864" w:val="left"/>
        </w:tabs>
        <w:numPr>
          <w:ilvl w:val="3"/>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4 -</w:t>
      </w:r>
    </w:p>
    <w:p>
      <w:pPr>
        <w:sectPr>
          <w:pgSz w:w="11900" w:h="16838" w:orient="portrait"/>
          <w:cols w:equalWidth="0" w:num="1">
            <w:col w:w="10244"/>
          </w:cols>
          <w:pgMar w:left="216" w:top="689" w:right="1440" w:bottom="1440" w:gutter="0" w:footer="0" w:header="0"/>
        </w:sectPr>
      </w:pPr>
    </w:p>
    <w:bookmarkStart w:id="46" w:name="page47"/>
    <w:bookmarkEnd w:id="46"/>
    <w:p>
      <w:pPr>
        <w:ind w:left="376" w:right="4359" w:hanging="376"/>
        <w:spacing w:after="0" w:line="249" w:lineRule="auto"/>
        <w:tabs>
          <w:tab w:leader="none" w:pos="376" w:val="left"/>
        </w:tabs>
        <w:numPr>
          <w:ilvl w:val="0"/>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furnish each Holder whose Registrable Securities are included in any Registration Statement, without charge, (i) promptly after the same is prepared and filed with the SEC, at least three (3) copies of such Registration Statement and any amendment(s) thereto, including financial statements and schedules, all documents incorporated therein by reference, all exhibits and each preliminary prospectus (or such other number of copies as such Holder may reasonably request), (ii) upon the effectiveness of any Registration Statement, at least ten (10) copies of the prospectus included in such Registration Statement and all amendments and supplements thereto (or such other number of copies as such Holder may reasonably request) and</w:t>
      </w:r>
    </w:p>
    <w:p>
      <w:pPr>
        <w:spacing w:after="0" w:line="5" w:lineRule="exact"/>
        <w:rPr>
          <w:rFonts w:ascii="Courier New" w:cs="Courier New" w:eastAsia="Courier New" w:hAnsi="Courier New"/>
          <w:sz w:val="12"/>
          <w:szCs w:val="12"/>
          <w:color w:val="auto"/>
        </w:rPr>
      </w:pPr>
    </w:p>
    <w:p>
      <w:pPr>
        <w:ind w:left="376" w:right="4359" w:hanging="8"/>
        <w:spacing w:after="0" w:line="250" w:lineRule="auto"/>
        <w:tabs>
          <w:tab w:leader="none" w:pos="818" w:val="left"/>
        </w:tabs>
        <w:numPr>
          <w:ilvl w:val="1"/>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such other documents, including copies of any preliminary or final prospectus and of any Registration Statements and prospectuses filed with the ISA, as such Holder may reasonably request from time to time in order to facilitate the disposition of the Registrable Securities owned by such Holder.</w:t>
      </w:r>
    </w:p>
    <w:p>
      <w:pPr>
        <w:spacing w:after="0" w:line="141"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use its best efforts to (i) register and qualify, unless an exemption from registration and qualification applies, the resale by the Holders of the Registrable Securities covered by a Registration Statement under such other securities or "blue sky" laws of all the states of the United States,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3(d), or (y) file a general consent to service of process in any such jurisdiction. The Company shall promptly notify each Holder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282" w:lineRule="exact"/>
        <w:rPr>
          <w:rFonts w:ascii="Courier New" w:cs="Courier New" w:eastAsia="Courier New" w:hAnsi="Courier New"/>
          <w:sz w:val="12"/>
          <w:szCs w:val="12"/>
          <w:color w:val="auto"/>
        </w:rPr>
      </w:pPr>
    </w:p>
    <w:p>
      <w:pPr>
        <w:ind w:left="2496" w:hanging="141"/>
        <w:spacing w:after="0"/>
        <w:tabs>
          <w:tab w:leader="none" w:pos="2496" w:val="left"/>
        </w:tabs>
        <w:numPr>
          <w:ilvl w:val="2"/>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5 -</w:t>
      </w:r>
    </w:p>
    <w:p>
      <w:pPr>
        <w:sectPr>
          <w:pgSz w:w="11900" w:h="16838" w:orient="portrait"/>
          <w:cols w:equalWidth="0" w:num="1">
            <w:col w:w="9876"/>
          </w:cols>
          <w:pgMar w:left="584" w:top="689" w:right="1440" w:bottom="1440" w:gutter="0" w:footer="0" w:header="0"/>
        </w:sectPr>
      </w:pPr>
    </w:p>
    <w:bookmarkStart w:id="47" w:name="page48"/>
    <w:bookmarkEnd w:id="47"/>
    <w:p>
      <w:pPr>
        <w:ind w:left="376" w:right="4359" w:hanging="376"/>
        <w:spacing w:after="0" w:line="250" w:lineRule="auto"/>
        <w:tabs>
          <w:tab w:leader="none" w:pos="376" w:val="left"/>
        </w:tabs>
        <w:numPr>
          <w:ilvl w:val="0"/>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notify each Holder in writing of the happening of any event, as promptly as practicable after becoming aware of such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The Company shall use its best efforts to minimize the period of time during which a Registration Statement includes an untrue statement of a material fact or omission to state a material fact required to be stated therein or necessary to make the statements therein, in light of the circumstances under which they were made, not misleading. The Company shall promptly notify each Holder in writing (i) when a prospectus or any prospectus supplement or post-effective amendment has been filed so that the Registration Statement does not include an untrue statement of a material fact or omission to state a material fact required to be stated therein or necessary to make the statements therein, in light of the circumstances under which they were made, not misleading, and when a Registration Statement or any post-effective amendment has become effective (notification of such effectiveness shall be delivered to each Holder by facsimile on the same day of such effectiveness and by overnight mail), (ii) of any request by the SEC or the ISA for amendments or supplements to a Registration Statement or related prospectus or related information, and (iii) of the Company's reasonable determination that a post-effective amendment to a Registration Statement would be appropriate.</w:t>
      </w:r>
    </w:p>
    <w:p>
      <w:pPr>
        <w:spacing w:after="0" w:line="140" w:lineRule="exact"/>
        <w:rPr>
          <w:rFonts w:ascii="Courier New" w:cs="Courier New" w:eastAsia="Courier New" w:hAnsi="Courier New"/>
          <w:sz w:val="12"/>
          <w:szCs w:val="12"/>
          <w:color w:val="auto"/>
        </w:rPr>
      </w:pPr>
    </w:p>
    <w:p>
      <w:pPr>
        <w:ind w:left="376" w:right="4419" w:hanging="376"/>
        <w:spacing w:after="0" w:line="250" w:lineRule="auto"/>
        <w:tabs>
          <w:tab w:leader="none" w:pos="376" w:val="left"/>
        </w:tabs>
        <w:numPr>
          <w:ilvl w:val="0"/>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use its best efforts to prevent the issuance of any stop order or other suspension of effectiveness of a Registration Statement, or the suspension of the qualification of any of the Registrable Securities for sale in any jurisdiction and, if such an order or suspension is issued, to obtain the withdrawal of such order or suspension at the earliest possible moment and to notify each Holder who holds Registrable Securities being sold of the issuance of such order and the resolution thereof or its receipt of actual notice of the initiation or threat of any proceeding for such purpose.</w:t>
      </w:r>
    </w:p>
    <w:p>
      <w:pPr>
        <w:spacing w:after="0" w:line="282" w:lineRule="exact"/>
        <w:rPr>
          <w:rFonts w:ascii="Courier New" w:cs="Courier New" w:eastAsia="Courier New" w:hAnsi="Courier New"/>
          <w:sz w:val="12"/>
          <w:szCs w:val="12"/>
          <w:color w:val="auto"/>
        </w:rPr>
      </w:pPr>
    </w:p>
    <w:p>
      <w:pPr>
        <w:ind w:left="2496" w:hanging="141"/>
        <w:spacing w:after="0"/>
        <w:tabs>
          <w:tab w:leader="none" w:pos="2496" w:val="left"/>
        </w:tabs>
        <w:numPr>
          <w:ilvl w:val="1"/>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6 -</w:t>
      </w:r>
    </w:p>
    <w:p>
      <w:pPr>
        <w:sectPr>
          <w:pgSz w:w="11900" w:h="16838" w:orient="portrait"/>
          <w:cols w:equalWidth="0" w:num="1">
            <w:col w:w="9876"/>
          </w:cols>
          <w:pgMar w:left="584" w:top="689" w:right="1440" w:bottom="1440" w:gutter="0" w:footer="0" w:header="0"/>
        </w:sectPr>
      </w:pPr>
    </w:p>
    <w:bookmarkStart w:id="48" w:name="page49"/>
    <w:bookmarkEnd w:id="48"/>
    <w:p>
      <w:pPr>
        <w:ind w:left="376" w:right="4359" w:hanging="376"/>
        <w:spacing w:after="0" w:line="250" w:lineRule="auto"/>
        <w:tabs>
          <w:tab w:leader="none" w:pos="376"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cause all the Registrable Securities covered by a Registration Statement to be listed on each securities exchange on which securities of the same class or series issued by the Company are then listed, including the NASDAQ and the TASE and the Company shall, not later than the effective date of a Registration Statement, deliver to the Holders a copy of the approvals of the TASE and the NASDAQ (and/or any other exchange, if applicable) to the listing of the Registrable Securities covered by such Registration Statement on such exchange.</w:t>
      </w:r>
    </w:p>
    <w:p>
      <w:pPr>
        <w:spacing w:after="0" w:line="141"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cooperate with the Holders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Holders may reasonably request and registered in such names as the Holders may request.</w:t>
      </w:r>
    </w:p>
    <w:p>
      <w:pPr>
        <w:spacing w:after="0" w:line="141" w:lineRule="exact"/>
        <w:rPr>
          <w:rFonts w:ascii="Courier New" w:cs="Courier New" w:eastAsia="Courier New" w:hAnsi="Courier New"/>
          <w:sz w:val="12"/>
          <w:szCs w:val="12"/>
          <w:color w:val="auto"/>
        </w:rPr>
      </w:pPr>
    </w:p>
    <w:p>
      <w:pPr>
        <w:ind w:left="376" w:right="4359" w:hanging="376"/>
        <w:spacing w:after="0" w:line="251" w:lineRule="auto"/>
        <w:tabs>
          <w:tab w:leader="none" w:pos="376"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provide a transfer agent and registrar of all Registrable Securities and a CUSIP number not later than the effective date of the applicable Registration Statement.</w:t>
      </w:r>
    </w:p>
    <w:p>
      <w:pPr>
        <w:spacing w:after="0" w:line="139"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requested by a Holder, the Company shall (i) as soon as practicable incorporate in a prospectus supplement or post-effective amendment such information as a Holder requests to be included therein, information with respect to the number of Registrable Securities being offered or sold, the purchase price being paid therefor and any other terms of the offering of the Registrable Securities to be sold in such offering; (ii) as soon as practicable make all required filings of such prospectus supplement or post-effective amendment after being notified of the matters to be incorporated in such prospectus supplement or post-effective amendment; and (iii) as soon as practicable, supplement or make amendments to any Registration Statement if reasonably requested by a Holder of such Registrable Securities.</w:t>
      </w:r>
    </w:p>
    <w:p>
      <w:pPr>
        <w:spacing w:after="0" w:line="282" w:lineRule="exact"/>
        <w:rPr>
          <w:rFonts w:ascii="Courier New" w:cs="Courier New" w:eastAsia="Courier New" w:hAnsi="Courier New"/>
          <w:sz w:val="12"/>
          <w:szCs w:val="12"/>
          <w:color w:val="auto"/>
        </w:rPr>
      </w:pPr>
    </w:p>
    <w:p>
      <w:pPr>
        <w:ind w:left="376" w:right="4499" w:hanging="376"/>
        <w:spacing w:after="0" w:line="250" w:lineRule="auto"/>
        <w:tabs>
          <w:tab w:leader="none" w:pos="376"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of any underwritten public offering of the Registrable Securities, enter into and perform its obligations under an underwriting agreement with usual and customary terms that are generally satisfactory to the managing underwriter of such offering. The Holder shall also enter into and perform its obligations under such an agreement (the terms of which must be satisfactory to the Holder if the Holder is to participate in such offering).</w:t>
      </w:r>
    </w:p>
    <w:p>
      <w:pPr>
        <w:spacing w:after="0" w:line="282" w:lineRule="exact"/>
        <w:rPr>
          <w:rFonts w:ascii="Courier New" w:cs="Courier New" w:eastAsia="Courier New" w:hAnsi="Courier New"/>
          <w:sz w:val="12"/>
          <w:szCs w:val="12"/>
          <w:color w:val="auto"/>
        </w:rPr>
      </w:pPr>
    </w:p>
    <w:p>
      <w:pPr>
        <w:ind w:left="2496" w:hanging="141"/>
        <w:spacing w:after="0"/>
        <w:tabs>
          <w:tab w:leader="none" w:pos="2496" w:val="left"/>
        </w:tabs>
        <w:numPr>
          <w:ilvl w:val="1"/>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7 -</w:t>
      </w:r>
    </w:p>
    <w:p>
      <w:pPr>
        <w:sectPr>
          <w:pgSz w:w="11900" w:h="16838" w:orient="portrait"/>
          <w:cols w:equalWidth="0" w:num="1">
            <w:col w:w="9876"/>
          </w:cols>
          <w:pgMar w:left="584" w:top="689" w:right="1440" w:bottom="1440" w:gutter="0" w:footer="0" w:header="0"/>
        </w:sectPr>
      </w:pPr>
    </w:p>
    <w:bookmarkStart w:id="49" w:name="page50"/>
    <w:bookmarkEnd w:id="49"/>
    <w:p>
      <w:pPr>
        <w:ind w:left="376" w:right="4359" w:hanging="376"/>
        <w:spacing w:after="0" w:line="250" w:lineRule="auto"/>
        <w:tabs>
          <w:tab w:leader="none" w:pos="376" w:val="left"/>
        </w:tabs>
        <w:numPr>
          <w:ilvl w:val="0"/>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afford the Holder and its representatives (including counsel) the opportunity at any time and from time to time during the Registration Period to make such examinations of the business affairs and other material financial and corporate documents of the Company and its subsidiaries as the Holder may reasonably deem necessary to satisfy itself as to the accuracy of the registration statement (subject to a reasonable confidentiality undertaking on the part of the Holder and its representatives).</w:t>
      </w:r>
    </w:p>
    <w:p>
      <w:pPr>
        <w:spacing w:after="0" w:line="141"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furnish, at the request of the Holder in connection with the registration of Registrable Shares pursuant to this Agreement, on the date that such Registrable Shares are delivered to the underwriters for sale, if such securities are being sold through underwriters, or, if such securities are not being sold through underwriters, on the date that the Registration Statement with respect to such securities becomes effective and on the date of each post-effective amendment thereof: (i) an opinion, dated such date, of the counsel representing the Company for the purposes of such registration, in form and substance as is customarily given to underwriters in an underwritten public offering, addressed to the underwriters, if any, and to the Holder;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w:t>
      </w:r>
    </w:p>
    <w:p>
      <w:pPr>
        <w:spacing w:after="0" w:line="141" w:lineRule="exact"/>
        <w:rPr>
          <w:rFonts w:ascii="Courier New" w:cs="Courier New" w:eastAsia="Courier New" w:hAnsi="Courier New"/>
          <w:sz w:val="12"/>
          <w:szCs w:val="12"/>
          <w:color w:val="auto"/>
        </w:rPr>
      </w:pPr>
    </w:p>
    <w:p>
      <w:pPr>
        <w:ind w:left="376" w:right="4419" w:hanging="376"/>
        <w:spacing w:after="0" w:line="250" w:lineRule="auto"/>
        <w:tabs>
          <w:tab w:leader="none" w:pos="376" w:val="left"/>
        </w:tabs>
        <w:numPr>
          <w:ilvl w:val="0"/>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comply with all applicable rules and regulations of the SEC and shall make generally available to its security holders an earnings statement satisfying the provisions of Section 11(a) of the 1933 Act as soon as practicable after the effective date of the Registration Statement and in any event no later than 45 days after the end of a 12-month period (or 90 days, if such period is a fiscal year) beginning with the first month of the Company's first fiscal quarter commencing after the effective date of the Registration Statement.</w:t>
      </w:r>
    </w:p>
    <w:p>
      <w:pPr>
        <w:spacing w:after="0" w:line="282" w:lineRule="exact"/>
        <w:rPr>
          <w:rFonts w:ascii="Courier New" w:cs="Courier New" w:eastAsia="Courier New" w:hAnsi="Courier New"/>
          <w:sz w:val="12"/>
          <w:szCs w:val="12"/>
          <w:color w:val="auto"/>
        </w:rPr>
      </w:pPr>
    </w:p>
    <w:p>
      <w:pPr>
        <w:ind w:left="2496" w:hanging="141"/>
        <w:spacing w:after="0"/>
        <w:tabs>
          <w:tab w:leader="none" w:pos="2496" w:val="left"/>
        </w:tabs>
        <w:numPr>
          <w:ilvl w:val="1"/>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8 -</w:t>
      </w:r>
    </w:p>
    <w:p>
      <w:pPr>
        <w:sectPr>
          <w:pgSz w:w="11900" w:h="16838" w:orient="portrait"/>
          <w:cols w:equalWidth="0" w:num="1">
            <w:col w:w="9876"/>
          </w:cols>
          <w:pgMar w:left="584" w:top="689" w:right="1440" w:bottom="1440" w:gutter="0" w:footer="0" w:header="0"/>
        </w:sectPr>
      </w:pPr>
    </w:p>
    <w:bookmarkStart w:id="50" w:name="page51"/>
    <w:bookmarkEnd w:id="50"/>
    <w:p>
      <w:pPr>
        <w:ind w:left="364" w:hanging="364"/>
        <w:spacing w:after="0"/>
        <w:tabs>
          <w:tab w:leader="none" w:pos="364" w:val="left"/>
        </w:tabs>
        <w:numPr>
          <w:ilvl w:val="0"/>
          <w:numId w:val="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OBLIGATIONS OF THE HOLDERS.</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Each Holder agrees that, upon receipt of any notice from the Company of the happening of any event of the kind described in the first sentence of Section 3(e) or in Section 3(f), such Holder will immediately discontinue disposition of Registrable Securities pursuant to any Registration Statement(s) covering such Registrable Securities until such Holder's receipt of the copies of the supplemented or amended prospectus contemplated by the first sentence of Section 3(e) or receipt of notice that no supplement or amendment is required.</w:t>
      </w:r>
    </w:p>
    <w:p>
      <w:pPr>
        <w:spacing w:after="0" w:line="141"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EXPENSES OF REGISTRATION.</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All expenses, other than underwriting discounts and commissions, incurred in connection with registrations, filings or qualifications pursuant to Sections 2 and 3, including, without limitation, all registration, listing and qualifications fees, printers and accounting fees, fees and disbursements of counsel to the Company and the Holders, including in connection with such examinations described in Section 3(l) above, shall be paid by the Company.</w:t>
      </w:r>
    </w:p>
    <w:p>
      <w:pPr>
        <w:spacing w:after="0" w:line="141"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INDEMNIFICATION.</w:t>
      </w:r>
    </w:p>
    <w:p>
      <w:pPr>
        <w:spacing w:after="0" w:line="147" w:lineRule="exact"/>
        <w:rPr>
          <w:rFonts w:ascii="Courier New" w:cs="Courier New" w:eastAsia="Courier New" w:hAnsi="Courier New"/>
          <w:sz w:val="12"/>
          <w:szCs w:val="12"/>
          <w:color w:val="auto"/>
        </w:rPr>
      </w:pPr>
    </w:p>
    <w:p>
      <w:pPr>
        <w:ind w:left="364" w:right="4719"/>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any Registrable Securities are included in a Registration Statement under this Agreement:</w:t>
      </w:r>
    </w:p>
    <w:p>
      <w:pPr>
        <w:spacing w:after="0" w:line="138"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9 -</w:t>
      </w:r>
    </w:p>
    <w:p>
      <w:pPr>
        <w:sectPr>
          <w:pgSz w:w="11900" w:h="16838" w:orient="portrait"/>
          <w:cols w:equalWidth="0" w:num="1">
            <w:col w:w="10244"/>
          </w:cols>
          <w:pgMar w:left="216" w:top="689" w:right="1440" w:bottom="1440" w:gutter="0" w:footer="0" w:header="0"/>
        </w:sectPr>
      </w:pPr>
    </w:p>
    <w:bookmarkStart w:id="51" w:name="page52"/>
    <w:bookmarkEnd w:id="51"/>
    <w:p>
      <w:pPr>
        <w:ind w:left="376" w:right="4359" w:hanging="376"/>
        <w:spacing w:after="0" w:line="250" w:lineRule="auto"/>
        <w:tabs>
          <w:tab w:leader="none" w:pos="376" w:val="left"/>
        </w:tabs>
        <w:numPr>
          <w:ilvl w:val="0"/>
          <w:numId w:val="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the fullest extent permitted by law, the Company will, and hereby does, indemnify, hold harmless and defend each Holder, the directors, officers, partners, employees, agents, representatives of, and each Person, if any, who controls any Holder within the meaning of the 1933 Act or 1934 Act (each, an "INDEMNIFIED PERSON"), against any losses, claims, damages, liabilities, judgments, fines, penalties, charges, costs, reasonable attorneys' fees, amounts paid in settlement or expenses, joint or several, (collectively, "CLAIMS") incurred in investigating, preparing or defending any action, claim, suit, inquiry, proceeding, investigation or appeal taken from the foregoing by or before any court or governmental, administrative or other regulatory agency, body or the SEC or the ISA, whether pending or threatened, whether or not a person to be indemnified is or may be a party thereto ("INDEMNIFIED DAMAGES"),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("BLUE SKY FILING"), or the omission or alleged omission to state a material fact required to be stated therein or necessary to make the statements therein not misleading, (ii) any untrue statement or alleged untrue statement of a material fact contained in any Registration Statement, preliminary prospectus, final prospectus or "free writing prospectus" (as such term is defined in Rule 405 under the 1933 Act) or any amendment or supplement to any such prospectus or the omission or alleged omission to state therein any material fact necessary to make the statements made therein, in light of the circumstances under which the statements therein were made, not misleading, (iii) any violation or alleged violation by the Company of the 1933 Act, the 1934 Act, any other law, including, without limitation, any state securities law, the Israel Securities Law or any rule or regulation thereunder relating to the offer or sale of the Registrable Securities pursuant to a Registration Statement or (iv) any material violation of this Agreement (the matters in the foregoing clauses (i) through (iv) being, collectively, "VIOLATIONS"). Subject to Section 6(c), the Company shall reimburse the Indemnified Persons promptly as such expenses are incurred and are due and payable, for any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furnished in writing to the Company by such Indemnified Person expressly for inclusion in any such Registration Statement, preliminary prospectus, final prospectus or free writing prospectus or any such amendment thereof or supplement thereto and (ii)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Holders pursuant to Section 9.</w:t>
      </w:r>
    </w:p>
    <w:p>
      <w:pPr>
        <w:spacing w:after="0" w:line="200" w:lineRule="exact"/>
        <w:rPr>
          <w:rFonts w:ascii="Courier New" w:cs="Courier New" w:eastAsia="Courier New" w:hAnsi="Courier New"/>
          <w:sz w:val="12"/>
          <w:szCs w:val="12"/>
          <w:color w:val="auto"/>
        </w:rPr>
      </w:pPr>
    </w:p>
    <w:p>
      <w:pPr>
        <w:spacing w:after="0" w:line="365" w:lineRule="exact"/>
        <w:rPr>
          <w:rFonts w:ascii="Courier New" w:cs="Courier New" w:eastAsia="Courier New" w:hAnsi="Courier New"/>
          <w:sz w:val="12"/>
          <w:szCs w:val="12"/>
          <w:color w:val="auto"/>
        </w:rPr>
      </w:pPr>
    </w:p>
    <w:p>
      <w:pPr>
        <w:ind w:left="2496" w:hanging="141"/>
        <w:spacing w:after="0"/>
        <w:tabs>
          <w:tab w:leader="none" w:pos="2496" w:val="left"/>
        </w:tabs>
        <w:numPr>
          <w:ilvl w:val="1"/>
          <w:numId w:val="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10 -</w:t>
      </w:r>
    </w:p>
    <w:p>
      <w:pPr>
        <w:sectPr>
          <w:pgSz w:w="11900" w:h="16838" w:orient="portrait"/>
          <w:cols w:equalWidth="0" w:num="1">
            <w:col w:w="9876"/>
          </w:cols>
          <w:pgMar w:left="584" w:top="689" w:right="1440" w:bottom="1440" w:gutter="0" w:footer="0" w:header="0"/>
        </w:sectPr>
      </w:pPr>
    </w:p>
    <w:bookmarkStart w:id="52" w:name="page53"/>
    <w:bookmarkEnd w:id="52"/>
    <w:p>
      <w:pPr>
        <w:ind w:left="376" w:right="4359" w:hanging="376"/>
        <w:spacing w:after="0" w:line="250" w:lineRule="auto"/>
        <w:tabs>
          <w:tab w:leader="none" w:pos="376" w:val="left"/>
        </w:tabs>
        <w:numPr>
          <w:ilvl w:val="0"/>
          <w:numId w:val="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connection with any Registration Statement in which a Holder is participating, each such Holder agrees, severally and not jointly, to indemnify, hold harmless and defend, to the same extent and in the same manner as is set forth in Section 6(a), the Company, each of its directors, each of its officers who signs the Registration Statement, each Person, if any, who controls the Company within the meaning of the 1933 Act or the 1934 Act (each an "INDEMNIFIED PARTY"),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furnished to the Company by such Holder expressly for inclusion in Registration Statement, preliminary prospectus, final prospectus or free writing prospectus and, subject to Section 6(c), such Holder will reimburse any legal or other expenses reasonably incurred by an Indemnified Party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such Holder; provided, further, however, that the Holder shall be liable under this Section 6 for only that amount of a Claim or Indemnified Damages as does not exceed the net proceeds to such Holder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Holders pursuant to Section 9.</w:t>
      </w:r>
    </w:p>
    <w:p>
      <w:pPr>
        <w:spacing w:after="0" w:line="282"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counsel for such Indemnified Person or Indemnified Party to be paid by the indemnifying party, if,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In the case of an Indemnified Person, legal counsel referred to in the immediately preceding sentence shall be selected by the Holders holding a majority in interest of the Registrable Securities included in the Registration Statement to which the Claim relates.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 but the omission to so notify the indemnifying party will not relieve such indemnifying party of any liability that it may have to any Indemnified Person or Party otherwise than under this Section 6(c), including under Section 6(e).</w:t>
      </w:r>
    </w:p>
    <w:p>
      <w:pPr>
        <w:spacing w:after="0" w:line="282" w:lineRule="exact"/>
        <w:rPr>
          <w:rFonts w:ascii="Courier New" w:cs="Courier New" w:eastAsia="Courier New" w:hAnsi="Courier New"/>
          <w:sz w:val="12"/>
          <w:szCs w:val="12"/>
          <w:color w:val="auto"/>
        </w:rPr>
      </w:pPr>
    </w:p>
    <w:p>
      <w:pPr>
        <w:ind w:left="2496" w:hanging="141"/>
        <w:spacing w:after="0"/>
        <w:tabs>
          <w:tab w:leader="none" w:pos="2496" w:val="left"/>
        </w:tabs>
        <w:numPr>
          <w:ilvl w:val="1"/>
          <w:numId w:val="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11 -</w:t>
      </w:r>
    </w:p>
    <w:p>
      <w:pPr>
        <w:sectPr>
          <w:pgSz w:w="11900" w:h="16838" w:orient="portrait"/>
          <w:cols w:equalWidth="0" w:num="1">
            <w:col w:w="9876"/>
          </w:cols>
          <w:pgMar w:left="584" w:top="689" w:right="1440" w:bottom="1440" w:gutter="0" w:footer="0" w:header="0"/>
        </w:sectPr>
      </w:pPr>
    </w:p>
    <w:bookmarkStart w:id="53" w:name="page54"/>
    <w:bookmarkEnd w:id="53"/>
    <w:p>
      <w:pPr>
        <w:ind w:left="744" w:right="4799" w:hanging="376"/>
        <w:spacing w:after="0" w:line="251" w:lineRule="auto"/>
        <w:tabs>
          <w:tab w:leader="none" w:pos="744" w:val="left"/>
        </w:tabs>
        <w:numPr>
          <w:ilvl w:val="1"/>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139" w:lineRule="exact"/>
        <w:rPr>
          <w:rFonts w:ascii="Courier New" w:cs="Courier New" w:eastAsia="Courier New" w:hAnsi="Courier New"/>
          <w:sz w:val="12"/>
          <w:szCs w:val="12"/>
          <w:color w:val="auto"/>
        </w:rPr>
      </w:pPr>
    </w:p>
    <w:p>
      <w:pPr>
        <w:ind w:left="744" w:right="4419" w:hanging="376"/>
        <w:spacing w:after="0" w:line="250" w:lineRule="auto"/>
        <w:tabs>
          <w:tab w:leader="none" w:pos="744" w:val="left"/>
        </w:tabs>
        <w:numPr>
          <w:ilvl w:val="1"/>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41"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CONTRIBUTION.</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To the extent any indemnification by an indemnifying party is prohibited or limited by law or insufficient to hold an Indemnified Person or an Indemnified Party, as the case may be, harmless, then the indemnifying party, in lieu of indemnifying such Indemnified Person or Indemnified Party hereunder, shall contribute to the amount paid or payable by such Indemnified Person or Indemnified Party as a result of such Claims and Indemnified Damages (each as defined in Section 6(a) above) in such proportion as is appropriate to reflect the relative fault of the indemnifying party on the one hand and of the Indemnified Person or Indemnified Party, as the case may be, on the other in connection with the statements or omissions that resulted in such loss, liability, claim, damage, or expense as well as any other relevant equitable considerations. The relative fault of the indemnifying party and of the Indemnified Person or Indemnified Party, as the case may be, shall be determined by reference to, among other things, whether the untrue or alleged untrue statement of a material fact or the omission to state a material fact relates to information supplied by the indemnifying party or by the Indemnified Person or Indemnified Party and the parties' relative intent, knowledge, access to information, and opportunity to correct or prevent such statement or omission.</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2"/>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12 -</w:t>
      </w:r>
    </w:p>
    <w:p>
      <w:pPr>
        <w:sectPr>
          <w:pgSz w:w="11900" w:h="16838" w:orient="portrait"/>
          <w:cols w:equalWidth="0" w:num="1">
            <w:col w:w="10244"/>
          </w:cols>
          <w:pgMar w:left="216" w:top="689" w:right="1440" w:bottom="1440" w:gutter="0" w:footer="0" w:header="0"/>
        </w:sectPr>
      </w:pPr>
    </w:p>
    <w:bookmarkStart w:id="54" w:name="page55"/>
    <w:bookmarkEnd w:id="54"/>
    <w:p>
      <w:pPr>
        <w:ind w:left="364" w:right="4419"/>
        <w:spacing w:after="0" w:line="250" w:lineRule="auto"/>
        <w:rPr>
          <w:sz w:val="20"/>
          <w:szCs w:val="20"/>
          <w:color w:val="auto"/>
        </w:rPr>
      </w:pPr>
      <w:r>
        <w:rPr>
          <w:rFonts w:ascii="Courier New" w:cs="Courier New" w:eastAsia="Courier New" w:hAnsi="Courier New"/>
          <w:sz w:val="12"/>
          <w:szCs w:val="12"/>
          <w:color w:val="auto"/>
        </w:rPr>
        <w:t>Notwithstanding the foregoing, (i)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 contribution by any seller of Registrable Securities shall be limited in amount to the net amount of proceeds received by such seller from the sale of such Registrable Securities pursuant to such Registration Statement.</w:t>
      </w:r>
    </w:p>
    <w:p>
      <w:pPr>
        <w:spacing w:after="0" w:line="141" w:lineRule="exact"/>
        <w:rPr>
          <w:sz w:val="20"/>
          <w:szCs w:val="20"/>
          <w:color w:val="auto"/>
        </w:rPr>
      </w:pPr>
    </w:p>
    <w:p>
      <w:pPr>
        <w:ind w:left="364" w:hanging="364"/>
        <w:spacing w:after="0"/>
        <w:tabs>
          <w:tab w:leader="none" w:pos="364"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REPORTS UNDER THE 1934 ACT.</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With a view to making available to the Holders the benefits of Rule 144 promulgated under the 1933 Act or any other similar rule or regulation of the SEC that may at any time permit the Holders to sell securities of the Company to the public without registration ("RULE 144"), the Company agrees to:</w:t>
      </w:r>
    </w:p>
    <w:p>
      <w:pPr>
        <w:spacing w:after="0" w:line="141" w:lineRule="exact"/>
        <w:rPr>
          <w:rFonts w:ascii="Courier New" w:cs="Courier New" w:eastAsia="Courier New" w:hAnsi="Courier New"/>
          <w:sz w:val="12"/>
          <w:szCs w:val="12"/>
          <w:color w:val="auto"/>
        </w:rPr>
      </w:pPr>
    </w:p>
    <w:p>
      <w:pPr>
        <w:ind w:left="744" w:right="4939" w:hanging="376"/>
        <w:spacing w:after="0" w:line="253" w:lineRule="auto"/>
        <w:tabs>
          <w:tab w:leader="none" w:pos="744" w:val="left"/>
        </w:tabs>
        <w:numPr>
          <w:ilvl w:val="1"/>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make and keep public information available, as those terms are understood and defined in Rule 144;</w:t>
      </w:r>
    </w:p>
    <w:p>
      <w:pPr>
        <w:spacing w:after="0" w:line="138" w:lineRule="exact"/>
        <w:rPr>
          <w:rFonts w:ascii="Courier New" w:cs="Courier New" w:eastAsia="Courier New" w:hAnsi="Courier New"/>
          <w:sz w:val="12"/>
          <w:szCs w:val="12"/>
          <w:color w:val="auto"/>
        </w:rPr>
      </w:pPr>
    </w:p>
    <w:p>
      <w:pPr>
        <w:ind w:left="744" w:right="4359" w:hanging="376"/>
        <w:spacing w:after="0" w:line="250" w:lineRule="auto"/>
        <w:tabs>
          <w:tab w:leader="none" w:pos="744" w:val="left"/>
        </w:tabs>
        <w:numPr>
          <w:ilvl w:val="1"/>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file with the SEC in a timely manner all reports and other documents required by the Company under the 1993 Act and the 1934 Act so long as the Company remains subject to such requirements and the filing of such reports and other documents is required for the applicable provisions of Rule 144; and</w:t>
      </w:r>
    </w:p>
    <w:p>
      <w:pPr>
        <w:spacing w:after="0" w:line="141" w:lineRule="exact"/>
        <w:rPr>
          <w:rFonts w:ascii="Courier New" w:cs="Courier New" w:eastAsia="Courier New" w:hAnsi="Courier New"/>
          <w:sz w:val="12"/>
          <w:szCs w:val="12"/>
          <w:color w:val="auto"/>
        </w:rPr>
      </w:pPr>
    </w:p>
    <w:p>
      <w:pPr>
        <w:ind w:left="744" w:right="4359" w:hanging="376"/>
        <w:spacing w:after="0" w:line="250" w:lineRule="auto"/>
        <w:tabs>
          <w:tab w:leader="none" w:pos="744" w:val="left"/>
        </w:tabs>
        <w:numPr>
          <w:ilvl w:val="1"/>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furnish to each Holder so long as such Holder owns Registrable Securities, promptly upon request, (i) a written statement by the Company that it has complied with the reporting requirements of Rule 144, the 1933 Act and the 1934 Act, (ii) a copy of the most recent annual or quarterly report of the Company and such other reports and documents so filed by the Company, and (iii) such other information as may be reasonably requested to permit the Holders to sell such securities pursuant to any rule or regulation of the SEC allowing the Holder to sell any securities without registration.</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2"/>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13 -</w:t>
      </w:r>
    </w:p>
    <w:p>
      <w:pPr>
        <w:sectPr>
          <w:pgSz w:w="11900" w:h="16838" w:orient="portrait"/>
          <w:cols w:equalWidth="0" w:num="1">
            <w:col w:w="10244"/>
          </w:cols>
          <w:pgMar w:left="216" w:top="689" w:right="1440" w:bottom="1440" w:gutter="0" w:footer="0" w:header="0"/>
        </w:sectPr>
      </w:pPr>
    </w:p>
    <w:bookmarkStart w:id="55" w:name="page56"/>
    <w:bookmarkEnd w:id="55"/>
    <w:p>
      <w:pPr>
        <w:ind w:left="364" w:hanging="364"/>
        <w:spacing w:after="0"/>
        <w:tabs>
          <w:tab w:leader="none" w:pos="364"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ASSIGNMENT OF REGISTRATION RIGHTS.</w:t>
      </w:r>
    </w:p>
    <w:p>
      <w:pPr>
        <w:spacing w:after="0" w:line="147" w:lineRule="exact"/>
        <w:rPr>
          <w:rFonts w:ascii="Courier New" w:cs="Courier New" w:eastAsia="Courier New" w:hAnsi="Courier New"/>
          <w:sz w:val="12"/>
          <w:szCs w:val="12"/>
          <w:color w:val="auto"/>
        </w:rPr>
      </w:pPr>
    </w:p>
    <w:p>
      <w:pPr>
        <w:ind w:left="364" w:right="435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rights under this Agreement shall be freely assignable, in whole or in part at any time and from time to time during the Registration Period, by the Holder to any transferee of all or any portion of a Capital Note or of the Registrable Securities (provided that, in the case of the transfer of Registrable Securities only, the rights under the Agreement may be transferred only if the Holder reasonably believes that such transferee cannot immediately make a public distribution of such Registrable Securities without restriction under the 1933 Act, the Israel Securities Law or other applicable securities laws) if: (i) the Holder agrees in writing with the transferee or assignee to assign such rights, and a copy of such agreement is furnished to the Company within a reasonable time after such transfer or assignment; (ii) the Company is, within a reasonable time after such transfer or assignment, furnished with written notice of</w:t>
      </w:r>
    </w:p>
    <w:p>
      <w:pPr>
        <w:spacing w:after="0" w:line="7" w:lineRule="exact"/>
        <w:rPr>
          <w:rFonts w:ascii="Courier New" w:cs="Courier New" w:eastAsia="Courier New" w:hAnsi="Courier New"/>
          <w:sz w:val="12"/>
          <w:szCs w:val="12"/>
          <w:color w:val="auto"/>
        </w:rPr>
      </w:pPr>
    </w:p>
    <w:p>
      <w:pPr>
        <w:ind w:left="364" w:right="4359" w:firstLine="4"/>
        <w:spacing w:after="0" w:line="250" w:lineRule="auto"/>
        <w:tabs>
          <w:tab w:leader="none" w:pos="659" w:val="left"/>
        </w:tabs>
        <w:numPr>
          <w:ilvl w:val="1"/>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name and address of such transferee or assignee, and (b) the securities with respect to which such registration rights are being transferred or assigned; and (iii) within a reasonable period of time after such transfer or assignment, the transferee or assignee agrees in writing with the Company to be bound by all of the provisions contained herein. At the transferee's request, the Company shall promptly prepare and file any required prospectus supplement under Rule 424(b)(3) of the 1933 Act or other applicable provision of the 1933 Act and/or the Israel Securities Law to appropriately amend the list of selling shareholders thereunder to include such transferee.</w:t>
      </w:r>
    </w:p>
    <w:p>
      <w:pPr>
        <w:spacing w:after="0" w:line="141"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 OF REGISTRATION RIGHTS.</w:t>
      </w:r>
    </w:p>
    <w:p>
      <w:pPr>
        <w:spacing w:after="0" w:line="147" w:lineRule="exact"/>
        <w:rPr>
          <w:rFonts w:ascii="Courier New" w:cs="Courier New" w:eastAsia="Courier New" w:hAnsi="Courier New"/>
          <w:sz w:val="12"/>
          <w:szCs w:val="12"/>
          <w:color w:val="auto"/>
        </w:rPr>
      </w:pPr>
    </w:p>
    <w:p>
      <w:pPr>
        <w:ind w:left="364" w:right="441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Provisions of this Agreement may be amended and the observance thereof may be waived (either generally or in a particular instance and either retroactively or prospectively), only with the written consent of the Company and the Holders. Any amendment or waiver effected in accordance with this Section 10 shall be binding upon each Holder and the Company. No such amendment shall be effective to the extent that it applies to less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2"/>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14 -</w:t>
      </w:r>
    </w:p>
    <w:p>
      <w:pPr>
        <w:sectPr>
          <w:pgSz w:w="11900" w:h="16838" w:orient="portrait"/>
          <w:cols w:equalWidth="0" w:num="1">
            <w:col w:w="10244"/>
          </w:cols>
          <w:pgMar w:left="216" w:top="689" w:right="1440" w:bottom="1440" w:gutter="0" w:footer="0" w:header="0"/>
        </w:sectPr>
      </w:pPr>
    </w:p>
    <w:bookmarkStart w:id="56" w:name="page57"/>
    <w:bookmarkEnd w:id="56"/>
    <w:p>
      <w:pPr>
        <w:ind w:left="364" w:right="4719" w:hanging="364"/>
        <w:spacing w:after="0" w:line="253" w:lineRule="auto"/>
        <w:tabs>
          <w:tab w:leader="none" w:pos="364" w:val="left"/>
        </w:tabs>
        <w:numPr>
          <w:ilvl w:val="0"/>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REGISTRATION STATEMENTS; DEMAND AND INCIDENTAL REGISTRATIONS; NO CONFLICTING AGREEMENTS.</w:t>
      </w:r>
    </w:p>
    <w:p>
      <w:pPr>
        <w:spacing w:after="0" w:line="138" w:lineRule="exact"/>
        <w:rPr>
          <w:rFonts w:ascii="Courier New" w:cs="Courier New" w:eastAsia="Courier New" w:hAnsi="Courier New"/>
          <w:sz w:val="12"/>
          <w:szCs w:val="12"/>
          <w:color w:val="auto"/>
        </w:rPr>
      </w:pPr>
    </w:p>
    <w:p>
      <w:pPr>
        <w:ind w:left="744" w:right="4359" w:hanging="376"/>
        <w:spacing w:after="0" w:line="250" w:lineRule="auto"/>
        <w:tabs>
          <w:tab w:leader="none" w:pos="744" w:val="left"/>
        </w:tabs>
        <w:numPr>
          <w:ilvl w:val="1"/>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From and after the time of filing of any Registration Statement filed pursuant hereto and prior to the effectiveness thereof, the Company shall not file a registration statement (including any shelf registration statements) (other than on Form S-8) with the SEC with respect to any securities of the Company, provided that nothing herein shall limit the filing of any registration statement demanded to be filed pursuant to a "demand" right granted by the Company prior to the filing of any such Registration Statement.</w:t>
      </w:r>
    </w:p>
    <w:p>
      <w:pPr>
        <w:spacing w:after="0" w:line="141" w:lineRule="exact"/>
        <w:rPr>
          <w:rFonts w:ascii="Courier New" w:cs="Courier New" w:eastAsia="Courier New" w:hAnsi="Courier New"/>
          <w:sz w:val="12"/>
          <w:szCs w:val="12"/>
          <w:color w:val="auto"/>
        </w:rPr>
      </w:pPr>
    </w:p>
    <w:p>
      <w:pPr>
        <w:ind w:left="744" w:right="4419" w:hanging="376"/>
        <w:spacing w:after="0" w:line="250" w:lineRule="auto"/>
        <w:tabs>
          <w:tab w:leader="none" w:pos="744" w:val="left"/>
        </w:tabs>
        <w:numPr>
          <w:ilvl w:val="1"/>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at any time during the Registration Period there is not an effective Registration Statement covering all of the then Registrable Securities, the Company shall, upon the demand of any Holder, immediately file a registration statement covering all of the then Registrable Securities and the provisions of this Agreement shall apply to such Registration Statement, MUTATIS MUTANDIS.</w:t>
      </w:r>
    </w:p>
    <w:p>
      <w:pPr>
        <w:spacing w:after="0" w:line="141" w:lineRule="exact"/>
        <w:rPr>
          <w:rFonts w:ascii="Courier New" w:cs="Courier New" w:eastAsia="Courier New" w:hAnsi="Courier New"/>
          <w:sz w:val="12"/>
          <w:szCs w:val="12"/>
          <w:color w:val="auto"/>
        </w:rPr>
      </w:pPr>
    </w:p>
    <w:p>
      <w:pPr>
        <w:ind w:left="744" w:right="4359" w:hanging="376"/>
        <w:spacing w:after="0" w:line="250" w:lineRule="auto"/>
        <w:tabs>
          <w:tab w:leader="none" w:pos="744" w:val="left"/>
        </w:tabs>
        <w:numPr>
          <w:ilvl w:val="1"/>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at any time the Company shall determine to prepare and file with the SEC and/or the ISA a registration statement relating to an underwritten offering for its own account or the account of others under the 1933 Act and/or the Israel Securities Law of any of its equity securities, other than on Form F-4 or Form S-8 (each as promulgated under the 1933 Act) or their then equivalents relating to equity securities to be issued solely in connection with any acquisition of any entity or business or equity securities issuable in connection with stock option or other employee benefit plans, then the Company shall send each Holder written notice of such determination and, if within twenty days after receipt of such notice, any such Holder shall so request in writing, the Company shall include in such registration statement all or any part of such Registrable Securities such Holder requests to be registered, subject to customary underwriter cutbacks applicable on a basis consistent with the Company's obligation to other existing holders of registration rights.</w:t>
      </w:r>
    </w:p>
    <w:p>
      <w:pPr>
        <w:spacing w:after="0" w:line="141" w:lineRule="exact"/>
        <w:rPr>
          <w:rFonts w:ascii="Courier New" w:cs="Courier New" w:eastAsia="Courier New" w:hAnsi="Courier New"/>
          <w:sz w:val="12"/>
          <w:szCs w:val="12"/>
          <w:color w:val="auto"/>
        </w:rPr>
      </w:pPr>
    </w:p>
    <w:p>
      <w:pPr>
        <w:ind w:left="744" w:right="4419" w:hanging="376"/>
        <w:spacing w:after="0" w:line="251" w:lineRule="auto"/>
        <w:tabs>
          <w:tab w:leader="none" w:pos="744" w:val="left"/>
        </w:tabs>
        <w:numPr>
          <w:ilvl w:val="1"/>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represents and warrants to the Holder that the Company is not a party to any agreement that conflicts in any manner with the Holder's rights to cause the Company to register Registrable Shares pursuant to this Agreement.</w:t>
      </w:r>
    </w:p>
    <w:p>
      <w:pPr>
        <w:spacing w:after="0" w:line="280" w:lineRule="exact"/>
        <w:rPr>
          <w:rFonts w:ascii="Courier New" w:cs="Courier New" w:eastAsia="Courier New" w:hAnsi="Courier New"/>
          <w:sz w:val="12"/>
          <w:szCs w:val="12"/>
          <w:color w:val="auto"/>
        </w:rPr>
      </w:pPr>
    </w:p>
    <w:p>
      <w:pPr>
        <w:ind w:left="2864" w:hanging="141"/>
        <w:spacing w:after="0"/>
        <w:tabs>
          <w:tab w:leader="none" w:pos="2864" w:val="left"/>
        </w:tabs>
        <w:numPr>
          <w:ilvl w:val="2"/>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15 -</w:t>
      </w:r>
    </w:p>
    <w:p>
      <w:pPr>
        <w:sectPr>
          <w:pgSz w:w="11900" w:h="16838" w:orient="portrait"/>
          <w:cols w:equalWidth="0" w:num="1">
            <w:col w:w="10244"/>
          </w:cols>
          <w:pgMar w:left="216" w:top="689" w:right="1440" w:bottom="1440" w:gutter="0" w:footer="0" w:header="0"/>
        </w:sectPr>
      </w:pPr>
    </w:p>
    <w:bookmarkStart w:id="57" w:name="page58"/>
    <w:bookmarkEnd w:id="57"/>
    <w:p>
      <w:pPr>
        <w:ind w:left="364" w:hanging="364"/>
        <w:spacing w:after="0"/>
        <w:tabs>
          <w:tab w:leader="none" w:pos="364" w:val="left"/>
        </w:tabs>
        <w:numPr>
          <w:ilvl w:val="0"/>
          <w:numId w:val="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MISCELLANEOUS.</w:t>
      </w:r>
    </w:p>
    <w:p>
      <w:pPr>
        <w:spacing w:after="0" w:line="147" w:lineRule="exact"/>
        <w:rPr>
          <w:rFonts w:ascii="Courier New" w:cs="Courier New" w:eastAsia="Courier New" w:hAnsi="Courier New"/>
          <w:sz w:val="12"/>
          <w:szCs w:val="12"/>
          <w:color w:val="auto"/>
        </w:rPr>
      </w:pPr>
    </w:p>
    <w:p>
      <w:pPr>
        <w:ind w:left="744" w:right="4499" w:hanging="376"/>
        <w:spacing w:after="0" w:line="249" w:lineRule="auto"/>
        <w:tabs>
          <w:tab w:leader="none" w:pos="744" w:val="left"/>
        </w:tabs>
        <w:numPr>
          <w:ilvl w:val="1"/>
          <w:numId w:val="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w:t>
      </w:r>
    </w:p>
    <w:p>
      <w:pPr>
        <w:spacing w:after="0" w:line="3" w:lineRule="exact"/>
        <w:rPr>
          <w:rFonts w:ascii="Courier New" w:cs="Courier New" w:eastAsia="Courier New" w:hAnsi="Courier New"/>
          <w:sz w:val="12"/>
          <w:szCs w:val="12"/>
          <w:color w:val="auto"/>
        </w:rPr>
      </w:pPr>
    </w:p>
    <w:p>
      <w:pPr>
        <w:ind w:left="744" w:right="4499" w:hanging="8"/>
        <w:spacing w:after="0" w:line="251" w:lineRule="auto"/>
        <w:tabs>
          <w:tab w:leader="none" w:pos="1186" w:val="left"/>
        </w:tabs>
        <w:numPr>
          <w:ilvl w:val="2"/>
          <w:numId w:val="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three business days after deposit if deposited in the mail for mailing by certified mail, postage prepaid, in each case properly addressed to the party to receive the same. The addresses and facsimile numbers for such communications shall be:</w:t>
      </w:r>
    </w:p>
    <w:p>
      <w:pPr>
        <w:sectPr>
          <w:pgSz w:w="11900" w:h="16838" w:orient="portrait"/>
          <w:cols w:equalWidth="0" w:num="1">
            <w:col w:w="10244"/>
          </w:cols>
          <w:pgMar w:left="216" w:top="689" w:right="1440" w:bottom="1440" w:gutter="0" w:footer="0" w:header="0"/>
        </w:sectPr>
      </w:pPr>
    </w:p>
    <w:p>
      <w:pPr>
        <w:spacing w:after="0" w:line="139" w:lineRule="exact"/>
        <w:rPr>
          <w:sz w:val="20"/>
          <w:szCs w:val="20"/>
          <w:color w:val="auto"/>
        </w:rPr>
      </w:pPr>
    </w:p>
    <w:p>
      <w:pPr>
        <w:jc w:val="center"/>
        <w:ind w:left="744"/>
        <w:spacing w:after="0"/>
        <w:rPr>
          <w:sz w:val="20"/>
          <w:szCs w:val="20"/>
          <w:color w:val="auto"/>
        </w:rPr>
      </w:pPr>
      <w:r>
        <w:rPr>
          <w:rFonts w:ascii="Courier New" w:cs="Courier New" w:eastAsia="Courier New" w:hAnsi="Courier New"/>
          <w:sz w:val="12"/>
          <w:szCs w:val="12"/>
          <w:color w:val="auto"/>
        </w:rPr>
        <w:t>to the Borrower at: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Tower Semiconductor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P.O. Box 619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Migdal Haemek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Israel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(04) 604 7242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Attention: Oren Shirazi</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2"/>
          <w:szCs w:val="12"/>
          <w:color w:val="auto"/>
        </w:rPr>
        <w:t>Acting Chief Financial Officer</w:t>
      </w:r>
    </w:p>
    <w:p>
      <w:pPr>
        <w:spacing w:after="0" w:line="147" w:lineRule="exact"/>
        <w:rPr>
          <w:sz w:val="20"/>
          <w:szCs w:val="20"/>
          <w:color w:val="auto"/>
        </w:rPr>
      </w:pPr>
    </w:p>
    <w:p>
      <w:pPr>
        <w:sectPr>
          <w:pgSz w:w="11900" w:h="16838" w:orient="portrait"/>
          <w:cols w:equalWidth="0" w:num="2">
            <w:col w:w="2144" w:space="720"/>
            <w:col w:w="7379"/>
          </w:cols>
          <w:pgMar w:left="216" w:top="689" w:right="1440" w:bottom="1440" w:gutter="0" w:footer="0" w:header="0"/>
          <w:type w:val="continuous"/>
        </w:sectPr>
      </w:pPr>
    </w:p>
    <w:p>
      <w:pPr>
        <w:ind w:left="744"/>
        <w:spacing w:after="0"/>
        <w:rPr>
          <w:sz w:val="20"/>
          <w:szCs w:val="20"/>
          <w:color w:val="auto"/>
        </w:rPr>
      </w:pPr>
      <w:r>
        <w:rPr>
          <w:rFonts w:ascii="Courier New" w:cs="Courier New" w:eastAsia="Courier New" w:hAnsi="Courier New"/>
          <w:sz w:val="12"/>
          <w:szCs w:val="12"/>
          <w:color w:val="auto"/>
        </w:rPr>
        <w:t>WITH A COPY TO (WHICH SHALL NOT CONSTITUTE NOTICE):</w:t>
      </w:r>
    </w:p>
    <w:p>
      <w:pPr>
        <w:spacing w:after="0" w:line="147" w:lineRule="exact"/>
        <w:rPr>
          <w:sz w:val="20"/>
          <w:szCs w:val="20"/>
          <w:color w:val="auto"/>
        </w:rPr>
      </w:pPr>
    </w:p>
    <w:p>
      <w:pPr>
        <w:ind w:left="2864"/>
        <w:spacing w:after="0"/>
        <w:rPr>
          <w:sz w:val="20"/>
          <w:szCs w:val="20"/>
          <w:color w:val="auto"/>
        </w:rPr>
      </w:pPr>
      <w:r>
        <w:rPr>
          <w:rFonts w:ascii="Courier New" w:cs="Courier New" w:eastAsia="Courier New" w:hAnsi="Courier New"/>
          <w:sz w:val="12"/>
          <w:szCs w:val="12"/>
          <w:color w:val="auto"/>
        </w:rPr>
        <w:t>Yigal Arnon &amp; Co.</w:t>
      </w:r>
    </w:p>
    <w:p>
      <w:pPr>
        <w:spacing w:after="0" w:line="6" w:lineRule="exact"/>
        <w:rPr>
          <w:sz w:val="20"/>
          <w:szCs w:val="20"/>
          <w:color w:val="auto"/>
        </w:rPr>
      </w:pPr>
    </w:p>
    <w:p>
      <w:pPr>
        <w:ind w:left="2864"/>
        <w:spacing w:after="0"/>
        <w:rPr>
          <w:sz w:val="20"/>
          <w:szCs w:val="20"/>
          <w:color w:val="auto"/>
        </w:rPr>
      </w:pPr>
      <w:r>
        <w:rPr>
          <w:rFonts w:ascii="Courier New" w:cs="Courier New" w:eastAsia="Courier New" w:hAnsi="Courier New"/>
          <w:sz w:val="12"/>
          <w:szCs w:val="12"/>
          <w:color w:val="auto"/>
        </w:rPr>
        <w:t>1 Azrieli Center</w:t>
      </w:r>
    </w:p>
    <w:p>
      <w:pPr>
        <w:spacing w:after="0" w:line="6" w:lineRule="exact"/>
        <w:rPr>
          <w:sz w:val="20"/>
          <w:szCs w:val="20"/>
          <w:color w:val="auto"/>
        </w:rPr>
      </w:pPr>
    </w:p>
    <w:p>
      <w:pPr>
        <w:ind w:left="2864"/>
        <w:spacing w:after="0"/>
        <w:rPr>
          <w:sz w:val="20"/>
          <w:szCs w:val="20"/>
          <w:color w:val="auto"/>
        </w:rPr>
      </w:pPr>
      <w:r>
        <w:rPr>
          <w:rFonts w:ascii="Courier New" w:cs="Courier New" w:eastAsia="Courier New" w:hAnsi="Courier New"/>
          <w:sz w:val="12"/>
          <w:szCs w:val="12"/>
          <w:color w:val="auto"/>
        </w:rPr>
        <w:t>46th Floor, The Round Tower</w:t>
      </w:r>
    </w:p>
    <w:p>
      <w:pPr>
        <w:spacing w:after="0" w:line="6" w:lineRule="exact"/>
        <w:rPr>
          <w:sz w:val="20"/>
          <w:szCs w:val="20"/>
          <w:color w:val="auto"/>
        </w:rPr>
      </w:pPr>
    </w:p>
    <w:p>
      <w:pPr>
        <w:ind w:left="2864"/>
        <w:spacing w:after="0"/>
        <w:rPr>
          <w:sz w:val="20"/>
          <w:szCs w:val="20"/>
          <w:color w:val="auto"/>
        </w:rPr>
      </w:pPr>
      <w:r>
        <w:rPr>
          <w:rFonts w:ascii="Courier New" w:cs="Courier New" w:eastAsia="Courier New" w:hAnsi="Courier New"/>
          <w:sz w:val="12"/>
          <w:szCs w:val="12"/>
          <w:color w:val="auto"/>
        </w:rPr>
        <w:t>Tel-Aviv, Israel 67021</w:t>
      </w:r>
    </w:p>
    <w:p>
      <w:pPr>
        <w:spacing w:after="0" w:line="6" w:lineRule="exact"/>
        <w:rPr>
          <w:sz w:val="20"/>
          <w:szCs w:val="20"/>
          <w:color w:val="auto"/>
        </w:rPr>
      </w:pPr>
    </w:p>
    <w:p>
      <w:pPr>
        <w:ind w:left="2864"/>
        <w:spacing w:after="0"/>
        <w:rPr>
          <w:sz w:val="20"/>
          <w:szCs w:val="20"/>
          <w:color w:val="auto"/>
        </w:rPr>
      </w:pPr>
      <w:r>
        <w:rPr>
          <w:rFonts w:ascii="Courier New" w:cs="Courier New" w:eastAsia="Courier New" w:hAnsi="Courier New"/>
          <w:sz w:val="12"/>
          <w:szCs w:val="12"/>
          <w:color w:val="auto"/>
        </w:rPr>
        <w:t>Facsimile: (03) 608 7714</w:t>
      </w:r>
    </w:p>
    <w:p>
      <w:pPr>
        <w:spacing w:after="0" w:line="6" w:lineRule="exact"/>
        <w:rPr>
          <w:sz w:val="20"/>
          <w:szCs w:val="20"/>
          <w:color w:val="auto"/>
        </w:rPr>
      </w:pPr>
    </w:p>
    <w:p>
      <w:pPr>
        <w:ind w:left="2864"/>
        <w:spacing w:after="0"/>
        <w:rPr>
          <w:sz w:val="20"/>
          <w:szCs w:val="20"/>
          <w:color w:val="auto"/>
        </w:rPr>
      </w:pPr>
      <w:r>
        <w:rPr>
          <w:rFonts w:ascii="Courier New" w:cs="Courier New" w:eastAsia="Courier New" w:hAnsi="Courier New"/>
          <w:sz w:val="12"/>
          <w:szCs w:val="12"/>
          <w:color w:val="auto"/>
        </w:rPr>
        <w:t>Attention: David H. Schapiro, Adv./</w:t>
      </w:r>
    </w:p>
    <w:p>
      <w:pPr>
        <w:spacing w:after="0" w:line="6" w:lineRule="exact"/>
        <w:rPr>
          <w:sz w:val="20"/>
          <w:szCs w:val="20"/>
          <w:color w:val="auto"/>
        </w:rPr>
      </w:pPr>
    </w:p>
    <w:p>
      <w:pPr>
        <w:ind w:left="3684"/>
        <w:spacing w:after="0"/>
        <w:rPr>
          <w:sz w:val="20"/>
          <w:szCs w:val="20"/>
          <w:color w:val="auto"/>
        </w:rPr>
      </w:pPr>
      <w:r>
        <w:rPr>
          <w:rFonts w:ascii="Courier New" w:cs="Courier New" w:eastAsia="Courier New" w:hAnsi="Courier New"/>
          <w:sz w:val="12"/>
          <w:szCs w:val="12"/>
          <w:color w:val="auto"/>
        </w:rPr>
        <w:t>Ari Fried, Adv.</w:t>
      </w:r>
    </w:p>
    <w:p>
      <w:pPr>
        <w:sectPr>
          <w:pgSz w:w="11900" w:h="16838" w:orient="portrait"/>
          <w:cols w:equalWidth="0" w:num="1">
            <w:col w:w="10244"/>
          </w:cols>
          <w:pgMar w:left="216" w:top="689" w:right="1440" w:bottom="1440" w:gutter="0" w:footer="0" w:header="0"/>
          <w:type w:val="continuous"/>
        </w:sectPr>
      </w:pP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1"/>
          <w:szCs w:val="11"/>
          <w:color w:val="auto"/>
        </w:rPr>
        <w:t>to TIC at: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Israel Corporation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Milennium Tower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23 Aranha 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 Aviv Israel 61070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(03) 684 4574</w:t>
      </w:r>
    </w:p>
    <w:p>
      <w:pPr>
        <w:spacing w:after="0" w:line="6" w:lineRule="exact"/>
        <w:rPr>
          <w:sz w:val="20"/>
          <w:szCs w:val="20"/>
          <w:color w:val="auto"/>
        </w:rPr>
      </w:pPr>
    </w:p>
    <w:p>
      <w:pPr>
        <w:sectPr>
          <w:pgSz w:w="11900" w:h="16838" w:orient="portrait"/>
          <w:cols w:equalWidth="0" w:num="2">
            <w:col w:w="2144" w:space="720"/>
            <w:col w:w="7379"/>
          </w:cols>
          <w:pgMar w:left="216" w:top="689" w:right="1440" w:bottom="1440" w:gutter="0" w:footer="0" w:header="0"/>
          <w:type w:val="continuous"/>
        </w:sectPr>
      </w:pPr>
    </w:p>
    <w:p>
      <w:pPr>
        <w:ind w:left="2864"/>
        <w:spacing w:after="0"/>
        <w:rPr>
          <w:sz w:val="20"/>
          <w:szCs w:val="20"/>
          <w:color w:val="auto"/>
        </w:rPr>
      </w:pPr>
      <w:r>
        <w:rPr>
          <w:rFonts w:ascii="Courier New" w:cs="Courier New" w:eastAsia="Courier New" w:hAnsi="Courier New"/>
          <w:sz w:val="12"/>
          <w:szCs w:val="12"/>
          <w:color w:val="auto"/>
        </w:rPr>
        <w:t>Attention: Chief Financial Officer</w:t>
      </w:r>
    </w:p>
    <w:p>
      <w:pPr>
        <w:spacing w:after="0" w:line="147" w:lineRule="exact"/>
        <w:rPr>
          <w:sz w:val="20"/>
          <w:szCs w:val="20"/>
          <w:color w:val="auto"/>
        </w:rPr>
      </w:pPr>
    </w:p>
    <w:p>
      <w:pPr>
        <w:ind w:left="664"/>
        <w:spacing w:after="0"/>
        <w:rPr>
          <w:sz w:val="20"/>
          <w:szCs w:val="20"/>
          <w:color w:val="auto"/>
        </w:rPr>
      </w:pPr>
      <w:r>
        <w:rPr>
          <w:rFonts w:ascii="Courier New" w:cs="Courier New" w:eastAsia="Courier New" w:hAnsi="Courier New"/>
          <w:sz w:val="12"/>
          <w:szCs w:val="12"/>
          <w:color w:val="auto"/>
        </w:rPr>
        <w:t>WITH A COPY TO (WHICH SHALL NOT CONSTITUTE NOTICE):</w:t>
      </w:r>
    </w:p>
    <w:p>
      <w:pPr>
        <w:spacing w:after="0" w:line="147" w:lineRule="exact"/>
        <w:rPr>
          <w:sz w:val="20"/>
          <w:szCs w:val="20"/>
          <w:color w:val="auto"/>
        </w:rPr>
      </w:pPr>
    </w:p>
    <w:p>
      <w:pPr>
        <w:ind w:left="2864"/>
        <w:spacing w:after="0"/>
        <w:rPr>
          <w:sz w:val="20"/>
          <w:szCs w:val="20"/>
          <w:color w:val="auto"/>
        </w:rPr>
      </w:pPr>
      <w:r>
        <w:rPr>
          <w:rFonts w:ascii="Courier New" w:cs="Courier New" w:eastAsia="Courier New" w:hAnsi="Courier New"/>
          <w:sz w:val="12"/>
          <w:szCs w:val="12"/>
          <w:color w:val="auto"/>
        </w:rPr>
        <w:t>Gornitzky &amp; Co.</w:t>
      </w:r>
    </w:p>
    <w:p>
      <w:pPr>
        <w:spacing w:after="0" w:line="6" w:lineRule="exact"/>
        <w:rPr>
          <w:sz w:val="20"/>
          <w:szCs w:val="20"/>
          <w:color w:val="auto"/>
        </w:rPr>
      </w:pPr>
    </w:p>
    <w:p>
      <w:pPr>
        <w:ind w:left="2864"/>
        <w:spacing w:after="0"/>
        <w:rPr>
          <w:sz w:val="20"/>
          <w:szCs w:val="20"/>
          <w:color w:val="auto"/>
        </w:rPr>
      </w:pPr>
      <w:r>
        <w:rPr>
          <w:rFonts w:ascii="Courier New" w:cs="Courier New" w:eastAsia="Courier New" w:hAnsi="Courier New"/>
          <w:sz w:val="12"/>
          <w:szCs w:val="12"/>
          <w:color w:val="auto"/>
        </w:rPr>
        <w:t>45 Rothschild Blvd.</w:t>
      </w:r>
    </w:p>
    <w:p>
      <w:pPr>
        <w:spacing w:after="0" w:line="6" w:lineRule="exact"/>
        <w:rPr>
          <w:sz w:val="20"/>
          <w:szCs w:val="20"/>
          <w:color w:val="auto"/>
        </w:rPr>
      </w:pPr>
    </w:p>
    <w:p>
      <w:pPr>
        <w:ind w:left="2864"/>
        <w:spacing w:after="0"/>
        <w:rPr>
          <w:sz w:val="20"/>
          <w:szCs w:val="20"/>
          <w:color w:val="auto"/>
        </w:rPr>
      </w:pPr>
      <w:r>
        <w:rPr>
          <w:rFonts w:ascii="Courier New" w:cs="Courier New" w:eastAsia="Courier New" w:hAnsi="Courier New"/>
          <w:sz w:val="12"/>
          <w:szCs w:val="12"/>
          <w:color w:val="auto"/>
        </w:rPr>
        <w:t>Tel Aviv, Israel 65784</w:t>
      </w:r>
    </w:p>
    <w:p>
      <w:pPr>
        <w:spacing w:after="0" w:line="6" w:lineRule="exact"/>
        <w:rPr>
          <w:sz w:val="20"/>
          <w:szCs w:val="20"/>
          <w:color w:val="auto"/>
        </w:rPr>
      </w:pPr>
    </w:p>
    <w:p>
      <w:pPr>
        <w:ind w:left="2864"/>
        <w:spacing w:after="0"/>
        <w:rPr>
          <w:sz w:val="20"/>
          <w:szCs w:val="20"/>
          <w:color w:val="auto"/>
        </w:rPr>
      </w:pPr>
      <w:r>
        <w:rPr>
          <w:rFonts w:ascii="Courier New" w:cs="Courier New" w:eastAsia="Courier New" w:hAnsi="Courier New"/>
          <w:sz w:val="12"/>
          <w:szCs w:val="12"/>
          <w:color w:val="auto"/>
        </w:rPr>
        <w:t>Facsimile: (03) 560 6555</w:t>
      </w:r>
    </w:p>
    <w:p>
      <w:pPr>
        <w:spacing w:after="0" w:line="6" w:lineRule="exact"/>
        <w:rPr>
          <w:sz w:val="20"/>
          <w:szCs w:val="20"/>
          <w:color w:val="auto"/>
        </w:rPr>
      </w:pPr>
    </w:p>
    <w:p>
      <w:pPr>
        <w:ind w:left="2864"/>
        <w:spacing w:after="0"/>
        <w:rPr>
          <w:sz w:val="20"/>
          <w:szCs w:val="20"/>
          <w:color w:val="auto"/>
        </w:rPr>
      </w:pPr>
      <w:r>
        <w:rPr>
          <w:rFonts w:ascii="Courier New" w:cs="Courier New" w:eastAsia="Courier New" w:hAnsi="Courier New"/>
          <w:sz w:val="12"/>
          <w:szCs w:val="12"/>
          <w:color w:val="auto"/>
        </w:rPr>
        <w:t>Attention: Zvi Ephrat, Adv.</w:t>
      </w:r>
    </w:p>
    <w:p>
      <w:pPr>
        <w:sectPr>
          <w:pgSz w:w="11900" w:h="16838" w:orient="portrait"/>
          <w:cols w:equalWidth="0" w:num="1">
            <w:col w:w="10244"/>
          </w:cols>
          <w:pgMar w:left="216" w:top="689" w:right="1440" w:bottom="1440" w:gutter="0" w:footer="0" w:header="0"/>
          <w:type w:val="continuous"/>
        </w:sectPr>
      </w:pPr>
    </w:p>
    <w:p>
      <w:pPr>
        <w:spacing w:after="0" w:line="147" w:lineRule="exact"/>
        <w:rPr>
          <w:sz w:val="20"/>
          <w:szCs w:val="20"/>
          <w:color w:val="auto"/>
        </w:rPr>
      </w:pPr>
    </w:p>
    <w:p>
      <w:pPr>
        <w:ind w:left="664"/>
        <w:spacing w:after="0"/>
        <w:rPr>
          <w:sz w:val="20"/>
          <w:szCs w:val="20"/>
          <w:color w:val="auto"/>
        </w:rPr>
      </w:pPr>
      <w:r>
        <w:rPr>
          <w:rFonts w:ascii="Courier New" w:cs="Courier New" w:eastAsia="Courier New" w:hAnsi="Courier New"/>
          <w:sz w:val="12"/>
          <w:szCs w:val="12"/>
          <w:color w:val="auto"/>
        </w:rPr>
        <w:t>to any other Holder at: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such address as shall be notified 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Company pursuant to Section 9 above.</w:t>
      </w:r>
    </w:p>
    <w:p>
      <w:pPr>
        <w:spacing w:after="0" w:line="200" w:lineRule="exact"/>
        <w:rPr>
          <w:sz w:val="20"/>
          <w:szCs w:val="20"/>
          <w:color w:val="auto"/>
        </w:rPr>
      </w:pPr>
    </w:p>
    <w:p>
      <w:pPr>
        <w:sectPr>
          <w:pgSz w:w="11900" w:h="16838" w:orient="portrait"/>
          <w:cols w:equalWidth="0" w:num="2">
            <w:col w:w="2364" w:space="500"/>
            <w:col w:w="7379"/>
          </w:cols>
          <w:pgMar w:left="216" w:top="689" w:right="1440" w:bottom="1440" w:gutter="0" w:footer="0" w:header="0"/>
          <w:type w:val="continuous"/>
        </w:sectPr>
      </w:pPr>
    </w:p>
    <w:p>
      <w:pPr>
        <w:spacing w:after="0" w:line="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- 16 -</w:t>
      </w:r>
    </w:p>
    <w:p>
      <w:pPr>
        <w:sectPr>
          <w:pgSz w:w="11900" w:h="16838" w:orient="portrait"/>
          <w:cols w:equalWidth="0" w:num="1">
            <w:col w:w="10244"/>
          </w:cols>
          <w:pgMar w:left="216" w:top="689" w:right="1440" w:bottom="1440" w:gutter="0" w:footer="0" w:header="0"/>
          <w:type w:val="continuous"/>
        </w:sectPr>
      </w:pPr>
    </w:p>
    <w:bookmarkStart w:id="58" w:name="page59"/>
    <w:bookmarkEnd w:id="58"/>
    <w:p>
      <w:pPr>
        <w:ind w:left="376" w:right="4499" w:hanging="376"/>
        <w:spacing w:after="0" w:line="251" w:lineRule="auto"/>
        <w:tabs>
          <w:tab w:leader="none" w:pos="376" w:val="left"/>
        </w:tabs>
        <w:numPr>
          <w:ilvl w:val="0"/>
          <w:numId w:val="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Failure of any party to exercise any right or remedy under this Agreement or otherwise, or delay by a party in exercising such right or remedy, shall not operate as a waiver thereof.</w:t>
      </w:r>
    </w:p>
    <w:p>
      <w:pPr>
        <w:spacing w:after="0" w:line="139"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shall be governed by and construed in accordance with the laws of the State of Israel as applicable to contracts between two residents of the State of Israel entered into and to be performed entirely within the State of Israel. Any dispute arising under or in relation to this Agreement shall be resolved in the competent court for Tel Aviv-Jaffa district, and each of the parties hereby submits irrevocably to the jurisdiction of such court.</w:t>
      </w:r>
    </w:p>
    <w:p>
      <w:pPr>
        <w:spacing w:after="0" w:line="141" w:lineRule="exact"/>
        <w:rPr>
          <w:rFonts w:ascii="Courier New" w:cs="Courier New" w:eastAsia="Courier New" w:hAnsi="Courier New"/>
          <w:sz w:val="12"/>
          <w:szCs w:val="12"/>
          <w:color w:val="auto"/>
        </w:rPr>
      </w:pPr>
    </w:p>
    <w:p>
      <w:pPr>
        <w:ind w:left="376" w:right="4419" w:hanging="376"/>
        <w:spacing w:after="0" w:line="250" w:lineRule="auto"/>
        <w:tabs>
          <w:tab w:leader="none" w:pos="376" w:val="left"/>
        </w:tabs>
        <w:numPr>
          <w:ilvl w:val="0"/>
          <w:numId w:val="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constitutes the entire agreement among the parties hereto with respect to the subject matter hereof and thereof. There are no restrictions, promises, warranties or undertakings, other than those set forth or referred to herein and therein. This Agreement supersedes all prior agreements and understandings among the parties hereto with respect to the subject matter hereof and thereof.</w:t>
      </w:r>
    </w:p>
    <w:p>
      <w:pPr>
        <w:spacing w:after="0" w:line="141"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Neither this Agreement, nor any of Tower's obligations hereunder, may be assigned by Tower, except with the prior written consent of all the Holders. Subject to the requirements of Section 9, this Agreement shall inure to the benefit of and be binding upon the successors and permitted assigns of each of the parties hereto.</w:t>
      </w:r>
    </w:p>
    <w:p>
      <w:pPr>
        <w:spacing w:after="0" w:line="141" w:lineRule="exact"/>
        <w:rPr>
          <w:rFonts w:ascii="Courier New" w:cs="Courier New" w:eastAsia="Courier New" w:hAnsi="Courier New"/>
          <w:sz w:val="12"/>
          <w:szCs w:val="12"/>
          <w:color w:val="auto"/>
        </w:rPr>
      </w:pPr>
    </w:p>
    <w:p>
      <w:pPr>
        <w:ind w:left="376" w:right="4499" w:hanging="376"/>
        <w:spacing w:after="0" w:line="253" w:lineRule="auto"/>
        <w:tabs>
          <w:tab w:leader="none" w:pos="376" w:val="left"/>
        </w:tabs>
        <w:numPr>
          <w:ilvl w:val="0"/>
          <w:numId w:val="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headings in this Agreement are for convenience of reference only and shall not limit or otherwise affect the meaning hereof.</w:t>
      </w:r>
    </w:p>
    <w:p>
      <w:pPr>
        <w:spacing w:after="0" w:line="138" w:lineRule="exact"/>
        <w:rPr>
          <w:rFonts w:ascii="Courier New" w:cs="Courier New" w:eastAsia="Courier New" w:hAnsi="Courier New"/>
          <w:sz w:val="12"/>
          <w:szCs w:val="12"/>
          <w:color w:val="auto"/>
        </w:rPr>
      </w:pPr>
    </w:p>
    <w:p>
      <w:pPr>
        <w:ind w:left="376" w:right="4419" w:hanging="376"/>
        <w:spacing w:after="0" w:line="250" w:lineRule="auto"/>
        <w:tabs>
          <w:tab w:leader="none" w:pos="376" w:val="left"/>
        </w:tabs>
        <w:numPr>
          <w:ilvl w:val="0"/>
          <w:numId w:val="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may be executed in identical counterparts, each of which shall be deemed an original but all of which shall constitute one and the same agreement. This Agreement, once executed by a party, may be delivered to the other party hereto by facsimile transmission of a copy of this Agreement bearing the signature of the party so delivering this Agreement.</w:t>
      </w:r>
    </w:p>
    <w:p>
      <w:pPr>
        <w:spacing w:after="0" w:line="141"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283" w:lineRule="exact"/>
        <w:rPr>
          <w:rFonts w:ascii="Courier New" w:cs="Courier New" w:eastAsia="Courier New" w:hAnsi="Courier New"/>
          <w:sz w:val="12"/>
          <w:szCs w:val="12"/>
          <w:color w:val="auto"/>
        </w:rPr>
      </w:pPr>
    </w:p>
    <w:p>
      <w:pPr>
        <w:ind w:left="2496" w:hanging="141"/>
        <w:spacing w:after="0"/>
        <w:tabs>
          <w:tab w:leader="none" w:pos="2496" w:val="left"/>
        </w:tabs>
        <w:numPr>
          <w:ilvl w:val="1"/>
          <w:numId w:val="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17 -</w:t>
      </w:r>
    </w:p>
    <w:p>
      <w:pPr>
        <w:sectPr>
          <w:pgSz w:w="11900" w:h="16838" w:orient="portrait"/>
          <w:cols w:equalWidth="0" w:num="1">
            <w:col w:w="9876"/>
          </w:cols>
          <w:pgMar w:left="584" w:top="689" w:right="1440" w:bottom="1440" w:gutter="0" w:footer="0" w:header="0"/>
        </w:sectPr>
      </w:pPr>
    </w:p>
    <w:bookmarkStart w:id="59" w:name="page60"/>
    <w:bookmarkEnd w:id="59"/>
    <w:p>
      <w:pPr>
        <w:ind w:left="740" w:right="4419" w:hanging="376"/>
        <w:spacing w:after="0" w:line="251" w:lineRule="auto"/>
        <w:tabs>
          <w:tab w:leader="none" w:pos="740" w:val="left"/>
        </w:tabs>
        <w:numPr>
          <w:ilvl w:val="0"/>
          <w:numId w:val="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language used in this Agreement will be deemed to be the language chosen by the parties to express their mutual intent and no rules of strict construction will be applied against any party.</w:t>
      </w:r>
    </w:p>
    <w:p>
      <w:pPr>
        <w:spacing w:after="0" w:line="139" w:lineRule="exact"/>
        <w:rPr>
          <w:rFonts w:ascii="Courier New" w:cs="Courier New" w:eastAsia="Courier New" w:hAnsi="Courier New"/>
          <w:sz w:val="12"/>
          <w:szCs w:val="12"/>
          <w:color w:val="auto"/>
        </w:rPr>
      </w:pPr>
    </w:p>
    <w:p>
      <w:pPr>
        <w:ind w:left="740" w:right="4419" w:hanging="376"/>
        <w:spacing w:after="0" w:line="251" w:lineRule="auto"/>
        <w:tabs>
          <w:tab w:leader="none" w:pos="740" w:val="left"/>
        </w:tabs>
        <w:numPr>
          <w:ilvl w:val="0"/>
          <w:numId w:val="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is intended for the benefit of the parties hereto and their respective successors and permitted assigns, and is not for the benefit of, nor may any provision hereof be enforced by, any other person.</w:t>
      </w:r>
    </w:p>
    <w:p>
      <w:pPr>
        <w:spacing w:after="0" w:line="139" w:lineRule="exact"/>
        <w:rPr>
          <w:sz w:val="20"/>
          <w:szCs w:val="20"/>
          <w:color w:val="auto"/>
        </w:rPr>
      </w:pPr>
    </w:p>
    <w:p>
      <w:pPr>
        <w:jc w:val="both"/>
        <w:ind w:right="4879" w:firstLine="368"/>
        <w:spacing w:after="0" w:line="253" w:lineRule="auto"/>
        <w:rPr>
          <w:sz w:val="20"/>
          <w:szCs w:val="20"/>
          <w:color w:val="auto"/>
        </w:rPr>
      </w:pPr>
      <w:r>
        <w:rPr>
          <w:rFonts w:ascii="Courier New" w:cs="Courier New" w:eastAsia="Courier New" w:hAnsi="Courier New"/>
          <w:sz w:val="12"/>
          <w:szCs w:val="12"/>
          <w:color w:val="auto"/>
        </w:rPr>
        <w:t>IN WITNESS WHEREOF, the parties have caused this Registration Rights Agreement to be duly executed as of the day and year first above written.</w:t>
      </w:r>
    </w:p>
    <w:p>
      <w:pPr>
        <w:spacing w:after="0" w:line="280" w:lineRule="exact"/>
        <w:rPr>
          <w:sz w:val="20"/>
          <w:szCs w:val="20"/>
          <w:color w:val="auto"/>
        </w:rPr>
      </w:pPr>
    </w:p>
    <w:p>
      <w:pPr>
        <w:ind w:left="2580"/>
        <w:spacing w:after="0"/>
        <w:rPr>
          <w:sz w:val="20"/>
          <w:szCs w:val="20"/>
          <w:color w:val="auto"/>
        </w:rPr>
      </w:pPr>
      <w:r>
        <w:rPr>
          <w:rFonts w:ascii="Courier New" w:cs="Courier New" w:eastAsia="Courier New" w:hAnsi="Courier New"/>
          <w:sz w:val="12"/>
          <w:szCs w:val="12"/>
          <w:color w:val="auto"/>
        </w:rPr>
        <w:t>COMPANY:</w:t>
      </w:r>
    </w:p>
    <w:p>
      <w:pPr>
        <w:spacing w:after="0" w:line="147" w:lineRule="exact"/>
        <w:rPr>
          <w:sz w:val="20"/>
          <w:szCs w:val="20"/>
          <w:color w:val="auto"/>
        </w:rPr>
      </w:pPr>
    </w:p>
    <w:p>
      <w:pPr>
        <w:ind w:left="2580"/>
        <w:spacing w:after="0"/>
        <w:rPr>
          <w:sz w:val="20"/>
          <w:szCs w:val="20"/>
          <w:color w:val="auto"/>
        </w:rPr>
      </w:pPr>
      <w:r>
        <w:rPr>
          <w:rFonts w:ascii="Courier New" w:cs="Courier New" w:eastAsia="Courier New" w:hAnsi="Courier New"/>
          <w:sz w:val="12"/>
          <w:szCs w:val="12"/>
          <w:color w:val="auto"/>
        </w:rPr>
        <w:t>TOWER SEMICONDUCTOR LTD.</w:t>
      </w:r>
    </w:p>
    <w:p>
      <w:pPr>
        <w:spacing w:after="0" w:line="147" w:lineRule="exact"/>
        <w:rPr>
          <w:sz w:val="20"/>
          <w:szCs w:val="20"/>
          <w:color w:val="auto"/>
        </w:rPr>
      </w:pPr>
    </w:p>
    <w:p>
      <w:pPr>
        <w:ind w:left="2580"/>
        <w:spacing w:after="0"/>
        <w:rPr>
          <w:sz w:val="20"/>
          <w:szCs w:val="20"/>
          <w:color w:val="auto"/>
        </w:rPr>
      </w:pPr>
      <w:r>
        <w:rPr>
          <w:rFonts w:ascii="Courier New" w:cs="Courier New" w:eastAsia="Courier New" w:hAnsi="Courier New"/>
          <w:sz w:val="12"/>
          <w:szCs w:val="12"/>
          <w:color w:val="auto"/>
        </w:rPr>
        <w:t>By: ______________________________</w:t>
      </w:r>
    </w:p>
    <w:p>
      <w:pPr>
        <w:spacing w:after="0" w:line="147" w:lineRule="exact"/>
        <w:rPr>
          <w:sz w:val="20"/>
          <w:szCs w:val="20"/>
          <w:color w:val="auto"/>
        </w:rPr>
      </w:pPr>
    </w:p>
    <w:p>
      <w:pPr>
        <w:ind w:left="2580"/>
        <w:spacing w:after="0"/>
        <w:rPr>
          <w:sz w:val="20"/>
          <w:szCs w:val="20"/>
          <w:color w:val="auto"/>
        </w:rPr>
      </w:pPr>
      <w:r>
        <w:rPr>
          <w:rFonts w:ascii="Courier New" w:cs="Courier New" w:eastAsia="Courier New" w:hAnsi="Courier New"/>
          <w:sz w:val="12"/>
          <w:szCs w:val="12"/>
          <w:color w:val="auto"/>
        </w:rPr>
        <w:t>Name: ____________________________</w:t>
      </w:r>
    </w:p>
    <w:p>
      <w:pPr>
        <w:spacing w:after="0" w:line="147" w:lineRule="exact"/>
        <w:rPr>
          <w:sz w:val="20"/>
          <w:szCs w:val="20"/>
          <w:color w:val="auto"/>
        </w:rPr>
      </w:pPr>
    </w:p>
    <w:p>
      <w:pPr>
        <w:ind w:left="2580"/>
        <w:spacing w:after="0"/>
        <w:rPr>
          <w:sz w:val="20"/>
          <w:szCs w:val="20"/>
          <w:color w:val="auto"/>
        </w:rPr>
      </w:pPr>
      <w:r>
        <w:rPr>
          <w:rFonts w:ascii="Courier New" w:cs="Courier New" w:eastAsia="Courier New" w:hAnsi="Courier New"/>
          <w:sz w:val="12"/>
          <w:szCs w:val="12"/>
          <w:color w:val="auto"/>
        </w:rPr>
        <w:t>Its: _______________________________</w:t>
      </w:r>
    </w:p>
    <w:p>
      <w:pPr>
        <w:spacing w:after="0" w:line="289" w:lineRule="exact"/>
        <w:rPr>
          <w:sz w:val="20"/>
          <w:szCs w:val="20"/>
          <w:color w:val="auto"/>
        </w:rPr>
      </w:pPr>
    </w:p>
    <w:p>
      <w:pPr>
        <w:ind w:left="2580"/>
        <w:spacing w:after="0"/>
        <w:rPr>
          <w:sz w:val="20"/>
          <w:szCs w:val="20"/>
          <w:color w:val="auto"/>
        </w:rPr>
      </w:pPr>
      <w:r>
        <w:rPr>
          <w:rFonts w:ascii="Courier New" w:cs="Courier New" w:eastAsia="Courier New" w:hAnsi="Courier New"/>
          <w:sz w:val="12"/>
          <w:szCs w:val="12"/>
          <w:color w:val="auto"/>
        </w:rPr>
        <w:t>ISRAEL CORPORATION LTD.:</w:t>
      </w:r>
    </w:p>
    <w:p>
      <w:pPr>
        <w:spacing w:after="0" w:line="147" w:lineRule="exact"/>
        <w:rPr>
          <w:sz w:val="20"/>
          <w:szCs w:val="20"/>
          <w:color w:val="auto"/>
        </w:rPr>
      </w:pPr>
    </w:p>
    <w:p>
      <w:pPr>
        <w:ind w:left="2580"/>
        <w:spacing w:after="0"/>
        <w:rPr>
          <w:sz w:val="20"/>
          <w:szCs w:val="20"/>
          <w:color w:val="auto"/>
        </w:rPr>
      </w:pPr>
      <w:r>
        <w:rPr>
          <w:rFonts w:ascii="Courier New" w:cs="Courier New" w:eastAsia="Courier New" w:hAnsi="Courier New"/>
          <w:sz w:val="12"/>
          <w:szCs w:val="12"/>
          <w:color w:val="auto"/>
        </w:rPr>
        <w:t>By: ______________________________</w:t>
      </w:r>
    </w:p>
    <w:p>
      <w:pPr>
        <w:spacing w:after="0" w:line="147" w:lineRule="exact"/>
        <w:rPr>
          <w:sz w:val="20"/>
          <w:szCs w:val="20"/>
          <w:color w:val="auto"/>
        </w:rPr>
      </w:pPr>
    </w:p>
    <w:p>
      <w:pPr>
        <w:ind w:left="2580"/>
        <w:spacing w:after="0"/>
        <w:rPr>
          <w:sz w:val="20"/>
          <w:szCs w:val="20"/>
          <w:color w:val="auto"/>
        </w:rPr>
      </w:pPr>
      <w:r>
        <w:rPr>
          <w:rFonts w:ascii="Courier New" w:cs="Courier New" w:eastAsia="Courier New" w:hAnsi="Courier New"/>
          <w:sz w:val="12"/>
          <w:szCs w:val="12"/>
          <w:color w:val="auto"/>
        </w:rPr>
        <w:t>Name: ____________________________</w:t>
      </w:r>
    </w:p>
    <w:p>
      <w:pPr>
        <w:spacing w:after="0" w:line="147" w:lineRule="exact"/>
        <w:rPr>
          <w:sz w:val="20"/>
          <w:szCs w:val="20"/>
          <w:color w:val="auto"/>
        </w:rPr>
      </w:pPr>
    </w:p>
    <w:p>
      <w:pPr>
        <w:ind w:left="2580"/>
        <w:spacing w:after="0"/>
        <w:rPr>
          <w:sz w:val="20"/>
          <w:szCs w:val="20"/>
          <w:color w:val="auto"/>
        </w:rPr>
      </w:pPr>
      <w:r>
        <w:rPr>
          <w:rFonts w:ascii="Courier New" w:cs="Courier New" w:eastAsia="Courier New" w:hAnsi="Courier New"/>
          <w:sz w:val="12"/>
          <w:szCs w:val="12"/>
          <w:color w:val="auto"/>
        </w:rPr>
        <w:t>Its: _______________________________</w:t>
      </w:r>
    </w:p>
    <w:p>
      <w:pPr>
        <w:spacing w:after="0" w:line="200" w:lineRule="exact"/>
        <w:rPr>
          <w:sz w:val="20"/>
          <w:szCs w:val="20"/>
          <w:color w:val="auto"/>
        </w:rPr>
      </w:pPr>
    </w:p>
    <w:p>
      <w:pPr>
        <w:spacing w:after="0" w:line="230"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- 18 -</w:t>
      </w:r>
    </w:p>
    <w:p>
      <w:pPr>
        <w:sectPr>
          <w:pgSz w:w="11900" w:h="16838" w:orient="portrait"/>
          <w:cols w:equalWidth="0" w:num="1">
            <w:col w:w="10239"/>
          </w:cols>
          <w:pgMar w:left="220" w:top="689" w:right="1440" w:bottom="1440" w:gutter="0" w:footer="0" w:header="0"/>
        </w:sectPr>
      </w:pPr>
    </w:p>
    <w:bookmarkStart w:id="60" w:name="page61"/>
    <w:bookmarkEnd w:id="60"/>
    <w:p>
      <w:pPr>
        <w:jc w:val="right"/>
        <w:ind w:right="4359"/>
        <w:spacing w:after="0"/>
        <w:rPr>
          <w:sz w:val="20"/>
          <w:szCs w:val="20"/>
          <w:color w:val="auto"/>
        </w:rPr>
      </w:pPr>
      <w:r>
        <w:rPr>
          <w:rFonts w:ascii="Courier New" w:cs="Courier New" w:eastAsia="Courier New" w:hAnsi="Courier New"/>
          <w:sz w:val="12"/>
          <w:szCs w:val="12"/>
          <w:color w:val="auto"/>
        </w:rPr>
        <w:t>EXHIBIT 99.6</w:t>
      </w:r>
    </w:p>
    <w:p>
      <w:pPr>
        <w:spacing w:after="0" w:line="147" w:lineRule="exact"/>
        <w:rPr>
          <w:sz w:val="20"/>
          <w:szCs w:val="20"/>
          <w:color w:val="auto"/>
        </w:rPr>
      </w:pPr>
    </w:p>
    <w:p>
      <w:pPr>
        <w:ind w:left="2284"/>
        <w:spacing w:after="0"/>
        <w:rPr>
          <w:sz w:val="20"/>
          <w:szCs w:val="20"/>
          <w:color w:val="auto"/>
        </w:rPr>
      </w:pPr>
      <w:r>
        <w:rPr>
          <w:rFonts w:ascii="Courier New" w:cs="Courier New" w:eastAsia="Courier New" w:hAnsi="Courier New"/>
          <w:sz w:val="12"/>
          <w:szCs w:val="12"/>
          <w:color w:val="auto"/>
        </w:rPr>
        <w:t>AMENDING AGREEMENT</w:t>
      </w:r>
    </w:p>
    <w:p>
      <w:pPr>
        <w:spacing w:after="0" w:line="6" w:lineRule="exact"/>
        <w:rPr>
          <w:sz w:val="20"/>
          <w:szCs w:val="20"/>
          <w:color w:val="auto"/>
        </w:rPr>
      </w:pPr>
    </w:p>
    <w:p>
      <w:pPr>
        <w:ind w:left="2064"/>
        <w:spacing w:after="0"/>
        <w:rPr>
          <w:sz w:val="20"/>
          <w:szCs w:val="20"/>
          <w:color w:val="auto"/>
        </w:rPr>
      </w:pPr>
      <w:r>
        <w:rPr>
          <w:rFonts w:ascii="Courier New" w:cs="Courier New" w:eastAsia="Courier New" w:hAnsi="Courier New"/>
          <w:sz w:val="12"/>
          <w:szCs w:val="12"/>
          <w:color w:val="auto"/>
        </w:rPr>
        <w:t>TO THE FACILITY AGREEMENT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THIS AMENDING AGREEMENT is made and entered into as of the 24th day of</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August, 2006, by and between:</w:t>
      </w:r>
    </w:p>
    <w:p>
      <w:pPr>
        <w:spacing w:after="0" w:line="147" w:lineRule="exact"/>
        <w:rPr>
          <w:sz w:val="20"/>
          <w:szCs w:val="20"/>
          <w:color w:val="auto"/>
        </w:rPr>
      </w:pPr>
    </w:p>
    <w:p>
      <w:pPr>
        <w:ind w:left="1104" w:hanging="368"/>
        <w:spacing w:after="0"/>
        <w:tabs>
          <w:tab w:leader="none" w:pos="1104" w:val="left"/>
        </w:tabs>
        <w:numPr>
          <w:ilvl w:val="0"/>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TOWER SEMICONDUCTOR LTD. ("THE BORROWER")</w:t>
      </w:r>
    </w:p>
    <w:p>
      <w:pPr>
        <w:spacing w:after="0" w:line="147" w:lineRule="exact"/>
        <w:rPr>
          <w:rFonts w:ascii="Courier New" w:cs="Courier New" w:eastAsia="Courier New" w:hAnsi="Courier New"/>
          <w:sz w:val="12"/>
          <w:szCs w:val="12"/>
          <w:color w:val="auto"/>
        </w:rPr>
      </w:pPr>
    </w:p>
    <w:p>
      <w:pPr>
        <w:ind w:left="74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and</w:t>
      </w:r>
    </w:p>
    <w:p>
      <w:pPr>
        <w:spacing w:after="0" w:line="147" w:lineRule="exact"/>
        <w:rPr>
          <w:rFonts w:ascii="Courier New" w:cs="Courier New" w:eastAsia="Courier New" w:hAnsi="Courier New"/>
          <w:sz w:val="12"/>
          <w:szCs w:val="12"/>
          <w:color w:val="auto"/>
        </w:rPr>
      </w:pPr>
    </w:p>
    <w:p>
      <w:pPr>
        <w:ind w:left="1104" w:hanging="368"/>
        <w:spacing w:after="0"/>
        <w:tabs>
          <w:tab w:leader="none" w:pos="1104" w:val="left"/>
        </w:tabs>
        <w:numPr>
          <w:ilvl w:val="0"/>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 HAPOALIM B.M. and BANK LEUMI LE-ISRAEL B.M. ("THE BANKS")</w:t>
      </w:r>
    </w:p>
    <w:p>
      <w:pPr>
        <w:spacing w:after="0" w:line="147" w:lineRule="exact"/>
        <w:rPr>
          <w:sz w:val="20"/>
          <w:szCs w:val="20"/>
          <w:color w:val="auto"/>
        </w:rPr>
      </w:pPr>
    </w:p>
    <w:p>
      <w:pPr>
        <w:ind w:left="664" w:right="4359" w:hanging="661"/>
        <w:spacing w:after="0" w:line="251" w:lineRule="auto"/>
        <w:rPr>
          <w:sz w:val="20"/>
          <w:szCs w:val="20"/>
          <w:color w:val="auto"/>
        </w:rPr>
      </w:pPr>
      <w:r>
        <w:rPr>
          <w:rFonts w:ascii="Courier New" w:cs="Courier New" w:eastAsia="Courier New" w:hAnsi="Courier New"/>
          <w:sz w:val="12"/>
          <w:szCs w:val="12"/>
          <w:color w:val="auto"/>
        </w:rPr>
        <w:t>WHEREAS: the Borrower, on the one hand, and the Banks, on the other hand, are parties to a Facility Agreement dated January 18, 2001, as amended from time to time, the last amendment being the Fifteenth Amendment dated June 14, 2006 ("THE FACILITY AGREEMENT"); and</w:t>
      </w:r>
    </w:p>
    <w:p>
      <w:pPr>
        <w:spacing w:after="0" w:line="139" w:lineRule="exact"/>
        <w:rPr>
          <w:sz w:val="20"/>
          <w:szCs w:val="20"/>
          <w:color w:val="auto"/>
        </w:rPr>
      </w:pPr>
    </w:p>
    <w:p>
      <w:pPr>
        <w:ind w:left="664" w:right="4499" w:hanging="661"/>
        <w:spacing w:after="0" w:line="250" w:lineRule="auto"/>
        <w:rPr>
          <w:sz w:val="20"/>
          <w:szCs w:val="20"/>
          <w:color w:val="auto"/>
        </w:rPr>
      </w:pPr>
      <w:r>
        <w:rPr>
          <w:rFonts w:ascii="Courier New" w:cs="Courier New" w:eastAsia="Courier New" w:hAnsi="Courier New"/>
          <w:sz w:val="12"/>
          <w:szCs w:val="12"/>
          <w:color w:val="auto"/>
        </w:rPr>
        <w:t>WHEREAS: the Borrower has received all Loans under the Facility and all Commitments have been cancelled and the Borrower has requested that changes be made to various provisions of the Facility Agreement, including the conversion of a portion of the Loans into equity in the Borrower and the postponement of the Borrower's obligation to make repayments of principal with respect to the Loans; and</w:t>
      </w:r>
    </w:p>
    <w:p>
      <w:pPr>
        <w:spacing w:after="0" w:line="141" w:lineRule="exact"/>
        <w:rPr>
          <w:sz w:val="20"/>
          <w:szCs w:val="20"/>
          <w:color w:val="auto"/>
        </w:rPr>
      </w:pPr>
    </w:p>
    <w:p>
      <w:pPr>
        <w:jc w:val="both"/>
        <w:ind w:left="664" w:right="4359" w:hanging="661"/>
        <w:spacing w:after="0" w:line="251" w:lineRule="auto"/>
        <w:rPr>
          <w:sz w:val="20"/>
          <w:szCs w:val="20"/>
          <w:color w:val="auto"/>
        </w:rPr>
      </w:pPr>
      <w:r>
        <w:rPr>
          <w:rFonts w:ascii="Courier New" w:cs="Courier New" w:eastAsia="Courier New" w:hAnsi="Courier New"/>
          <w:sz w:val="12"/>
          <w:szCs w:val="12"/>
          <w:color w:val="auto"/>
        </w:rPr>
        <w:t>WHEREAS: the Borrower and the Banks have agreed to amend the Facility Agreement, subject to the terms and conditions set out in this Amending Agreement below,</w:t>
      </w:r>
    </w:p>
    <w:p>
      <w:pPr>
        <w:spacing w:after="0" w:line="140"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NOW, THEREFORE, IT IS HEREBY AGREED AS FOLLOWS:</w:t>
      </w:r>
    </w:p>
    <w:p>
      <w:pPr>
        <w:spacing w:after="0" w:line="147" w:lineRule="exact"/>
        <w:rPr>
          <w:sz w:val="20"/>
          <w:szCs w:val="20"/>
          <w:color w:val="auto"/>
        </w:rPr>
      </w:pPr>
    </w:p>
    <w:p>
      <w:pPr>
        <w:ind w:left="364" w:hanging="364"/>
        <w:spacing w:after="0"/>
        <w:tabs>
          <w:tab w:leader="none" w:pos="364" w:val="left"/>
        </w:tabs>
        <w:numPr>
          <w:ilvl w:val="0"/>
          <w:numId w:val="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INTERPRETATION</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1.1. In this Agreement, including the Exhibits hereto:</w:t>
      </w:r>
    </w:p>
    <w:p>
      <w:pPr>
        <w:spacing w:after="0" w:line="147" w:lineRule="exact"/>
        <w:rPr>
          <w:rFonts w:ascii="Courier New" w:cs="Courier New" w:eastAsia="Courier New" w:hAnsi="Courier New"/>
          <w:sz w:val="12"/>
          <w:szCs w:val="12"/>
          <w:color w:val="auto"/>
        </w:rPr>
      </w:pPr>
    </w:p>
    <w:p>
      <w:pPr>
        <w:ind w:left="74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1.1.1. "AMENDING AGREEMENT" - means this Amending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744" w:type="dxa"/>
        <w:tblCellMar>
          <w:top w:w="0" w:type="dxa"/>
          <w:left w:w="0" w:type="dxa"/>
          <w:bottom w:w="0" w:type="dxa"/>
          <w:right w:w="0" w:type="dxa"/>
        </w:tblCellMar>
      </w:tblPr>
      <w:tr>
        <w:trPr>
          <w:trHeight w:val="138"/>
        </w:trPr>
        <w:tc>
          <w:tcPr>
            <w:tcW w:w="1980" w:type="dxa"/>
            <w:vAlign w:val="bottom"/>
          </w:tcPr>
          <w:p>
            <w:pPr>
              <w:spacing w:after="0"/>
              <w:rPr>
                <w:sz w:val="20"/>
                <w:szCs w:val="20"/>
                <w:color w:val="auto"/>
              </w:rPr>
            </w:pPr>
            <w:r>
              <w:rPr>
                <w:rFonts w:ascii="Courier New" w:cs="Courier New" w:eastAsia="Courier New" w:hAnsi="Courier New"/>
                <w:sz w:val="12"/>
                <w:szCs w:val="12"/>
                <w:color w:val="auto"/>
              </w:rPr>
              <w:t>1.1.2. "AMENDMENT</w:t>
            </w:r>
          </w:p>
        </w:tc>
        <w:tc>
          <w:tcPr>
            <w:tcW w:w="920" w:type="dxa"/>
            <w:vAlign w:val="bottom"/>
          </w:tcPr>
          <w:p>
            <w:pPr>
              <w:ind w:left="80"/>
              <w:spacing w:after="0"/>
              <w:rPr>
                <w:sz w:val="20"/>
                <w:szCs w:val="20"/>
                <w:color w:val="auto"/>
              </w:rPr>
            </w:pPr>
            <w:r>
              <w:rPr>
                <w:rFonts w:ascii="Courier New" w:cs="Courier New" w:eastAsia="Courier New" w:hAnsi="Courier New"/>
                <w:sz w:val="12"/>
                <w:szCs w:val="12"/>
                <w:color w:val="auto"/>
              </w:rPr>
              <w:t>- means the</w:t>
            </w:r>
          </w:p>
        </w:tc>
        <w:tc>
          <w:tcPr>
            <w:tcW w:w="2240" w:type="dxa"/>
            <w:vAlign w:val="bottom"/>
          </w:tcPr>
          <w:p>
            <w:pPr>
              <w:ind w:left="40"/>
              <w:spacing w:after="0"/>
              <w:rPr>
                <w:sz w:val="20"/>
                <w:szCs w:val="20"/>
                <w:color w:val="auto"/>
              </w:rPr>
            </w:pPr>
            <w:r>
              <w:rPr>
                <w:rFonts w:ascii="Courier New" w:cs="Courier New" w:eastAsia="Courier New" w:hAnsi="Courier New"/>
                <w:sz w:val="12"/>
                <w:szCs w:val="12"/>
                <w:color w:val="auto"/>
              </w:rPr>
              <w:t>2nd (second) Business Day</w:t>
            </w:r>
          </w:p>
        </w:tc>
      </w:tr>
      <w:tr>
        <w:trPr>
          <w:trHeight w:val="142"/>
        </w:trPr>
        <w:tc>
          <w:tcPr>
            <w:tcW w:w="1980" w:type="dxa"/>
            <w:vAlign w:val="bottom"/>
          </w:tcPr>
          <w:p>
            <w:pPr>
              <w:ind w:left="500"/>
              <w:spacing w:after="0"/>
              <w:rPr>
                <w:sz w:val="20"/>
                <w:szCs w:val="20"/>
                <w:color w:val="auto"/>
              </w:rPr>
            </w:pPr>
            <w:r>
              <w:rPr>
                <w:rFonts w:ascii="Courier New" w:cs="Courier New" w:eastAsia="Courier New" w:hAnsi="Courier New"/>
                <w:sz w:val="12"/>
                <w:szCs w:val="12"/>
                <w:color w:val="auto"/>
              </w:rPr>
              <w:t>CLOSING DATE"</w:t>
            </w:r>
          </w:p>
        </w:tc>
        <w:tc>
          <w:tcPr>
            <w:tcW w:w="316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following the date on which the Banks</w:t>
            </w:r>
          </w:p>
        </w:tc>
      </w:tr>
      <w:tr>
        <w:trPr>
          <w:trHeight w:val="142"/>
        </w:trPr>
        <w:tc>
          <w:tcPr>
            <w:tcW w:w="1980" w:type="dxa"/>
            <w:vAlign w:val="bottom"/>
          </w:tcPr>
          <w:p>
            <w:pPr>
              <w:spacing w:after="0"/>
              <w:rPr>
                <w:sz w:val="12"/>
                <w:szCs w:val="12"/>
                <w:color w:val="auto"/>
              </w:rPr>
            </w:pPr>
          </w:p>
        </w:tc>
        <w:tc>
          <w:tcPr>
            <w:tcW w:w="316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are satisfied that all the conditions</w:t>
            </w:r>
          </w:p>
        </w:tc>
      </w:tr>
      <w:tr>
        <w:trPr>
          <w:trHeight w:val="142"/>
        </w:trPr>
        <w:tc>
          <w:tcPr>
            <w:tcW w:w="1980" w:type="dxa"/>
            <w:vAlign w:val="bottom"/>
          </w:tcPr>
          <w:p>
            <w:pPr>
              <w:spacing w:after="0"/>
              <w:rPr>
                <w:sz w:val="12"/>
                <w:szCs w:val="12"/>
                <w:color w:val="auto"/>
              </w:rPr>
            </w:pPr>
          </w:p>
        </w:tc>
        <w:tc>
          <w:tcPr>
            <w:tcW w:w="316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precedent referred to in clause 3 below</w:t>
            </w:r>
          </w:p>
        </w:tc>
      </w:tr>
      <w:tr>
        <w:trPr>
          <w:trHeight w:val="142"/>
        </w:trPr>
        <w:tc>
          <w:tcPr>
            <w:tcW w:w="1980" w:type="dxa"/>
            <w:vAlign w:val="bottom"/>
          </w:tcPr>
          <w:p>
            <w:pPr>
              <w:spacing w:after="0"/>
              <w:rPr>
                <w:sz w:val="12"/>
                <w:szCs w:val="12"/>
                <w:color w:val="auto"/>
              </w:rPr>
            </w:pPr>
          </w:p>
        </w:tc>
        <w:tc>
          <w:tcPr>
            <w:tcW w:w="316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have been fulfilled in a form and</w:t>
            </w:r>
          </w:p>
        </w:tc>
      </w:tr>
      <w:tr>
        <w:trPr>
          <w:trHeight w:val="142"/>
        </w:trPr>
        <w:tc>
          <w:tcPr>
            <w:tcW w:w="1980" w:type="dxa"/>
            <w:vAlign w:val="bottom"/>
          </w:tcPr>
          <w:p>
            <w:pPr>
              <w:spacing w:after="0"/>
              <w:rPr>
                <w:sz w:val="12"/>
                <w:szCs w:val="12"/>
                <w:color w:val="auto"/>
              </w:rPr>
            </w:pPr>
          </w:p>
        </w:tc>
        <w:tc>
          <w:tcPr>
            <w:tcW w:w="316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substance reasonably satisfactory to the</w:t>
            </w:r>
          </w:p>
        </w:tc>
      </w:tr>
      <w:tr>
        <w:trPr>
          <w:trHeight w:val="142"/>
        </w:trPr>
        <w:tc>
          <w:tcPr>
            <w:tcW w:w="1980" w:type="dxa"/>
            <w:vAlign w:val="bottom"/>
          </w:tcPr>
          <w:p>
            <w:pPr>
              <w:spacing w:after="0"/>
              <w:rPr>
                <w:sz w:val="12"/>
                <w:szCs w:val="12"/>
                <w:color w:val="auto"/>
              </w:rPr>
            </w:pPr>
          </w:p>
        </w:tc>
        <w:tc>
          <w:tcPr>
            <w:tcW w:w="316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Banks ("THE CONDITIONS SATISFACTION</w:t>
            </w:r>
          </w:p>
        </w:tc>
      </w:tr>
      <w:tr>
        <w:trPr>
          <w:trHeight w:val="142"/>
        </w:trPr>
        <w:tc>
          <w:tcPr>
            <w:tcW w:w="1980" w:type="dxa"/>
            <w:vAlign w:val="bottom"/>
          </w:tcPr>
          <w:p>
            <w:pPr>
              <w:spacing w:after="0"/>
              <w:rPr>
                <w:sz w:val="12"/>
                <w:szCs w:val="12"/>
                <w:color w:val="auto"/>
              </w:rPr>
            </w:pPr>
          </w:p>
        </w:tc>
        <w:tc>
          <w:tcPr>
            <w:tcW w:w="316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DATE"), provided that if the Conditions</w:t>
            </w:r>
          </w:p>
        </w:tc>
      </w:tr>
      <w:tr>
        <w:trPr>
          <w:trHeight w:val="142"/>
        </w:trPr>
        <w:tc>
          <w:tcPr>
            <w:tcW w:w="1980" w:type="dxa"/>
            <w:vAlign w:val="bottom"/>
          </w:tcPr>
          <w:p>
            <w:pPr>
              <w:spacing w:after="0"/>
              <w:rPr>
                <w:sz w:val="12"/>
                <w:szCs w:val="12"/>
                <w:color w:val="auto"/>
              </w:rPr>
            </w:pPr>
          </w:p>
        </w:tc>
        <w:tc>
          <w:tcPr>
            <w:tcW w:w="316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Satisfaction Date is September 28, 2006,</w:t>
            </w:r>
          </w:p>
        </w:tc>
      </w:tr>
      <w:tr>
        <w:trPr>
          <w:trHeight w:val="142"/>
        </w:trPr>
        <w:tc>
          <w:tcPr>
            <w:tcW w:w="1980" w:type="dxa"/>
            <w:vAlign w:val="bottom"/>
          </w:tcPr>
          <w:p>
            <w:pPr>
              <w:spacing w:after="0"/>
              <w:rPr>
                <w:sz w:val="12"/>
                <w:szCs w:val="12"/>
                <w:color w:val="auto"/>
              </w:rPr>
            </w:pPr>
          </w:p>
        </w:tc>
        <w:tc>
          <w:tcPr>
            <w:tcW w:w="316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the Amendment Closing Date shall be</w:t>
            </w:r>
          </w:p>
        </w:tc>
      </w:tr>
      <w:tr>
        <w:trPr>
          <w:trHeight w:val="142"/>
        </w:trPr>
        <w:tc>
          <w:tcPr>
            <w:tcW w:w="1980" w:type="dxa"/>
            <w:vAlign w:val="bottom"/>
          </w:tcPr>
          <w:p>
            <w:pPr>
              <w:spacing w:after="0"/>
              <w:rPr>
                <w:sz w:val="12"/>
                <w:szCs w:val="12"/>
                <w:color w:val="auto"/>
              </w:rPr>
            </w:pPr>
          </w:p>
        </w:tc>
        <w:tc>
          <w:tcPr>
            <w:tcW w:w="316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September 29, 2006 (or such other</w:t>
            </w:r>
          </w:p>
        </w:tc>
      </w:tr>
      <w:tr>
        <w:trPr>
          <w:trHeight w:val="142"/>
        </w:trPr>
        <w:tc>
          <w:tcPr>
            <w:tcW w:w="1980" w:type="dxa"/>
            <w:vAlign w:val="bottom"/>
          </w:tcPr>
          <w:p>
            <w:pPr>
              <w:spacing w:after="0"/>
              <w:rPr>
                <w:sz w:val="12"/>
                <w:szCs w:val="12"/>
                <w:color w:val="auto"/>
              </w:rPr>
            </w:pPr>
          </w:p>
        </w:tc>
        <w:tc>
          <w:tcPr>
            <w:tcW w:w="316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Business Day as the Banks and the</w:t>
            </w:r>
          </w:p>
        </w:tc>
      </w:tr>
      <w:tr>
        <w:trPr>
          <w:trHeight w:val="142"/>
        </w:trPr>
        <w:tc>
          <w:tcPr>
            <w:tcW w:w="1980" w:type="dxa"/>
            <w:vAlign w:val="bottom"/>
          </w:tcPr>
          <w:p>
            <w:pPr>
              <w:spacing w:after="0"/>
              <w:rPr>
                <w:sz w:val="12"/>
                <w:szCs w:val="12"/>
                <w:color w:val="auto"/>
              </w:rPr>
            </w:pPr>
          </w:p>
        </w:tc>
        <w:tc>
          <w:tcPr>
            <w:tcW w:w="316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Borrower may agree);</w:t>
            </w:r>
          </w:p>
        </w:tc>
      </w:tr>
      <w:tr>
        <w:trPr>
          <w:trHeight w:val="283"/>
        </w:trPr>
        <w:tc>
          <w:tcPr>
            <w:tcW w:w="1980" w:type="dxa"/>
            <w:vAlign w:val="bottom"/>
          </w:tcPr>
          <w:p>
            <w:pPr>
              <w:spacing w:after="0"/>
              <w:rPr>
                <w:sz w:val="20"/>
                <w:szCs w:val="20"/>
                <w:color w:val="auto"/>
              </w:rPr>
            </w:pPr>
            <w:r>
              <w:rPr>
                <w:rFonts w:ascii="Courier New" w:cs="Courier New" w:eastAsia="Courier New" w:hAnsi="Courier New"/>
                <w:sz w:val="12"/>
                <w:szCs w:val="12"/>
                <w:color w:val="auto"/>
              </w:rPr>
              <w:t>1.1.3. "RESTATED</w:t>
            </w:r>
          </w:p>
        </w:tc>
        <w:tc>
          <w:tcPr>
            <w:tcW w:w="31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 means the Facility Agreement, as amended</w:t>
            </w:r>
          </w:p>
        </w:tc>
      </w:tr>
      <w:tr>
        <w:trPr>
          <w:trHeight w:val="142"/>
        </w:trPr>
        <w:tc>
          <w:tcPr>
            <w:tcW w:w="1980" w:type="dxa"/>
            <w:vAlign w:val="bottom"/>
          </w:tcPr>
          <w:p>
            <w:pPr>
              <w:ind w:left="500"/>
              <w:spacing w:after="0"/>
              <w:rPr>
                <w:sz w:val="20"/>
                <w:szCs w:val="20"/>
                <w:color w:val="auto"/>
              </w:rPr>
            </w:pPr>
            <w:r>
              <w:rPr>
                <w:rFonts w:ascii="Courier New" w:cs="Courier New" w:eastAsia="Courier New" w:hAnsi="Courier New"/>
                <w:sz w:val="12"/>
                <w:szCs w:val="12"/>
                <w:color w:val="auto"/>
              </w:rPr>
              <w:t>FACILITY AGREEMENT"</w:t>
            </w:r>
          </w:p>
        </w:tc>
        <w:tc>
          <w:tcPr>
            <w:tcW w:w="316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and restated by this Amending Agreement,</w:t>
            </w:r>
          </w:p>
        </w:tc>
      </w:tr>
      <w:tr>
        <w:trPr>
          <w:trHeight w:val="142"/>
        </w:trPr>
        <w:tc>
          <w:tcPr>
            <w:tcW w:w="1980" w:type="dxa"/>
            <w:vAlign w:val="bottom"/>
          </w:tcPr>
          <w:p>
            <w:pPr>
              <w:spacing w:after="0"/>
              <w:rPr>
                <w:sz w:val="12"/>
                <w:szCs w:val="12"/>
                <w:color w:val="auto"/>
              </w:rPr>
            </w:pPr>
          </w:p>
        </w:tc>
        <w:tc>
          <w:tcPr>
            <w:tcW w:w="316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the terms of which are set out in</w:t>
            </w:r>
          </w:p>
        </w:tc>
      </w:tr>
      <w:tr>
        <w:trPr>
          <w:trHeight w:val="142"/>
        </w:trPr>
        <w:tc>
          <w:tcPr>
            <w:tcW w:w="1980" w:type="dxa"/>
            <w:vAlign w:val="bottom"/>
          </w:tcPr>
          <w:p>
            <w:pPr>
              <w:spacing w:after="0"/>
              <w:rPr>
                <w:sz w:val="12"/>
                <w:szCs w:val="12"/>
                <w:color w:val="auto"/>
              </w:rPr>
            </w:pPr>
          </w:p>
        </w:tc>
        <w:tc>
          <w:tcPr>
            <w:tcW w:w="316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EXHIBIT 1 hereto and initialled, for the</w:t>
            </w:r>
          </w:p>
        </w:tc>
      </w:tr>
      <w:tr>
        <w:trPr>
          <w:trHeight w:val="142"/>
        </w:trPr>
        <w:tc>
          <w:tcPr>
            <w:tcW w:w="1980" w:type="dxa"/>
            <w:vAlign w:val="bottom"/>
          </w:tcPr>
          <w:p>
            <w:pPr>
              <w:spacing w:after="0"/>
              <w:rPr>
                <w:sz w:val="12"/>
                <w:szCs w:val="12"/>
                <w:color w:val="auto"/>
              </w:rPr>
            </w:pPr>
          </w:p>
        </w:tc>
        <w:tc>
          <w:tcPr>
            <w:tcW w:w="316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purposes of identification, by the</w:t>
            </w:r>
          </w:p>
        </w:tc>
      </w:tr>
      <w:tr>
        <w:trPr>
          <w:trHeight w:val="142"/>
        </w:trPr>
        <w:tc>
          <w:tcPr>
            <w:tcW w:w="1980" w:type="dxa"/>
            <w:vAlign w:val="bottom"/>
          </w:tcPr>
          <w:p>
            <w:pPr>
              <w:spacing w:after="0"/>
              <w:rPr>
                <w:sz w:val="12"/>
                <w:szCs w:val="12"/>
                <w:color w:val="auto"/>
              </w:rPr>
            </w:pPr>
          </w:p>
        </w:tc>
        <w:tc>
          <w:tcPr>
            <w:tcW w:w="316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parties hereto.</w:t>
            </w:r>
          </w:p>
        </w:tc>
      </w:tr>
    </w:tbl>
    <w:p>
      <w:pPr>
        <w:spacing w:after="0" w:line="145" w:lineRule="exact"/>
        <w:rPr>
          <w:sz w:val="20"/>
          <w:szCs w:val="20"/>
          <w:color w:val="auto"/>
        </w:rPr>
      </w:pPr>
    </w:p>
    <w:p>
      <w:pPr>
        <w:ind w:left="744" w:right="4359" w:hanging="367"/>
        <w:spacing w:after="0" w:line="251" w:lineRule="auto"/>
        <w:rPr>
          <w:sz w:val="20"/>
          <w:szCs w:val="20"/>
          <w:color w:val="auto"/>
        </w:rPr>
      </w:pPr>
      <w:r>
        <w:rPr>
          <w:rFonts w:ascii="Courier New" w:cs="Courier New" w:eastAsia="Courier New" w:hAnsi="Courier New"/>
          <w:sz w:val="12"/>
          <w:szCs w:val="12"/>
          <w:color w:val="auto"/>
        </w:rPr>
        <w:t>1.2. Terms and expressions defined in the Facility Agreement shall have the same meanings when used in this Amending Agreement and all provisions of the Facility Agreement concerning matters of construction and interpretation shall apply to this Amending Agreement.</w:t>
      </w:r>
    </w:p>
    <w:p>
      <w:pPr>
        <w:spacing w:after="0" w:line="139" w:lineRule="exact"/>
        <w:rPr>
          <w:sz w:val="20"/>
          <w:szCs w:val="20"/>
          <w:color w:val="auto"/>
        </w:rPr>
      </w:pPr>
    </w:p>
    <w:p>
      <w:pPr>
        <w:jc w:val="both"/>
        <w:ind w:left="744" w:right="4359" w:hanging="367"/>
        <w:spacing w:after="0" w:line="251" w:lineRule="auto"/>
        <w:rPr>
          <w:sz w:val="20"/>
          <w:szCs w:val="20"/>
          <w:color w:val="auto"/>
        </w:rPr>
      </w:pPr>
      <w:r>
        <w:rPr>
          <w:rFonts w:ascii="Courier New" w:cs="Courier New" w:eastAsia="Courier New" w:hAnsi="Courier New"/>
          <w:sz w:val="12"/>
          <w:szCs w:val="12"/>
          <w:color w:val="auto"/>
        </w:rPr>
        <w:t>1.3. All references in this Amending Agreement to clauses and paragraphs of the Facility Agreement are references to clauses and paragraphs in the Facility Agreement in its form prior to this Amending Agreement.</w:t>
      </w:r>
    </w:p>
    <w:p>
      <w:pPr>
        <w:spacing w:after="0" w:line="140" w:lineRule="exact"/>
        <w:rPr>
          <w:sz w:val="20"/>
          <w:szCs w:val="20"/>
          <w:color w:val="auto"/>
        </w:rPr>
      </w:pPr>
    </w:p>
    <w:p>
      <w:pPr>
        <w:ind w:left="364" w:hanging="364"/>
        <w:spacing w:after="0"/>
        <w:tabs>
          <w:tab w:leader="none" w:pos="364"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 AND RESTATEMENT OF THE FACILITY AGREEMENT</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With effect from the Amendment Closing Date and upon all activities to be performed on or before the Amendment Closing Date being completed (or waived, the Banks being under no obligation whatsoever to grant any waiver), the Facility Agreement (including the Schedules attached thereto) shall automatically be amended and restated so that it shall be read and construed for all purposes as set forth in Exhibit 1 hereto and, thereupon, Exhibit 1 shall, for the avoidance of doubt, constitute the definitive and binding version of the Facility Agreement as amended by this Amending Agreement.</w:t>
      </w:r>
    </w:p>
    <w:p>
      <w:pPr>
        <w:spacing w:after="0" w:line="200" w:lineRule="exact"/>
        <w:rPr>
          <w:rFonts w:ascii="Courier New" w:cs="Courier New" w:eastAsia="Courier New" w:hAnsi="Courier New"/>
          <w:sz w:val="12"/>
          <w:szCs w:val="12"/>
          <w:color w:val="auto"/>
        </w:rPr>
      </w:pPr>
    </w:p>
    <w:p>
      <w:pPr>
        <w:spacing w:after="0" w:line="224"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2 -</w:t>
      </w:r>
    </w:p>
    <w:p>
      <w:pPr>
        <w:sectPr>
          <w:pgSz w:w="11900" w:h="16838" w:orient="portrait"/>
          <w:cols w:equalWidth="0" w:num="1">
            <w:col w:w="10244"/>
          </w:cols>
          <w:pgMar w:left="216" w:top="283" w:right="1440" w:bottom="1440" w:gutter="0" w:footer="0" w:header="0"/>
        </w:sectPr>
      </w:pPr>
    </w:p>
    <w:bookmarkStart w:id="61" w:name="page62"/>
    <w:bookmarkEnd w:id="61"/>
    <w:p>
      <w:pPr>
        <w:ind w:left="364" w:hanging="364"/>
        <w:spacing w:after="0"/>
        <w:tabs>
          <w:tab w:leader="none" w:pos="364" w:val="left"/>
        </w:tabs>
        <w:numPr>
          <w:ilvl w:val="0"/>
          <w:numId w:val="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CONDITIONS PRECEDENT</w:t>
      </w:r>
    </w:p>
    <w:p>
      <w:pPr>
        <w:spacing w:after="0" w:line="147" w:lineRule="exact"/>
        <w:rPr>
          <w:rFonts w:ascii="Courier New" w:cs="Courier New" w:eastAsia="Courier New" w:hAnsi="Courier New"/>
          <w:sz w:val="12"/>
          <w:szCs w:val="12"/>
          <w:color w:val="auto"/>
        </w:rPr>
      </w:pPr>
    </w:p>
    <w:p>
      <w:pPr>
        <w:ind w:left="744" w:right="4579" w:hanging="368"/>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3.1. This Amending Agreement is subject to the conditions precedent that the Banks shall have received, by no later than the 2nd (second) Business Day prior to October 31, 2006, all of the following documents, matters and things in form and substance satisfactory to the Banks:</w:t>
      </w:r>
    </w:p>
    <w:p>
      <w:pPr>
        <w:spacing w:after="0" w:line="141"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3.1.1. a copy, certified a true copy by the external legal counsel of</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the Borrower, of the updated Certificate of Incorporation,</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Memorandum and Articles of Association of the Borrower;</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3.1.2. copies of resolutions of the Board of Directors of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Borrower, its audit committee and shareholders, approving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execution, delivery and performance of this Amending Agreement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and all agreements and acts to be performed by the Borrower as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conditions precedent to, or otherwise in connection with, this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Amending Agreement, including: (a) the issue of capital notes,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and of the shares issuable upon conversion thereof, of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Borrower to the Banks or their respective nominees as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contemplated in clause 5.4 below and the execution of investment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and registration rights agreements between the Borrower and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Banks or their respective nominees as referred to in clause 5.3</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below; and (b) the issue of capital notes and of the shares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issuable upon conversion thereof, of the Borrower to TIC as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contemplated in clause 5.2 below and the execution of investment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and registration rights agreements between the Borrower and TIC,</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as referred to in clause 5.1 below, as well as a resolution of</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the Board of Directors of the Borrower authorising a named</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officer of the Borrower to execute, deliver and perform this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Agreement and such other agreements and acts, and to give all</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notices and take all such other action required to be given or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taken by the Borrower under this Amending Agreement or in</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connection therewith;</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3.1.3. Amending Agreement fee letters with each of the Banks, both</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executed as at the date hereof by the Borrower;</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3.1.4. an opinion of Yigal Arnon &amp; Co., Advocates, the Borrower's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external legal counsel, addressed to the Banks;</w:t>
      </w: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- 3 -</w:t>
      </w:r>
    </w:p>
    <w:p>
      <w:pPr>
        <w:sectPr>
          <w:pgSz w:w="11900" w:h="16838" w:orient="portrait"/>
          <w:cols w:equalWidth="0" w:num="1">
            <w:col w:w="10244"/>
          </w:cols>
          <w:pgMar w:left="216" w:top="689" w:right="1440" w:bottom="1440" w:gutter="0" w:footer="0" w:header="0"/>
        </w:sectPr>
      </w:pPr>
    </w:p>
    <w:bookmarkStart w:id="62" w:name="page63"/>
    <w:bookmarkEnd w:id="62"/>
    <w:p>
      <w:pPr>
        <w:ind w:left="360" w:right="4359" w:hanging="367"/>
        <w:spacing w:after="0" w:line="250" w:lineRule="auto"/>
        <w:rPr>
          <w:sz w:val="20"/>
          <w:szCs w:val="20"/>
          <w:color w:val="auto"/>
        </w:rPr>
      </w:pPr>
      <w:r>
        <w:rPr>
          <w:rFonts w:ascii="Courier New" w:cs="Courier New" w:eastAsia="Courier New" w:hAnsi="Courier New"/>
          <w:sz w:val="12"/>
          <w:szCs w:val="12"/>
          <w:color w:val="auto"/>
        </w:rPr>
        <w:t>3.1.5. an opinion of Mayer, Brown, Rowe &amp; Maw, U.S. legal counsel for the Banks, to the effect that, based upon their review of United States federal or New York State statutes, rules and regulations which, in their opinion, based on their experience, are normally applicable to transactions of the types contemplated by this Amending Agreement ("UNITED STATES APPLICABLE LAWS"): (i) subject to the effectiveness of the registration statement to be filed by the Borrower pursuant to the registration rights agreement with each of the Banks (or their respective nominees), no consent, approval, authorization, order, registration or qualification of or with any United States federal or New York State court or governmental agency or body is required for the sale in the United States (including through the Nasdaq Stock Market) by the Banks of the ordinary shares issuable upon conversion of capital notes to be issued to the Banks (or their respective nominees) pursuant to clause 5.4 below in the United States ("SHARES"), provided that no opinion need be expressed with respect to state securities or Blue Sky laws; (ii) the acquisition and indefinite holding of the capital notes and/or Shares by the Banks is permissible under United States Applicable Laws, including under the Bank Holding Company Act of 1956, as amended; and (iii) the acquisition and holding of the capital notes and/or Shares will not be subject to the notification and filing requirements under the Hart-Scott-Rodino Antitrust Improvements Act of 1976, as amended. Such opinion may be based upon and subject to reasonable assumptions and limitations;</w:t>
      </w:r>
    </w:p>
    <w:p>
      <w:pPr>
        <w:spacing w:after="0" w:line="141" w:lineRule="exact"/>
        <w:rPr>
          <w:sz w:val="20"/>
          <w:szCs w:val="20"/>
          <w:color w:val="auto"/>
        </w:rPr>
      </w:pPr>
    </w:p>
    <w:p>
      <w:pPr>
        <w:jc w:val="both"/>
        <w:ind w:left="360" w:right="4359" w:hanging="367"/>
        <w:spacing w:after="0" w:line="251" w:lineRule="auto"/>
        <w:rPr>
          <w:sz w:val="20"/>
          <w:szCs w:val="20"/>
          <w:color w:val="auto"/>
        </w:rPr>
      </w:pPr>
      <w:r>
        <w:rPr>
          <w:rFonts w:ascii="Courier New" w:cs="Courier New" w:eastAsia="Courier New" w:hAnsi="Courier New"/>
          <w:sz w:val="12"/>
          <w:szCs w:val="12"/>
          <w:color w:val="auto"/>
        </w:rPr>
        <w:t>3.1.6. an updated certificate by the Auditors confirming the aggregate investments made in accordance with clauses 16.27.2 and 16.36 of the Facility Agreement from August 1, 2005 through and as of the Amendment Closing Date;</w:t>
      </w:r>
    </w:p>
    <w:p>
      <w:pPr>
        <w:spacing w:after="0" w:line="139" w:lineRule="exact"/>
        <w:rPr>
          <w:sz w:val="20"/>
          <w:szCs w:val="20"/>
          <w:color w:val="auto"/>
        </w:rPr>
      </w:pPr>
    </w:p>
    <w:p>
      <w:pPr>
        <w:ind w:left="360" w:right="4359" w:hanging="367"/>
        <w:spacing w:after="0" w:line="251" w:lineRule="auto"/>
        <w:rPr>
          <w:sz w:val="20"/>
          <w:szCs w:val="20"/>
          <w:color w:val="auto"/>
        </w:rPr>
      </w:pPr>
      <w:r>
        <w:rPr>
          <w:rFonts w:ascii="Courier New" w:cs="Courier New" w:eastAsia="Courier New" w:hAnsi="Courier New"/>
          <w:sz w:val="12"/>
          <w:szCs w:val="12"/>
          <w:color w:val="auto"/>
        </w:rPr>
        <w:t>3.1.7. all of the Borrower's representations and warranties given pursuant to this Amending Agreement shall be accurate in all material respects as of the Amendment Closing Date, as if made on the Amendment Closing Date;</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3.1.8. an updated report of the Insurance Adviser;</w:t>
      </w:r>
    </w:p>
    <w:p>
      <w:pPr>
        <w:spacing w:after="0" w:line="147" w:lineRule="exact"/>
        <w:rPr>
          <w:sz w:val="20"/>
          <w:szCs w:val="20"/>
          <w:color w:val="auto"/>
        </w:rPr>
      </w:pPr>
    </w:p>
    <w:p>
      <w:pPr>
        <w:ind w:left="360" w:right="4359" w:hanging="367"/>
        <w:spacing w:after="0" w:line="250" w:lineRule="auto"/>
        <w:rPr>
          <w:sz w:val="20"/>
          <w:szCs w:val="20"/>
          <w:color w:val="auto"/>
        </w:rPr>
      </w:pPr>
      <w:r>
        <w:rPr>
          <w:rFonts w:ascii="Courier New" w:cs="Courier New" w:eastAsia="Courier New" w:hAnsi="Courier New"/>
          <w:sz w:val="12"/>
          <w:szCs w:val="12"/>
          <w:color w:val="auto"/>
        </w:rPr>
        <w:t>3.1.9. confirmation of the Controller of Restrictive Trade Practices ("THE CONTROLLER") that no approval is required with respect to the transactions contemplated under this Amending Agreement under the Restrictive Trade Practices Law or, if any such approval is considered by the Controller to be required, the unconditional receipt of same;</w:t>
      </w:r>
    </w:p>
    <w:p>
      <w:pPr>
        <w:spacing w:after="0" w:line="283" w:lineRule="exact"/>
        <w:rPr>
          <w:sz w:val="20"/>
          <w:szCs w:val="20"/>
          <w:color w:val="auto"/>
        </w:rPr>
      </w:pPr>
    </w:p>
    <w:p>
      <w:pPr>
        <w:ind w:left="1980"/>
        <w:spacing w:after="0"/>
        <w:rPr>
          <w:sz w:val="20"/>
          <w:szCs w:val="20"/>
          <w:color w:val="auto"/>
        </w:rPr>
      </w:pPr>
      <w:r>
        <w:rPr>
          <w:rFonts w:ascii="Courier New" w:cs="Courier New" w:eastAsia="Courier New" w:hAnsi="Courier New"/>
          <w:sz w:val="12"/>
          <w:szCs w:val="12"/>
          <w:color w:val="auto"/>
        </w:rPr>
        <w:t>- 4 -</w:t>
      </w:r>
    </w:p>
    <w:p>
      <w:pPr>
        <w:sectPr>
          <w:pgSz w:w="11900" w:h="16838" w:orient="portrait"/>
          <w:cols w:equalWidth="0" w:num="1">
            <w:col w:w="9499"/>
          </w:cols>
          <w:pgMar w:left="960" w:top="689" w:right="1440" w:bottom="1440" w:gutter="0" w:footer="0" w:header="0"/>
        </w:sectPr>
      </w:pPr>
    </w:p>
    <w:bookmarkStart w:id="63" w:name="page64"/>
    <w:bookmarkEnd w:id="63"/>
    <w:p>
      <w:pPr>
        <w:ind w:left="360" w:right="4419" w:hanging="367"/>
        <w:spacing w:after="0" w:line="251" w:lineRule="auto"/>
        <w:rPr>
          <w:sz w:val="20"/>
          <w:szCs w:val="20"/>
          <w:color w:val="auto"/>
        </w:rPr>
      </w:pPr>
      <w:r>
        <w:rPr>
          <w:rFonts w:ascii="Courier New" w:cs="Courier New" w:eastAsia="Courier New" w:hAnsi="Courier New"/>
          <w:sz w:val="12"/>
          <w:szCs w:val="12"/>
          <w:color w:val="auto"/>
        </w:rPr>
        <w:t>3.1.10. the consent of the Investment Centre to the issue of the capital notes, and of the shares issuable upon conversion of the capital notes, to the Banks (or their respective nominees) as contemplated under clause 5.4 below;</w:t>
      </w:r>
    </w:p>
    <w:p>
      <w:pPr>
        <w:spacing w:after="0" w:line="139" w:lineRule="exact"/>
        <w:rPr>
          <w:sz w:val="20"/>
          <w:szCs w:val="20"/>
          <w:color w:val="auto"/>
        </w:rPr>
      </w:pPr>
    </w:p>
    <w:p>
      <w:pPr>
        <w:ind w:left="360" w:right="4499" w:hanging="367"/>
        <w:spacing w:after="0" w:line="251" w:lineRule="auto"/>
        <w:rPr>
          <w:sz w:val="20"/>
          <w:szCs w:val="20"/>
          <w:color w:val="auto"/>
        </w:rPr>
      </w:pPr>
      <w:r>
        <w:rPr>
          <w:rFonts w:ascii="Courier New" w:cs="Courier New" w:eastAsia="Courier New" w:hAnsi="Courier New"/>
          <w:sz w:val="12"/>
          <w:szCs w:val="12"/>
          <w:color w:val="auto"/>
        </w:rPr>
        <w:t>3.1.11. the approval of the ILA under the Existing ILA Leases to the issue of the capital notes, and of the shares issuable upon conversion of the capital notes, to the Banks (or their respective nominees) as contemplated under clause 5.4 below;</w:t>
      </w:r>
    </w:p>
    <w:p>
      <w:pPr>
        <w:spacing w:after="0" w:line="139" w:lineRule="exact"/>
        <w:rPr>
          <w:sz w:val="20"/>
          <w:szCs w:val="20"/>
          <w:color w:val="auto"/>
        </w:rPr>
      </w:pPr>
    </w:p>
    <w:p>
      <w:pPr>
        <w:ind w:left="360" w:right="4359" w:hanging="367"/>
        <w:spacing w:after="0" w:line="252" w:lineRule="auto"/>
        <w:rPr>
          <w:sz w:val="20"/>
          <w:szCs w:val="20"/>
          <w:color w:val="auto"/>
        </w:rPr>
      </w:pPr>
      <w:r>
        <w:rPr>
          <w:rFonts w:ascii="Courier New" w:cs="Courier New" w:eastAsia="Courier New" w:hAnsi="Courier New"/>
          <w:sz w:val="12"/>
          <w:szCs w:val="12"/>
          <w:color w:val="auto"/>
        </w:rPr>
        <w:t>3.1.12. an updated Schedule 1.1.101 to the Facility Agreement, listing all Material Contracts entered into since January 29, 2001 which are still in effect, as well as copies of such Material Contracts;</w:t>
      </w:r>
    </w:p>
    <w:p>
      <w:pPr>
        <w:spacing w:after="0" w:line="280" w:lineRule="exact"/>
        <w:rPr>
          <w:sz w:val="20"/>
          <w:szCs w:val="20"/>
          <w:color w:val="auto"/>
        </w:rPr>
      </w:pPr>
    </w:p>
    <w:p>
      <w:pPr>
        <w:ind w:left="360" w:right="4359" w:hanging="367"/>
        <w:spacing w:after="0" w:line="250" w:lineRule="auto"/>
        <w:rPr>
          <w:sz w:val="20"/>
          <w:szCs w:val="20"/>
          <w:color w:val="auto"/>
        </w:rPr>
      </w:pPr>
      <w:r>
        <w:rPr>
          <w:rFonts w:ascii="Courier New" w:cs="Courier New" w:eastAsia="Courier New" w:hAnsi="Courier New"/>
          <w:sz w:val="12"/>
          <w:szCs w:val="12"/>
          <w:color w:val="auto"/>
        </w:rPr>
        <w:t>3.1.13. confirmation that all Material Contracts shall be in full force and effect and shall not have been breached by the Borrower (save for any breach which: (a) is not material; and (b) cannot constitute (including with the passage of time or the giving of notice) a cause of action permitting termination of any such Material Contract or any variation thereof adverse to the Borrower);</w:t>
      </w:r>
    </w:p>
    <w:p>
      <w:pPr>
        <w:spacing w:after="0" w:line="141" w:lineRule="exact"/>
        <w:rPr>
          <w:sz w:val="20"/>
          <w:szCs w:val="20"/>
          <w:color w:val="auto"/>
        </w:rPr>
      </w:pPr>
    </w:p>
    <w:p>
      <w:pPr>
        <w:ind w:left="360" w:right="4419" w:hanging="367"/>
        <w:spacing w:after="0" w:line="250" w:lineRule="auto"/>
        <w:rPr>
          <w:sz w:val="20"/>
          <w:szCs w:val="20"/>
          <w:color w:val="auto"/>
        </w:rPr>
      </w:pPr>
      <w:r>
        <w:rPr>
          <w:rFonts w:ascii="Courier New" w:cs="Courier New" w:eastAsia="Courier New" w:hAnsi="Courier New"/>
          <w:sz w:val="12"/>
          <w:szCs w:val="12"/>
          <w:color w:val="auto"/>
        </w:rPr>
        <w:t>3.1.14. a Supplement to the Debenture shall be executed relating to all equipment, Material Contracts, registered Intellectual Property Assets and other assets and rights required under the Debenture to be pledged by way of first-ranking fixed charge in favour of the Banks, but not as yet specifically included in the Debenture and such Supplement shall be perfected and duly registered with the Registrar of Companies and the Registrar of Pledges and the Borrower shall deliver all documents as referred to in clause 3.2 of the Debenture (MUTATIS MUTANDIS) and shall sign all other documents and forms required for the purposes of the aforegoing;</w:t>
      </w:r>
    </w:p>
    <w:p>
      <w:pPr>
        <w:spacing w:after="0" w:line="141"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2"/>
          <w:szCs w:val="12"/>
          <w:color w:val="auto"/>
        </w:rPr>
        <w:t>3.1.15. a list (and copies, certified by the Borrower's external legal</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counsel) of all the trust deeds, indentures and prospectuses</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relating to Permitted Subordinated Debt issued by the Borrower</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and outstanding;</w:t>
      </w:r>
    </w:p>
    <w:p>
      <w:pPr>
        <w:spacing w:after="0" w:line="147" w:lineRule="exact"/>
        <w:rPr>
          <w:sz w:val="20"/>
          <w:szCs w:val="20"/>
          <w:color w:val="auto"/>
        </w:rPr>
      </w:pPr>
    </w:p>
    <w:p>
      <w:pPr>
        <w:ind w:left="360" w:right="4579" w:hanging="367"/>
        <w:spacing w:after="0" w:line="253" w:lineRule="auto"/>
        <w:rPr>
          <w:sz w:val="20"/>
          <w:szCs w:val="20"/>
          <w:color w:val="auto"/>
        </w:rPr>
      </w:pPr>
      <w:r>
        <w:rPr>
          <w:rFonts w:ascii="Courier New" w:cs="Courier New" w:eastAsia="Courier New" w:hAnsi="Courier New"/>
          <w:sz w:val="12"/>
          <w:szCs w:val="12"/>
          <w:color w:val="auto"/>
        </w:rPr>
        <w:t>3.1.16. the updated Schedules set forth on ANNEX A to this Amending Agreement;</w:t>
      </w:r>
    </w:p>
    <w:p>
      <w:pPr>
        <w:spacing w:after="0" w:line="280" w:lineRule="exact"/>
        <w:rPr>
          <w:sz w:val="20"/>
          <w:szCs w:val="20"/>
          <w:color w:val="auto"/>
        </w:rPr>
      </w:pPr>
    </w:p>
    <w:p>
      <w:pPr>
        <w:ind w:left="1980"/>
        <w:spacing w:after="0"/>
        <w:rPr>
          <w:sz w:val="20"/>
          <w:szCs w:val="20"/>
          <w:color w:val="auto"/>
        </w:rPr>
      </w:pPr>
      <w:r>
        <w:rPr>
          <w:rFonts w:ascii="Courier New" w:cs="Courier New" w:eastAsia="Courier New" w:hAnsi="Courier New"/>
          <w:sz w:val="12"/>
          <w:szCs w:val="12"/>
          <w:color w:val="auto"/>
        </w:rPr>
        <w:t>- 5 -</w:t>
      </w:r>
    </w:p>
    <w:p>
      <w:pPr>
        <w:sectPr>
          <w:pgSz w:w="11900" w:h="16838" w:orient="portrait"/>
          <w:cols w:equalWidth="0" w:num="1">
            <w:col w:w="9499"/>
          </w:cols>
          <w:pgMar w:left="960" w:top="689" w:right="1440" w:bottom="1440" w:gutter="0" w:footer="0" w:header="0"/>
        </w:sectPr>
      </w:pPr>
    </w:p>
    <w:bookmarkStart w:id="64" w:name="page65"/>
    <w:bookmarkEnd w:id="64"/>
    <w:p>
      <w:pPr>
        <w:ind w:left="744"/>
        <w:spacing w:after="0"/>
        <w:rPr>
          <w:sz w:val="20"/>
          <w:szCs w:val="20"/>
          <w:color w:val="auto"/>
        </w:rPr>
      </w:pPr>
      <w:r>
        <w:rPr>
          <w:rFonts w:ascii="Courier New" w:cs="Courier New" w:eastAsia="Courier New" w:hAnsi="Courier New"/>
          <w:sz w:val="12"/>
          <w:szCs w:val="12"/>
          <w:color w:val="auto"/>
        </w:rPr>
        <w:t>3.1.17. a certificate of the Chief Financial Officer of the Borrower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certifying that, as of the last day of the calendar month prior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to the Amendment Closing Date, the Borrower has no Indebtedness,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save for Permitted Financial Indebtedness;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3.1.18. notices of assignment by way of charge of all Material</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Contracts (other than those referred to in clauses 1.1.36(c)(i)</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and (ii) of the Facility Agreement);</w:t>
      </w:r>
    </w:p>
    <w:p>
      <w:pPr>
        <w:spacing w:after="0" w:line="147" w:lineRule="exact"/>
        <w:rPr>
          <w:sz w:val="20"/>
          <w:szCs w:val="20"/>
          <w:color w:val="auto"/>
        </w:rPr>
      </w:pPr>
    </w:p>
    <w:p>
      <w:pPr>
        <w:ind w:left="1104" w:right="4359" w:hanging="367"/>
        <w:spacing w:after="0" w:line="251" w:lineRule="auto"/>
        <w:rPr>
          <w:sz w:val="20"/>
          <w:szCs w:val="20"/>
          <w:color w:val="auto"/>
        </w:rPr>
      </w:pPr>
      <w:r>
        <w:rPr>
          <w:rFonts w:ascii="Courier New" w:cs="Courier New" w:eastAsia="Courier New" w:hAnsi="Courier New"/>
          <w:sz w:val="12"/>
          <w:szCs w:val="12"/>
          <w:color w:val="auto"/>
        </w:rPr>
        <w:t>3.1.19. notices of assignment by way of charge to, and acknowledgments by, Bank Leumi and Bank Hapoalim, respectively, with respect to the Reserve Accounts; and</w:t>
      </w:r>
    </w:p>
    <w:p>
      <w:pPr>
        <w:spacing w:after="0" w:line="140"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3.1.20. notices to insurers and acknowledgments of such notices, as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referred to in clause 3.2 of the Debenture (other than under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Insurance Policies in respect of liability of the Borrower to</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third parties or of liability of the Borrower for damage to</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property of third parties or of the type listed in Schedule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16.10.6(d) to the Restated Facility Agreement).</w:t>
      </w:r>
    </w:p>
    <w:p>
      <w:pPr>
        <w:spacing w:after="0" w:line="147" w:lineRule="exact"/>
        <w:rPr>
          <w:sz w:val="20"/>
          <w:szCs w:val="20"/>
          <w:color w:val="auto"/>
        </w:rPr>
      </w:pPr>
    </w:p>
    <w:p>
      <w:pPr>
        <w:ind w:left="744" w:right="4419" w:hanging="367"/>
        <w:spacing w:after="0" w:line="250" w:lineRule="auto"/>
        <w:rPr>
          <w:sz w:val="20"/>
          <w:szCs w:val="20"/>
          <w:color w:val="auto"/>
        </w:rPr>
      </w:pPr>
      <w:r>
        <w:rPr>
          <w:rFonts w:ascii="Courier New" w:cs="Courier New" w:eastAsia="Courier New" w:hAnsi="Courier New"/>
          <w:sz w:val="12"/>
          <w:szCs w:val="12"/>
          <w:color w:val="auto"/>
        </w:rPr>
        <w:t>3.2. In the event that the aforegoing conditions precedent are not all fulfilled by the 2nd (second) Business Day prior to October 31, 2006, or in the event that they shall have been fulfilled, but the closing of this Amending Agreement shall not be fully performed in accordance with clause 5 below by October 31, 2006, then, save for clauses 6 and 7 and the second sentence of clause 9 below, this Amending Agreement shall no longer be of any force or effect and the Facility Agreement shall remain unaltered and in full force and effect and, save as aforesaid, no party shall have any claim arising out of or in connection with this Amending Agreement. The Banks undertake that promptly following the fulfilment to the satisfaction of the Banks of all the conditions precedent referred to in clause 3.1 above, the Banks shall confirm to the Borrower in writing that the conditions precedent have been fulfilled.</w:t>
      </w:r>
    </w:p>
    <w:p>
      <w:pPr>
        <w:spacing w:after="0" w:line="141" w:lineRule="exact"/>
        <w:rPr>
          <w:sz w:val="20"/>
          <w:szCs w:val="20"/>
          <w:color w:val="auto"/>
        </w:rPr>
      </w:pPr>
    </w:p>
    <w:p>
      <w:pPr>
        <w:ind w:left="364" w:hanging="364"/>
        <w:spacing w:after="0"/>
        <w:tabs>
          <w:tab w:leader="none" w:pos="364" w:val="left"/>
        </w:tabs>
        <w:numPr>
          <w:ilvl w:val="0"/>
          <w:numId w:val="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AND WARRANTIES</w:t>
      </w:r>
    </w:p>
    <w:p>
      <w:pPr>
        <w:spacing w:after="0" w:line="147" w:lineRule="exact"/>
        <w:rPr>
          <w:rFonts w:ascii="Courier New" w:cs="Courier New" w:eastAsia="Courier New" w:hAnsi="Courier New"/>
          <w:sz w:val="12"/>
          <w:szCs w:val="12"/>
          <w:color w:val="auto"/>
        </w:rPr>
      </w:pPr>
    </w:p>
    <w:p>
      <w:pPr>
        <w:ind w:left="744" w:right="4419" w:hanging="368"/>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4.1. The Borrower acknowledges that the Banks have agreed to this Amending Agreement in full reliance on all of the representations and warranties set forth in the Restated Facility Agreement, all of which representations and warranties are deemed to have been made on the date hereof and repeated on the Amendment Closing Date.</w:t>
      </w:r>
    </w:p>
    <w:p>
      <w:pPr>
        <w:spacing w:after="0" w:line="283"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6 -</w:t>
      </w:r>
    </w:p>
    <w:p>
      <w:pPr>
        <w:sectPr>
          <w:pgSz w:w="11900" w:h="16838" w:orient="portrait"/>
          <w:cols w:equalWidth="0" w:num="1">
            <w:col w:w="10244"/>
          </w:cols>
          <w:pgMar w:left="216" w:top="689" w:right="1440" w:bottom="1440" w:gutter="0" w:footer="0" w:header="0"/>
        </w:sectPr>
      </w:pPr>
    </w:p>
    <w:bookmarkStart w:id="65" w:name="page66"/>
    <w:bookmarkEnd w:id="65"/>
    <w:p>
      <w:pPr>
        <w:ind w:left="744" w:right="4359" w:hanging="367"/>
        <w:spacing w:after="0" w:line="251" w:lineRule="auto"/>
        <w:rPr>
          <w:sz w:val="20"/>
          <w:szCs w:val="20"/>
          <w:color w:val="auto"/>
        </w:rPr>
      </w:pPr>
      <w:r>
        <w:rPr>
          <w:rFonts w:ascii="Courier New" w:cs="Courier New" w:eastAsia="Courier New" w:hAnsi="Courier New"/>
          <w:sz w:val="12"/>
          <w:szCs w:val="12"/>
          <w:color w:val="auto"/>
        </w:rPr>
        <w:t>4.2. For the removal of doubt, the term "Finance Documents" when referred to in the representations and warranties set out in clause 15 of the Restated Facility Agreement, includes also references to this Amending Agreement and to the Restated Facility Agreement.</w:t>
      </w:r>
    </w:p>
    <w:p>
      <w:pPr>
        <w:spacing w:after="0" w:line="139" w:lineRule="exact"/>
        <w:rPr>
          <w:sz w:val="20"/>
          <w:szCs w:val="20"/>
          <w:color w:val="auto"/>
        </w:rPr>
      </w:pPr>
    </w:p>
    <w:p>
      <w:pPr>
        <w:ind w:left="364" w:hanging="364"/>
        <w:spacing w:after="0"/>
        <w:tabs>
          <w:tab w:leader="none" w:pos="364" w:val="left"/>
        </w:tabs>
        <w:numPr>
          <w:ilvl w:val="0"/>
          <w:numId w:val="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 CLOSING</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Subject to the fulfilment of the conditions precedent set out in clause 3 above, all of the acts, including all of the following documents, matters and things, in form and substance satisfactory to the Banks, set out in this clause 5 (or in the case of clauses 5.3, 5.6, 5.8 and 5.9 below, in form and substance satisfactory to the Bank entering into such amendment or agreement) below shall be performed, on or prior to the Amendment Closing Date, each such act to be deemed to have been performed immediately after the other. In the event that any of such acts are not so performed, all of the acts which were performed shall be of no force and effect, and this Amending Agreement shall not have been closed:</w:t>
      </w:r>
    </w:p>
    <w:p>
      <w:pPr>
        <w:spacing w:after="0" w:line="141" w:lineRule="exact"/>
        <w:rPr>
          <w:rFonts w:ascii="Courier New" w:cs="Courier New" w:eastAsia="Courier New" w:hAnsi="Courier New"/>
          <w:sz w:val="12"/>
          <w:szCs w:val="12"/>
          <w:color w:val="auto"/>
        </w:rPr>
      </w:pPr>
    </w:p>
    <w:p>
      <w:pPr>
        <w:jc w:val="both"/>
        <w:ind w:left="744" w:right="4359" w:hanging="368"/>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5.1. the Borrower and TIC shall enter into an investment and registration rights agreement, relating to the investment referred to in clause 5.2 below (for the removal of doubt, in form and substance satisfactory to the Banks, as aforesaid);</w:t>
      </w:r>
    </w:p>
    <w:p>
      <w:pPr>
        <w:spacing w:after="0" w:line="139" w:lineRule="exact"/>
        <w:rPr>
          <w:rFonts w:ascii="Courier New" w:cs="Courier New" w:eastAsia="Courier New" w:hAnsi="Courier New"/>
          <w:sz w:val="12"/>
          <w:szCs w:val="12"/>
          <w:color w:val="auto"/>
        </w:rPr>
      </w:pPr>
    </w:p>
    <w:p>
      <w:pPr>
        <w:ind w:left="744" w:right="4359" w:hanging="368"/>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5.2. the Borrower shall present to the Banks a certificate by the Auditors, MUTATIS MUTANDIS, in the form of Schedule 1.1.1(v)B to the Facility Agreement, confirming that TIC has, on, or immediately prior to, the Amendment Closing Date, invested in the irredeemable paid-up share capital of the Borrower, an amount of at least US $100,000,000 (one hundred million United States Dollars), against the issue by the Borrower to TIC of an equity convertible capital note, which capital note is convertible into 65,789,474 (sixty-five million, seven hundred and eighty-nine thousand, four hundred and seventy-four) shares (subject to adjustments to changes in capital structure, stock splits, ETC.), such capital note being fully convertible, at any time, in whole or in part and freely transferable, at any time, in whole or in part (for the removal of doubt, in form and substance satisfactory to the Banks, as aforesaid). For the avoidance of doubt, the capital notes issuable hereunder shall not entitle TIC to Interest, dividends, early redemption rights (for the removal of doubt, no conversion of capital notes by TIC into shares shall be deemed a redemption or pre-payment of the capital note), anti-dilution rights, or any adjustments due to changes to Interest rates, the market price of the Borrower shares or indexation of any kind, but shall entitle TIC, as a capital note holder, to participate in rights offerings and shall be subject to certain adjustments, including share splits, combinations and other adjustments, MUTATIS MUTANDIS, as referred to in clause 7 of the Warrants dated August 4, 2005;</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7 -</w:t>
      </w:r>
    </w:p>
    <w:p>
      <w:pPr>
        <w:sectPr>
          <w:pgSz w:w="11900" w:h="16838" w:orient="portrait"/>
          <w:cols w:equalWidth="0" w:num="1">
            <w:col w:w="10244"/>
          </w:cols>
          <w:pgMar w:left="216" w:top="689" w:right="1440" w:bottom="1440" w:gutter="0" w:footer="0" w:header="0"/>
        </w:sectPr>
      </w:pPr>
    </w:p>
    <w:bookmarkStart w:id="66" w:name="page67"/>
    <w:bookmarkEnd w:id="66"/>
    <w:p>
      <w:pPr>
        <w:ind w:right="4359" w:hanging="367"/>
        <w:spacing w:after="0" w:line="250" w:lineRule="auto"/>
        <w:rPr>
          <w:sz w:val="20"/>
          <w:szCs w:val="20"/>
          <w:color w:val="auto"/>
        </w:rPr>
      </w:pPr>
      <w:r>
        <w:rPr>
          <w:rFonts w:ascii="Courier New" w:cs="Courier New" w:eastAsia="Courier New" w:hAnsi="Courier New"/>
          <w:sz w:val="12"/>
          <w:szCs w:val="12"/>
          <w:color w:val="auto"/>
        </w:rPr>
        <w:t>5.3. the Borrower and each Bank (or each Bank's nominees) shall enter into an investment agreement and a registration rights agreement (for the removal of doubt, each in form and substance satisfactory to such Bank, as aforesaid), relating to the capital notes (and shares issuable thereunder) to be issued to such Bank (or such Bank's nominees) pursuant to clause 5.4 below and the shares or capital notes to be issued pursuant clause 9.4 of the Restated Facility Agreement;</w:t>
      </w:r>
    </w:p>
    <w:p>
      <w:pPr>
        <w:spacing w:after="0" w:line="141" w:lineRule="exact"/>
        <w:rPr>
          <w:sz w:val="20"/>
          <w:szCs w:val="20"/>
          <w:color w:val="auto"/>
        </w:rPr>
      </w:pPr>
    </w:p>
    <w:p>
      <w:pPr>
        <w:ind w:right="4359" w:hanging="367"/>
        <w:spacing w:after="0" w:line="250" w:lineRule="auto"/>
        <w:rPr>
          <w:sz w:val="20"/>
          <w:szCs w:val="20"/>
          <w:color w:val="auto"/>
        </w:rPr>
      </w:pPr>
      <w:r>
        <w:rPr>
          <w:rFonts w:ascii="Courier New" w:cs="Courier New" w:eastAsia="Courier New" w:hAnsi="Courier New"/>
          <w:sz w:val="12"/>
          <w:szCs w:val="12"/>
          <w:color w:val="auto"/>
        </w:rPr>
        <w:t>5.4. the Borrower shall issue to each of the Banks (or their respective nominees) equity equivalent convertible capital notes (for the removal of doubt, in form and substance satisfactory to the Banks, as aforesaid) against the delivery by each such Bank to the Borrower of confirmation that the amount of US $79,000,000 (seventy-nine million United States Dollars) of the principal of the Loans owed to such Bank shall be converted into such capital notes (at the rate of US $2.00 (two United States Dollars) of the principal amount of such converted Loans) to constitute US $1.00 (one United States Dollar) of the principal of such capital notes, which capital notes are each convertible into 25,986,842 (twenty-five million, nine hundred and eighty-six thousand, eight hundred and forty-two) shares (subject to adjustments to changes in capital structure, stock splits, ETC.), such capital notes being fully convertible, at any time, in whole or in part and freely transferable, at any time, in whole or in part. For the avoidance of doubt, the conversion of the Loans described in this clause 5.4 shall not take place, or be deemed to have taken place, prior to the effectiveness of the Restated Facility Agreement on the Amendment Closing Date pursuant to clause 2 above. For the avoidance of doubt, the capital notes issuable hereunder shall not entitle the Banks to Interest, dividends, early redemption rights (for the removal of doubt, no conversion of capital notes by a Bank into shares shall be deemed a redemption or pre-payment of the capital note), anti-dilution rights, or any adjustments due to changes to Interest rates, the market price of the Borrower shares or indexation of any kind, but shall entitle the Banks, as capital note holders, to participate in rights offerings and shall be subject to certain adjustments, including share splits, combinations and other adjustments, MUTATIS MUTANDIS, as referred to in clause 7 of the Warrants dated August 4, 2005;</w:t>
      </w:r>
    </w:p>
    <w:p>
      <w:pPr>
        <w:spacing w:after="0" w:line="200" w:lineRule="exact"/>
        <w:rPr>
          <w:sz w:val="20"/>
          <w:szCs w:val="20"/>
          <w:color w:val="auto"/>
        </w:rPr>
      </w:pPr>
    </w:p>
    <w:p>
      <w:pPr>
        <w:spacing w:after="0" w:line="224" w:lineRule="exact"/>
        <w:rPr>
          <w:sz w:val="20"/>
          <w:szCs w:val="20"/>
          <w:color w:val="auto"/>
        </w:rPr>
      </w:pPr>
    </w:p>
    <w:p>
      <w:pPr>
        <w:ind w:left="1980"/>
        <w:spacing w:after="0"/>
        <w:rPr>
          <w:sz w:val="20"/>
          <w:szCs w:val="20"/>
          <w:color w:val="auto"/>
        </w:rPr>
      </w:pPr>
      <w:r>
        <w:rPr>
          <w:rFonts w:ascii="Courier New" w:cs="Courier New" w:eastAsia="Courier New" w:hAnsi="Courier New"/>
          <w:sz w:val="12"/>
          <w:szCs w:val="12"/>
          <w:color w:val="auto"/>
        </w:rPr>
        <w:t>- 8 -</w:t>
      </w:r>
    </w:p>
    <w:p>
      <w:pPr>
        <w:sectPr>
          <w:pgSz w:w="11900" w:h="16838" w:orient="portrait"/>
          <w:cols w:equalWidth="0" w:num="1">
            <w:col w:w="9499"/>
          </w:cols>
          <w:pgMar w:left="960" w:top="689" w:right="1440" w:bottom="1440" w:gutter="0" w:footer="0" w:header="0"/>
        </w:sectPr>
      </w:pPr>
    </w:p>
    <w:bookmarkStart w:id="67" w:name="page68"/>
    <w:bookmarkEnd w:id="67"/>
    <w:p>
      <w:pPr>
        <w:ind w:right="4499" w:hanging="367"/>
        <w:spacing w:after="0" w:line="250" w:lineRule="auto"/>
        <w:rPr>
          <w:sz w:val="20"/>
          <w:szCs w:val="20"/>
          <w:color w:val="auto"/>
        </w:rPr>
      </w:pPr>
      <w:r>
        <w:rPr>
          <w:rFonts w:ascii="Courier New" w:cs="Courier New" w:eastAsia="Courier New" w:hAnsi="Courier New"/>
          <w:sz w:val="12"/>
          <w:szCs w:val="12"/>
          <w:color w:val="auto"/>
        </w:rPr>
        <w:t>5.5. the Borrower shall deliver to the Banks a capitalisation table reflecting all shareholdings and holdings of securities (including warrants, options and convertible debentures) in the Borrower, as at the Amendment Closing Date, certified as correct by the Chief Financial Officer of the Borrower;</w:t>
      </w:r>
    </w:p>
    <w:p>
      <w:pPr>
        <w:spacing w:after="0" w:line="141" w:lineRule="exact"/>
        <w:rPr>
          <w:sz w:val="20"/>
          <w:szCs w:val="20"/>
          <w:color w:val="auto"/>
        </w:rPr>
      </w:pPr>
    </w:p>
    <w:p>
      <w:pPr>
        <w:ind w:right="4499" w:hanging="367"/>
        <w:spacing w:after="0" w:line="250" w:lineRule="auto"/>
        <w:rPr>
          <w:sz w:val="20"/>
          <w:szCs w:val="20"/>
          <w:color w:val="auto"/>
        </w:rPr>
      </w:pPr>
      <w:r>
        <w:rPr>
          <w:rFonts w:ascii="Courier New" w:cs="Courier New" w:eastAsia="Courier New" w:hAnsi="Courier New"/>
          <w:sz w:val="12"/>
          <w:szCs w:val="12"/>
          <w:color w:val="auto"/>
        </w:rPr>
        <w:t>5.6. the Borrower and each Bank shall execute amendments (for the removal of doubt, in form and substance satisfactory to each Bank, as aforesaid) to each of the Warrants issued to such Bank (or its nominees or Affiliates) prior to the date hereof, extending the respective expiry dates to a date falling 5 (five) years after the Amendment Closing Date;</w:t>
      </w:r>
    </w:p>
    <w:p>
      <w:pPr>
        <w:spacing w:after="0" w:line="141" w:lineRule="exact"/>
        <w:rPr>
          <w:sz w:val="20"/>
          <w:szCs w:val="20"/>
          <w:color w:val="auto"/>
        </w:rPr>
      </w:pPr>
    </w:p>
    <w:p>
      <w:pPr>
        <w:ind w:right="4639" w:hanging="367"/>
        <w:spacing w:after="0" w:line="253" w:lineRule="auto"/>
        <w:rPr>
          <w:sz w:val="20"/>
          <w:szCs w:val="20"/>
          <w:color w:val="auto"/>
        </w:rPr>
      </w:pPr>
      <w:r>
        <w:rPr>
          <w:rFonts w:ascii="Courier New" w:cs="Courier New" w:eastAsia="Courier New" w:hAnsi="Courier New"/>
          <w:sz w:val="12"/>
          <w:szCs w:val="12"/>
          <w:color w:val="auto"/>
        </w:rPr>
        <w:t>5.7. the Borrower shall pay all fees payable in accordance with the fee letters referred to in clause 3.1.3 above;</w:t>
      </w:r>
    </w:p>
    <w:p>
      <w:pPr>
        <w:spacing w:after="0" w:line="138" w:lineRule="exact"/>
        <w:rPr>
          <w:sz w:val="20"/>
          <w:szCs w:val="20"/>
          <w:color w:val="auto"/>
        </w:rPr>
      </w:pPr>
    </w:p>
    <w:p>
      <w:pPr>
        <w:ind w:right="4359" w:hanging="367"/>
        <w:spacing w:after="0" w:line="250" w:lineRule="auto"/>
        <w:rPr>
          <w:sz w:val="20"/>
          <w:szCs w:val="20"/>
          <w:color w:val="auto"/>
        </w:rPr>
      </w:pPr>
      <w:r>
        <w:rPr>
          <w:rFonts w:ascii="Courier New" w:cs="Courier New" w:eastAsia="Courier New" w:hAnsi="Courier New"/>
          <w:sz w:val="12"/>
          <w:szCs w:val="12"/>
          <w:color w:val="auto"/>
        </w:rPr>
        <w:t>5.8. each of the Banks and TIC shall enter into an agreement (for the removal of doubt, in form and substance satisfactory to such Bank, as aforesaid) providing that in the event of any sale by TIC, through one or a series of related transactions, to a third party and/or such third party's Affiliates (other than non-prearranged sales of shares into the market executed on any stock exchange on which the Borrower's shares are then listed or submitted for quotation), such that, immediately following any such sale, TIC would cease to be the largest shareholder of: (a) the Borrower's then issued and outstanding shares (for the avoidance of doubt, not taking into account any securities convertible into or exercisable for shares ("CONVERTIBLE SECURITIES")); or (b) the Borrower's shares on a fully diluted basis, taking into account all Convertible Securities, such Bank shall have the "tag-along" right to sell, in, and on the same terms and conditions as, any such sale or sales by TIC, such percentage of its shares (including, for the avoidance of doubt, shares acquired upon exercise of Warrants) and/or capital notes (calculated, in the case of capital notes on the basis of the number of shares into which the capital notes are then convertible) in the Borrower (but, for the avoidance of doubt, not including any Warrants held by such Bank or its Affiliate) as shall equal the percentage that the: (i) shares being sold by TIC represent of all of TIC's shares in the Borrower, in the event only (a) above is applicable; or (ii) shares and Convertible Securities being sold by TIC represent of all of TIC's shares and Convertible Securities in the Borrower, in the event (b) above is (or, for the avoidance of doubt, both (a) and (b) above are) applicable;</w:t>
      </w:r>
    </w:p>
    <w:p>
      <w:pPr>
        <w:spacing w:after="0" w:line="283" w:lineRule="exact"/>
        <w:rPr>
          <w:sz w:val="20"/>
          <w:szCs w:val="20"/>
          <w:color w:val="auto"/>
        </w:rPr>
      </w:pPr>
    </w:p>
    <w:p>
      <w:pPr>
        <w:ind w:left="1980"/>
        <w:spacing w:after="0"/>
        <w:rPr>
          <w:sz w:val="20"/>
          <w:szCs w:val="20"/>
          <w:color w:val="auto"/>
        </w:rPr>
      </w:pPr>
      <w:r>
        <w:rPr>
          <w:rFonts w:ascii="Courier New" w:cs="Courier New" w:eastAsia="Courier New" w:hAnsi="Courier New"/>
          <w:sz w:val="12"/>
          <w:szCs w:val="12"/>
          <w:color w:val="auto"/>
        </w:rPr>
        <w:t>- 9 -</w:t>
      </w:r>
    </w:p>
    <w:p>
      <w:pPr>
        <w:sectPr>
          <w:pgSz w:w="11900" w:h="16838" w:orient="portrait"/>
          <w:cols w:equalWidth="0" w:num="1">
            <w:col w:w="9499"/>
          </w:cols>
          <w:pgMar w:left="960" w:top="689" w:right="1440" w:bottom="1440" w:gutter="0" w:footer="0" w:header="0"/>
        </w:sectPr>
      </w:pPr>
    </w:p>
    <w:bookmarkStart w:id="68" w:name="page69"/>
    <w:bookmarkEnd w:id="68"/>
    <w:p>
      <w:pPr>
        <w:ind w:left="744" w:right="4359" w:hanging="367"/>
        <w:spacing w:after="0" w:line="250" w:lineRule="auto"/>
        <w:rPr>
          <w:sz w:val="20"/>
          <w:szCs w:val="20"/>
          <w:color w:val="auto"/>
        </w:rPr>
      </w:pPr>
      <w:r>
        <w:rPr>
          <w:rFonts w:ascii="Courier New" w:cs="Courier New" w:eastAsia="Courier New" w:hAnsi="Courier New"/>
          <w:sz w:val="12"/>
          <w:szCs w:val="12"/>
          <w:color w:val="auto"/>
        </w:rPr>
        <w:t>5.9. each of the Banks and the Lead Investors shall enter into an agreement (for the removal of doubt, in form and substance satisfactory to such Bank, as aforesaid) pursuant to which the Lead Investors would be obligated towards any one (and not more than one) acquirer of 5% (five percent) or more of the then outstanding issued share capital of the Borrower from such Bank (including, for the avoidance of doubt, through acquisition of capital notes from such Bank and conversion by such acquirer of capital notes into shares) to vote for the nominee of such acquirer to be appointed as a director of the Borrower, subject to the Lead Investors being entitled to object to any particular such nominee on reasonable grounds; and</w:t>
      </w:r>
    </w:p>
    <w:p>
      <w:pPr>
        <w:spacing w:after="0" w:line="141" w:lineRule="exact"/>
        <w:rPr>
          <w:sz w:val="20"/>
          <w:szCs w:val="20"/>
          <w:color w:val="auto"/>
        </w:rPr>
      </w:pPr>
    </w:p>
    <w:p>
      <w:pPr>
        <w:jc w:val="both"/>
        <w:ind w:left="744" w:right="4579" w:hanging="367"/>
        <w:spacing w:after="0" w:line="251" w:lineRule="auto"/>
        <w:rPr>
          <w:sz w:val="20"/>
          <w:szCs w:val="20"/>
          <w:color w:val="auto"/>
        </w:rPr>
      </w:pPr>
      <w:r>
        <w:rPr>
          <w:rFonts w:ascii="Courier New" w:cs="Courier New" w:eastAsia="Courier New" w:hAnsi="Courier New"/>
          <w:sz w:val="12"/>
          <w:szCs w:val="12"/>
          <w:color w:val="auto"/>
        </w:rPr>
        <w:t>5.10. the parties shall insert in clause 1.1.6A of Exhibit 1 hereto the date, being the Amendment Closing Date and, without derogating from clause 2 above, shall confirm Exhibit 1 again by signing it on the Amendment Closing Date.</w:t>
      </w:r>
    </w:p>
    <w:p>
      <w:pPr>
        <w:spacing w:after="0" w:line="139" w:lineRule="exact"/>
        <w:rPr>
          <w:sz w:val="20"/>
          <w:szCs w:val="20"/>
          <w:color w:val="auto"/>
        </w:rPr>
      </w:pPr>
    </w:p>
    <w:p>
      <w:pPr>
        <w:ind w:left="364" w:hanging="364"/>
        <w:spacing w:after="0"/>
        <w:tabs>
          <w:tab w:leader="none" w:pos="364" w:val="left"/>
        </w:tabs>
        <w:numPr>
          <w:ilvl w:val="0"/>
          <w:numId w:val="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GOVERNING LAW AND JURISDICTION</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Amending Agreement shall be governed by and shall be construed in accordance with Israeli law and the competent court of Tel-Aviv-Jaffa shall have exclusive jurisdiction to hear any matters, provided that the Banks shall be entitled to sue the Borrower in any jurisdiction in which it has an office or holds assets.</w:t>
      </w:r>
    </w:p>
    <w:p>
      <w:pPr>
        <w:spacing w:after="0" w:line="141"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GENERAL</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Clauses 26, 27 and 29 of the Facility Agreement shall apply to this Amending Agreement, provided that clause 27.2.1 shall be amended as set forth in Exhibit 1 hereto. Nothing in this Amending Agreement, Exhibit 1 hereto, or the Restated Facility Agreement shall constitute or be construed as a revocation, withdrawal or cancellation of each waiver, approval or consent given to the Borrower by the Banks prior to the date hereof, but only to the extent as such waiver, approval or consent shall be set forth in EXHIBIT 2 to be attached hereto on the Amendment Closing Date (provided that such exhibit is in form and substance satisfactory to the Banks) and each such waiver, approval or consent shall continue to be in effect following the date hereof in accordance with the respective terms thereof.</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10 -</w:t>
      </w:r>
    </w:p>
    <w:p>
      <w:pPr>
        <w:sectPr>
          <w:pgSz w:w="11900" w:h="16838" w:orient="portrait"/>
          <w:cols w:equalWidth="0" w:num="1">
            <w:col w:w="10244"/>
          </w:cols>
          <w:pgMar w:left="216" w:top="689" w:right="1440" w:bottom="1440" w:gutter="0" w:footer="0" w:header="0"/>
        </w:sectPr>
      </w:pPr>
    </w:p>
    <w:bookmarkStart w:id="69" w:name="page70"/>
    <w:bookmarkEnd w:id="69"/>
    <w:p>
      <w:pPr>
        <w:ind w:left="364" w:hanging="364"/>
        <w:spacing w:after="0"/>
        <w:tabs>
          <w:tab w:leader="none" w:pos="364"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INTERIM DETERMINATION OF LIBOR</w:t>
      </w:r>
    </w:p>
    <w:p>
      <w:pPr>
        <w:spacing w:after="0" w:line="147" w:lineRule="exact"/>
        <w:rPr>
          <w:rFonts w:ascii="Courier New" w:cs="Courier New" w:eastAsia="Courier New" w:hAnsi="Courier New"/>
          <w:sz w:val="12"/>
          <w:szCs w:val="12"/>
          <w:color w:val="auto"/>
        </w:rPr>
      </w:pPr>
    </w:p>
    <w:p>
      <w:pPr>
        <w:ind w:left="364" w:right="441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Notwithstanding clause 1.1.94 of the Facility Agreement, should the Amendment Closing Date take place on September 30, 2006 or thereafter, the Banks shall have the option (but not the obligation) to determine LIBOR on the basis of daily Eurodollar deposits (rather than 3 (three) month or weekly deposits) for the period between September 30, 2006 and the Amendment Closing Date.</w:t>
      </w:r>
    </w:p>
    <w:p>
      <w:pPr>
        <w:spacing w:after="0" w:line="141"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EXERCISABILITY OF WARRANTS ON AMENDMENT CLOSING DATE</w:t>
      </w:r>
    </w:p>
    <w:p>
      <w:pPr>
        <w:spacing w:after="0" w:line="147" w:lineRule="exact"/>
        <w:rPr>
          <w:rFonts w:ascii="Courier New" w:cs="Courier New" w:eastAsia="Courier New" w:hAnsi="Courier New"/>
          <w:sz w:val="12"/>
          <w:szCs w:val="12"/>
          <w:color w:val="auto"/>
        </w:rPr>
      </w:pPr>
    </w:p>
    <w:p>
      <w:pPr>
        <w:ind w:left="364" w:right="441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the avoidance of doubt, the Borrower and each Bank confirm that, pursuant to Section 2A of the Warrant dated August 4, 2005, granted by the Borrower to such Bank, the Second Tranche Exercisability Date (as defined in such Warrant) shall occur upon the signature by the Banks and the Borrower of the Restated Facility Agreement on the Amendment Closing Date pursuant to clause 5.10 above. Should the Restated Facility Agreement not become effective in accordance with clause 2 above and, accordingly not signed pursuant to clause 5.10 above, nothing in this clause 9 shall derogate from the Second Tranche Exercisability Date occurring upon the signature of another agreement by the Banks and the Borrower to reschedule the repayment dates of the Interest Payment Loans as contemplated by said Section 2A.</w:t>
      </w:r>
    </w:p>
    <w:p>
      <w:pPr>
        <w:spacing w:after="0" w:line="141" w:lineRule="exact"/>
        <w:rPr>
          <w:sz w:val="20"/>
          <w:szCs w:val="20"/>
          <w:color w:val="auto"/>
        </w:rPr>
      </w:pPr>
    </w:p>
    <w:p>
      <w:pPr>
        <w:ind w:left="4" w:right="4359"/>
        <w:spacing w:after="0" w:line="253" w:lineRule="auto"/>
        <w:rPr>
          <w:sz w:val="20"/>
          <w:szCs w:val="20"/>
          <w:color w:val="auto"/>
        </w:rPr>
      </w:pPr>
      <w:r>
        <w:rPr>
          <w:rFonts w:ascii="Courier New" w:cs="Courier New" w:eastAsia="Courier New" w:hAnsi="Courier New"/>
          <w:sz w:val="12"/>
          <w:szCs w:val="12"/>
          <w:color w:val="auto"/>
        </w:rPr>
        <w:t>IN WITNESS WHEREOF, THE PARTIES HAVE SIGNED THIS AMENDING AGREEMENT EFFECTIVE AS OF THE DATE FIRST MENTIONED ABOVE.</w:t>
      </w:r>
    </w:p>
    <w:p>
      <w:pPr>
        <w:spacing w:after="0" w:line="138"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THE BORROWER:</w:t>
      </w:r>
    </w:p>
    <w:p>
      <w:pPr>
        <w:spacing w:after="0" w:line="147"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360" w:type="dxa"/>
            <w:vAlign w:val="bottom"/>
          </w:tcPr>
          <w:p>
            <w:pPr>
              <w:spacing w:after="0"/>
              <w:rPr>
                <w:sz w:val="20"/>
                <w:szCs w:val="20"/>
                <w:color w:val="auto"/>
              </w:rPr>
            </w:pPr>
            <w:r>
              <w:rPr>
                <w:rFonts w:ascii="Courier New" w:cs="Courier New" w:eastAsia="Courier New" w:hAnsi="Courier New"/>
                <w:sz w:val="12"/>
                <w:szCs w:val="12"/>
                <w:color w:val="auto"/>
              </w:rPr>
              <w:t>for</w:t>
            </w:r>
          </w:p>
        </w:tc>
        <w:tc>
          <w:tcPr>
            <w:tcW w:w="2320" w:type="dxa"/>
            <w:vAlign w:val="bottom"/>
          </w:tcPr>
          <w:p>
            <w:pPr>
              <w:ind w:left="160"/>
              <w:spacing w:after="0"/>
              <w:rPr>
                <w:sz w:val="20"/>
                <w:szCs w:val="20"/>
                <w:color w:val="auto"/>
              </w:rPr>
            </w:pPr>
            <w:r>
              <w:rPr>
                <w:rFonts w:ascii="Courier New" w:cs="Courier New" w:eastAsia="Courier New" w:hAnsi="Courier New"/>
                <w:sz w:val="12"/>
                <w:szCs w:val="12"/>
                <w:color w:val="auto"/>
              </w:rPr>
              <w:t>TOWER SEMICONDUCTOR LTD.</w:t>
            </w:r>
          </w:p>
        </w:tc>
        <w:tc>
          <w:tcPr>
            <w:tcW w:w="82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283"/>
        </w:trPr>
        <w:tc>
          <w:tcPr>
            <w:tcW w:w="360" w:type="dxa"/>
            <w:vAlign w:val="bottom"/>
          </w:tcPr>
          <w:p>
            <w:pPr>
              <w:spacing w:after="0"/>
              <w:rPr>
                <w:sz w:val="20"/>
                <w:szCs w:val="20"/>
                <w:color w:val="auto"/>
              </w:rPr>
            </w:pPr>
            <w:r>
              <w:rPr>
                <w:rFonts w:ascii="Courier New" w:cs="Courier New" w:eastAsia="Courier New" w:hAnsi="Courier New"/>
                <w:sz w:val="12"/>
                <w:szCs w:val="12"/>
                <w:color w:val="auto"/>
              </w:rPr>
              <w:t>By:</w:t>
            </w:r>
          </w:p>
        </w:tc>
        <w:tc>
          <w:tcPr>
            <w:tcW w:w="2320" w:type="dxa"/>
            <w:vAlign w:val="bottom"/>
          </w:tcPr>
          <w:p>
            <w:pPr>
              <w:ind w:left="160"/>
              <w:spacing w:after="0"/>
              <w:rPr>
                <w:sz w:val="20"/>
                <w:szCs w:val="20"/>
                <w:color w:val="auto"/>
              </w:rPr>
            </w:pPr>
            <w:r>
              <w:rPr>
                <w:rFonts w:ascii="Courier New" w:cs="Courier New" w:eastAsia="Courier New" w:hAnsi="Courier New"/>
                <w:sz w:val="12"/>
                <w:szCs w:val="12"/>
                <w:color w:val="auto"/>
              </w:rPr>
              <w:t>_____________________________</w:t>
            </w:r>
          </w:p>
        </w:tc>
        <w:tc>
          <w:tcPr>
            <w:tcW w:w="8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83"/>
        </w:trPr>
        <w:tc>
          <w:tcPr>
            <w:tcW w:w="2680" w:type="dxa"/>
            <w:vAlign w:val="bottom"/>
            <w:gridSpan w:val="2"/>
          </w:tcPr>
          <w:p>
            <w:pPr>
              <w:spacing w:after="0"/>
              <w:rPr>
                <w:sz w:val="20"/>
                <w:szCs w:val="20"/>
                <w:color w:val="auto"/>
              </w:rPr>
            </w:pPr>
            <w:r>
              <w:rPr>
                <w:rFonts w:ascii="Courier New" w:cs="Courier New" w:eastAsia="Courier New" w:hAnsi="Courier New"/>
                <w:sz w:val="12"/>
                <w:szCs w:val="12"/>
                <w:color w:val="auto"/>
              </w:rPr>
              <w:t>Title: _____________________________</w:t>
            </w:r>
          </w:p>
        </w:tc>
        <w:tc>
          <w:tcPr>
            <w:tcW w:w="8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25"/>
        </w:trPr>
        <w:tc>
          <w:tcPr>
            <w:tcW w:w="2680" w:type="dxa"/>
            <w:vAlign w:val="bottom"/>
            <w:gridSpan w:val="2"/>
          </w:tcPr>
          <w:p>
            <w:pPr>
              <w:spacing w:after="0"/>
              <w:rPr>
                <w:sz w:val="20"/>
                <w:szCs w:val="20"/>
                <w:color w:val="auto"/>
              </w:rPr>
            </w:pPr>
            <w:r>
              <w:rPr>
                <w:rFonts w:ascii="Courier New" w:cs="Courier New" w:eastAsia="Courier New" w:hAnsi="Courier New"/>
                <w:sz w:val="12"/>
                <w:szCs w:val="12"/>
                <w:color w:val="auto"/>
              </w:rPr>
              <w:t>THE BANKS:</w:t>
            </w:r>
          </w:p>
        </w:tc>
        <w:tc>
          <w:tcPr>
            <w:tcW w:w="8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83"/>
        </w:trPr>
        <w:tc>
          <w:tcPr>
            <w:tcW w:w="360" w:type="dxa"/>
            <w:vAlign w:val="bottom"/>
          </w:tcPr>
          <w:p>
            <w:pPr>
              <w:spacing w:after="0"/>
              <w:rPr>
                <w:sz w:val="20"/>
                <w:szCs w:val="20"/>
                <w:color w:val="auto"/>
              </w:rPr>
            </w:pPr>
            <w:r>
              <w:rPr>
                <w:rFonts w:ascii="Courier New" w:cs="Courier New" w:eastAsia="Courier New" w:hAnsi="Courier New"/>
                <w:sz w:val="12"/>
                <w:szCs w:val="12"/>
                <w:color w:val="auto"/>
              </w:rPr>
              <w:t>for</w:t>
            </w:r>
          </w:p>
        </w:tc>
        <w:tc>
          <w:tcPr>
            <w:tcW w:w="2320" w:type="dxa"/>
            <w:vAlign w:val="bottom"/>
          </w:tcPr>
          <w:p>
            <w:pPr>
              <w:ind w:left="160"/>
              <w:spacing w:after="0"/>
              <w:rPr>
                <w:sz w:val="20"/>
                <w:szCs w:val="20"/>
                <w:color w:val="auto"/>
              </w:rPr>
            </w:pPr>
            <w:r>
              <w:rPr>
                <w:rFonts w:ascii="Courier New" w:cs="Courier New" w:eastAsia="Courier New" w:hAnsi="Courier New"/>
                <w:sz w:val="12"/>
                <w:szCs w:val="12"/>
                <w:color w:val="auto"/>
              </w:rPr>
              <w:t>BANK HAPOALIM B.M.</w:t>
            </w:r>
          </w:p>
        </w:tc>
        <w:tc>
          <w:tcPr>
            <w:tcW w:w="820" w:type="dxa"/>
            <w:vAlign w:val="bottom"/>
          </w:tcPr>
          <w:p>
            <w:pPr>
              <w:ind w:left="340"/>
              <w:spacing w:after="0"/>
              <w:rPr>
                <w:sz w:val="20"/>
                <w:szCs w:val="20"/>
                <w:color w:val="auto"/>
              </w:rPr>
            </w:pPr>
            <w:r>
              <w:rPr>
                <w:rFonts w:ascii="Courier New" w:cs="Courier New" w:eastAsia="Courier New" w:hAnsi="Courier New"/>
                <w:sz w:val="12"/>
                <w:szCs w:val="12"/>
                <w:color w:val="auto"/>
              </w:rPr>
              <w:t>for</w:t>
            </w:r>
          </w:p>
        </w:tc>
        <w:tc>
          <w:tcPr>
            <w:tcW w:w="238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BANK LEUMI LE-ISRAEL B.M.</w:t>
            </w:r>
          </w:p>
        </w:tc>
      </w:tr>
      <w:tr>
        <w:trPr>
          <w:trHeight w:val="283"/>
        </w:trPr>
        <w:tc>
          <w:tcPr>
            <w:tcW w:w="360" w:type="dxa"/>
            <w:vAlign w:val="bottom"/>
          </w:tcPr>
          <w:p>
            <w:pPr>
              <w:spacing w:after="0"/>
              <w:rPr>
                <w:sz w:val="20"/>
                <w:szCs w:val="20"/>
                <w:color w:val="auto"/>
              </w:rPr>
            </w:pPr>
            <w:r>
              <w:rPr>
                <w:rFonts w:ascii="Courier New" w:cs="Courier New" w:eastAsia="Courier New" w:hAnsi="Courier New"/>
                <w:sz w:val="12"/>
                <w:szCs w:val="12"/>
                <w:color w:val="auto"/>
              </w:rPr>
              <w:t>By:</w:t>
            </w:r>
          </w:p>
        </w:tc>
        <w:tc>
          <w:tcPr>
            <w:tcW w:w="2320" w:type="dxa"/>
            <w:vAlign w:val="bottom"/>
          </w:tcPr>
          <w:p>
            <w:pPr>
              <w:ind w:left="160"/>
              <w:spacing w:after="0"/>
              <w:rPr>
                <w:sz w:val="20"/>
                <w:szCs w:val="20"/>
                <w:color w:val="auto"/>
              </w:rPr>
            </w:pPr>
            <w:r>
              <w:rPr>
                <w:rFonts w:ascii="Courier New" w:cs="Courier New" w:eastAsia="Courier New" w:hAnsi="Courier New"/>
                <w:sz w:val="12"/>
                <w:szCs w:val="12"/>
                <w:color w:val="auto"/>
              </w:rPr>
              <w:t>_____________________________</w:t>
            </w:r>
          </w:p>
        </w:tc>
        <w:tc>
          <w:tcPr>
            <w:tcW w:w="820" w:type="dxa"/>
            <w:vAlign w:val="bottom"/>
          </w:tcPr>
          <w:p>
            <w:pPr>
              <w:ind w:left="340"/>
              <w:spacing w:after="0"/>
              <w:rPr>
                <w:sz w:val="20"/>
                <w:szCs w:val="20"/>
                <w:color w:val="auto"/>
              </w:rPr>
            </w:pPr>
            <w:r>
              <w:rPr>
                <w:rFonts w:ascii="Courier New" w:cs="Courier New" w:eastAsia="Courier New" w:hAnsi="Courier New"/>
                <w:sz w:val="12"/>
                <w:szCs w:val="12"/>
                <w:color w:val="auto"/>
              </w:rPr>
              <w:t>By:</w:t>
            </w:r>
          </w:p>
        </w:tc>
        <w:tc>
          <w:tcPr>
            <w:tcW w:w="2380" w:type="dxa"/>
            <w:vAlign w:val="bottom"/>
          </w:tcPr>
          <w:p>
            <w:pPr>
              <w:jc w:val="right"/>
              <w:spacing w:after="0"/>
              <w:rPr>
                <w:sz w:val="20"/>
                <w:szCs w:val="20"/>
                <w:color w:val="auto"/>
              </w:rPr>
            </w:pPr>
            <w:r>
              <w:rPr>
                <w:rFonts w:ascii="Courier New" w:cs="Courier New" w:eastAsia="Courier New" w:hAnsi="Courier New"/>
                <w:sz w:val="12"/>
                <w:szCs w:val="12"/>
                <w:color w:val="auto"/>
              </w:rPr>
              <w:t>_____________________________</w:t>
            </w:r>
          </w:p>
        </w:tc>
      </w:tr>
      <w:tr>
        <w:trPr>
          <w:trHeight w:val="283"/>
        </w:trPr>
        <w:tc>
          <w:tcPr>
            <w:tcW w:w="2680" w:type="dxa"/>
            <w:vAlign w:val="bottom"/>
            <w:gridSpan w:val="2"/>
          </w:tcPr>
          <w:p>
            <w:pPr>
              <w:spacing w:after="0"/>
              <w:rPr>
                <w:sz w:val="20"/>
                <w:szCs w:val="20"/>
                <w:color w:val="auto"/>
              </w:rPr>
            </w:pPr>
            <w:r>
              <w:rPr>
                <w:rFonts w:ascii="Courier New" w:cs="Courier New" w:eastAsia="Courier New" w:hAnsi="Courier New"/>
                <w:sz w:val="12"/>
                <w:szCs w:val="12"/>
                <w:color w:val="auto"/>
              </w:rPr>
              <w:t>Title: _____________________________</w:t>
            </w:r>
          </w:p>
        </w:tc>
        <w:tc>
          <w:tcPr>
            <w:tcW w:w="820" w:type="dxa"/>
            <w:vAlign w:val="bottom"/>
          </w:tcPr>
          <w:p>
            <w:pPr>
              <w:ind w:left="340"/>
              <w:spacing w:after="0"/>
              <w:rPr>
                <w:sz w:val="20"/>
                <w:szCs w:val="20"/>
                <w:color w:val="auto"/>
              </w:rPr>
            </w:pPr>
            <w:r>
              <w:rPr>
                <w:rFonts w:ascii="Courier New" w:cs="Courier New" w:eastAsia="Courier New" w:hAnsi="Courier New"/>
                <w:sz w:val="12"/>
                <w:szCs w:val="12"/>
                <w:color w:val="auto"/>
              </w:rPr>
              <w:t>Title:</w:t>
            </w:r>
          </w:p>
        </w:tc>
        <w:tc>
          <w:tcPr>
            <w:tcW w:w="2380" w:type="dxa"/>
            <w:vAlign w:val="bottom"/>
          </w:tcPr>
          <w:p>
            <w:pPr>
              <w:jc w:val="right"/>
              <w:spacing w:after="0"/>
              <w:rPr>
                <w:sz w:val="20"/>
                <w:szCs w:val="20"/>
                <w:color w:val="auto"/>
              </w:rPr>
            </w:pPr>
            <w:r>
              <w:rPr>
                <w:rFonts w:ascii="Courier New" w:cs="Courier New" w:eastAsia="Courier New" w:hAnsi="Courier New"/>
                <w:sz w:val="12"/>
                <w:szCs w:val="12"/>
                <w:color w:val="auto"/>
              </w:rPr>
              <w:t>_____________________________</w:t>
            </w:r>
          </w:p>
        </w:tc>
      </w:tr>
      <w:tr>
        <w:trPr>
          <w:trHeight w:val="283"/>
        </w:trPr>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2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- 11 -</w:t>
            </w:r>
          </w:p>
        </w:tc>
        <w:tc>
          <w:tcPr>
            <w:tcW w:w="2380" w:type="dxa"/>
            <w:vAlign w:val="bottom"/>
          </w:tcPr>
          <w:p>
            <w:pPr>
              <w:spacing w:after="0"/>
              <w:rPr>
                <w:sz w:val="24"/>
                <w:szCs w:val="24"/>
                <w:color w:val="auto"/>
              </w:rPr>
            </w:pPr>
          </w:p>
        </w:tc>
      </w:tr>
    </w:tbl>
    <w:p>
      <w:pPr>
        <w:sectPr>
          <w:pgSz w:w="11900" w:h="16838" w:orient="portrait"/>
          <w:cols w:equalWidth="0" w:num="1">
            <w:col w:w="10244"/>
          </w:cols>
          <w:pgMar w:left="216" w:top="689" w:right="1440" w:bottom="1440" w:gutter="0" w:footer="0" w:header="0"/>
        </w:sectPr>
      </w:pPr>
    </w:p>
    <w:bookmarkStart w:id="70" w:name="page71"/>
    <w:bookmarkEnd w:id="70"/>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00" w:type="dxa"/>
            <w:vAlign w:val="bottom"/>
          </w:tcPr>
          <w:p>
            <w:pPr>
              <w:spacing w:after="0"/>
              <w:rPr>
                <w:sz w:val="12"/>
                <w:szCs w:val="12"/>
                <w:color w:val="auto"/>
              </w:rPr>
            </w:pPr>
          </w:p>
        </w:tc>
        <w:tc>
          <w:tcPr>
            <w:tcW w:w="3380" w:type="dxa"/>
            <w:vAlign w:val="bottom"/>
          </w:tcPr>
          <w:p>
            <w:pPr>
              <w:jc w:val="right"/>
              <w:ind w:right="1039"/>
              <w:spacing w:after="0"/>
              <w:rPr>
                <w:sz w:val="20"/>
                <w:szCs w:val="20"/>
                <w:color w:val="auto"/>
              </w:rPr>
            </w:pPr>
            <w:r>
              <w:rPr>
                <w:rFonts w:ascii="Courier New" w:cs="Courier New" w:eastAsia="Courier New" w:hAnsi="Courier New"/>
                <w:sz w:val="12"/>
                <w:szCs w:val="12"/>
                <w:color w:val="auto"/>
              </w:rPr>
              <w:t>EXHIBIT 99.7</w:t>
            </w:r>
          </w:p>
        </w:tc>
      </w:tr>
      <w:tr>
        <w:trPr>
          <w:trHeight w:val="283"/>
        </w:trPr>
        <w:tc>
          <w:tcPr>
            <w:tcW w:w="6980" w:type="dxa"/>
            <w:vAlign w:val="bottom"/>
            <w:gridSpan w:val="2"/>
          </w:tcPr>
          <w:p>
            <w:pPr>
              <w:jc w:val="center"/>
              <w:ind w:right="959"/>
              <w:spacing w:after="0"/>
              <w:rPr>
                <w:sz w:val="20"/>
                <w:szCs w:val="20"/>
                <w:color w:val="auto"/>
              </w:rPr>
            </w:pPr>
            <w:r>
              <w:rPr>
                <w:rFonts w:ascii="Courier New" w:cs="Courier New" w:eastAsia="Courier New" w:hAnsi="Courier New"/>
                <w:sz w:val="12"/>
                <w:szCs w:val="12"/>
                <w:color w:val="auto"/>
              </w:rPr>
              <w:t>RESTATED FACILITY AGREEMENT</w:t>
            </w:r>
          </w:p>
        </w:tc>
      </w:tr>
      <w:tr>
        <w:trPr>
          <w:trHeight w:val="283"/>
        </w:trPr>
        <w:tc>
          <w:tcPr>
            <w:tcW w:w="6980" w:type="dxa"/>
            <w:vAlign w:val="bottom"/>
            <w:gridSpan w:val="2"/>
          </w:tcPr>
          <w:p>
            <w:pPr>
              <w:jc w:val="center"/>
              <w:ind w:right="1039"/>
              <w:spacing w:after="0"/>
              <w:rPr>
                <w:sz w:val="20"/>
                <w:szCs w:val="20"/>
                <w:color w:val="auto"/>
              </w:rPr>
            </w:pPr>
            <w:r>
              <w:rPr>
                <w:rFonts w:ascii="Courier New" w:cs="Courier New" w:eastAsia="Courier New" w:hAnsi="Courier New"/>
                <w:sz w:val="12"/>
                <w:szCs w:val="12"/>
                <w:color w:val="auto"/>
              </w:rPr>
              <w:t>ORIGINALLY MADE ON 18 JANUARY 2001</w:t>
            </w:r>
          </w:p>
        </w:tc>
      </w:tr>
      <w:tr>
        <w:trPr>
          <w:trHeight w:val="283"/>
        </w:trPr>
        <w:tc>
          <w:tcPr>
            <w:tcW w:w="3600" w:type="dxa"/>
            <w:vAlign w:val="bottom"/>
          </w:tcPr>
          <w:p>
            <w:pPr>
              <w:jc w:val="center"/>
              <w:ind w:left="2299"/>
              <w:spacing w:after="0"/>
              <w:rPr>
                <w:sz w:val="20"/>
                <w:szCs w:val="20"/>
                <w:color w:val="auto"/>
              </w:rPr>
            </w:pPr>
            <w:r>
              <w:rPr>
                <w:rFonts w:ascii="Courier New" w:cs="Courier New" w:eastAsia="Courier New" w:hAnsi="Courier New"/>
                <w:sz w:val="12"/>
                <w:szCs w:val="12"/>
                <w:color w:val="auto"/>
              </w:rPr>
              <w:t>BETWEEN</w:t>
            </w:r>
          </w:p>
        </w:tc>
        <w:tc>
          <w:tcPr>
            <w:tcW w:w="3380" w:type="dxa"/>
            <w:vAlign w:val="bottom"/>
          </w:tcPr>
          <w:p>
            <w:pPr>
              <w:spacing w:after="0"/>
              <w:rPr>
                <w:sz w:val="24"/>
                <w:szCs w:val="24"/>
                <w:color w:val="auto"/>
              </w:rPr>
            </w:pPr>
          </w:p>
        </w:tc>
      </w:tr>
      <w:tr>
        <w:trPr>
          <w:trHeight w:val="283"/>
        </w:trPr>
        <w:tc>
          <w:tcPr>
            <w:tcW w:w="6980" w:type="dxa"/>
            <w:vAlign w:val="bottom"/>
            <w:gridSpan w:val="2"/>
          </w:tcPr>
          <w:p>
            <w:pPr>
              <w:jc w:val="center"/>
              <w:ind w:right="1039"/>
              <w:spacing w:after="0"/>
              <w:rPr>
                <w:sz w:val="20"/>
                <w:szCs w:val="20"/>
                <w:color w:val="auto"/>
              </w:rPr>
            </w:pPr>
            <w:r>
              <w:rPr>
                <w:rFonts w:ascii="Courier New" w:cs="Courier New" w:eastAsia="Courier New" w:hAnsi="Courier New"/>
                <w:sz w:val="12"/>
                <w:szCs w:val="12"/>
                <w:color w:val="auto"/>
              </w:rPr>
              <w:t>----------------------------------------------------------------</w:t>
            </w:r>
          </w:p>
        </w:tc>
      </w:tr>
      <w:tr>
        <w:trPr>
          <w:trHeight w:val="142"/>
        </w:trPr>
        <w:tc>
          <w:tcPr>
            <w:tcW w:w="6980" w:type="dxa"/>
            <w:vAlign w:val="bottom"/>
            <w:gridSpan w:val="2"/>
          </w:tcPr>
          <w:p>
            <w:pPr>
              <w:jc w:val="center"/>
              <w:ind w:right="1039"/>
              <w:spacing w:after="0"/>
              <w:rPr>
                <w:sz w:val="20"/>
                <w:szCs w:val="20"/>
                <w:color w:val="auto"/>
              </w:rPr>
            </w:pPr>
            <w:r>
              <w:rPr>
                <w:rFonts w:ascii="Courier New" w:cs="Courier New" w:eastAsia="Courier New" w:hAnsi="Courier New"/>
                <w:sz w:val="12"/>
                <w:szCs w:val="12"/>
                <w:color w:val="auto"/>
              </w:rPr>
              <w:t>TOWER SEMICONDUCTOR LTD.</w:t>
            </w:r>
          </w:p>
        </w:tc>
      </w:tr>
      <w:tr>
        <w:trPr>
          <w:trHeight w:val="142"/>
        </w:trPr>
        <w:tc>
          <w:tcPr>
            <w:tcW w:w="6980" w:type="dxa"/>
            <w:vAlign w:val="bottom"/>
            <w:gridSpan w:val="2"/>
          </w:tcPr>
          <w:p>
            <w:pPr>
              <w:jc w:val="center"/>
              <w:ind w:right="1039"/>
              <w:spacing w:after="0"/>
              <w:rPr>
                <w:sz w:val="20"/>
                <w:szCs w:val="20"/>
                <w:color w:val="auto"/>
              </w:rPr>
            </w:pPr>
            <w:r>
              <w:rPr>
                <w:rFonts w:ascii="Courier New" w:cs="Courier New" w:eastAsia="Courier New" w:hAnsi="Courier New"/>
                <w:sz w:val="12"/>
                <w:szCs w:val="12"/>
                <w:color w:val="auto"/>
              </w:rPr>
              <w:t>----------------------------------------------------------------</w:t>
            </w:r>
          </w:p>
        </w:tc>
      </w:tr>
      <w:tr>
        <w:trPr>
          <w:trHeight w:val="283"/>
        </w:trPr>
        <w:tc>
          <w:tcPr>
            <w:tcW w:w="3600" w:type="dxa"/>
            <w:vAlign w:val="bottom"/>
          </w:tcPr>
          <w:p>
            <w:pPr>
              <w:jc w:val="center"/>
              <w:ind w:left="2279"/>
              <w:spacing w:after="0"/>
              <w:rPr>
                <w:sz w:val="20"/>
                <w:szCs w:val="20"/>
                <w:color w:val="auto"/>
              </w:rPr>
            </w:pPr>
            <w:r>
              <w:rPr>
                <w:rFonts w:ascii="Courier New" w:cs="Courier New" w:eastAsia="Courier New" w:hAnsi="Courier New"/>
                <w:sz w:val="12"/>
                <w:szCs w:val="12"/>
                <w:color w:val="auto"/>
              </w:rPr>
              <w:t>AS THE BORROWER</w:t>
            </w:r>
          </w:p>
        </w:tc>
        <w:tc>
          <w:tcPr>
            <w:tcW w:w="3380" w:type="dxa"/>
            <w:vAlign w:val="bottom"/>
          </w:tcPr>
          <w:p>
            <w:pPr>
              <w:spacing w:after="0"/>
              <w:rPr>
                <w:sz w:val="24"/>
                <w:szCs w:val="24"/>
                <w:color w:val="auto"/>
              </w:rPr>
            </w:pPr>
          </w:p>
        </w:tc>
      </w:tr>
      <w:tr>
        <w:trPr>
          <w:trHeight w:val="283"/>
        </w:trPr>
        <w:tc>
          <w:tcPr>
            <w:tcW w:w="3600" w:type="dxa"/>
            <w:vAlign w:val="bottom"/>
          </w:tcPr>
          <w:p>
            <w:pPr>
              <w:jc w:val="center"/>
              <w:ind w:left="2279"/>
              <w:spacing w:after="0"/>
              <w:rPr>
                <w:sz w:val="20"/>
                <w:szCs w:val="20"/>
                <w:color w:val="auto"/>
              </w:rPr>
            </w:pPr>
            <w:r>
              <w:rPr>
                <w:rFonts w:ascii="Courier New" w:cs="Courier New" w:eastAsia="Courier New" w:hAnsi="Courier New"/>
                <w:sz w:val="12"/>
                <w:szCs w:val="12"/>
                <w:color w:val="auto"/>
              </w:rPr>
              <w:t>AND</w:t>
            </w:r>
          </w:p>
        </w:tc>
        <w:tc>
          <w:tcPr>
            <w:tcW w:w="3380" w:type="dxa"/>
            <w:vAlign w:val="bottom"/>
          </w:tcPr>
          <w:p>
            <w:pPr>
              <w:spacing w:after="0"/>
              <w:rPr>
                <w:sz w:val="24"/>
                <w:szCs w:val="24"/>
                <w:color w:val="auto"/>
              </w:rPr>
            </w:pPr>
          </w:p>
        </w:tc>
      </w:tr>
      <w:tr>
        <w:trPr>
          <w:trHeight w:val="283"/>
        </w:trPr>
        <w:tc>
          <w:tcPr>
            <w:tcW w:w="360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3380" w:type="dxa"/>
            <w:vAlign w:val="bottom"/>
          </w:tcPr>
          <w:p>
            <w:pPr>
              <w:jc w:val="right"/>
              <w:ind w:right="879"/>
              <w:spacing w:after="0"/>
              <w:rPr>
                <w:sz w:val="20"/>
                <w:szCs w:val="20"/>
                <w:color w:val="auto"/>
              </w:rPr>
            </w:pPr>
            <w:r>
              <w:rPr>
                <w:rFonts w:ascii="Courier New" w:cs="Courier New" w:eastAsia="Courier New" w:hAnsi="Courier New"/>
                <w:sz w:val="12"/>
                <w:szCs w:val="12"/>
                <w:color w:val="auto"/>
              </w:rPr>
              <w:t>---------------------------------</w:t>
            </w:r>
          </w:p>
        </w:tc>
      </w:tr>
      <w:tr>
        <w:trPr>
          <w:trHeight w:val="142"/>
        </w:trPr>
        <w:tc>
          <w:tcPr>
            <w:tcW w:w="3600" w:type="dxa"/>
            <w:vAlign w:val="bottom"/>
          </w:tcPr>
          <w:p>
            <w:pPr>
              <w:ind w:left="520"/>
              <w:spacing w:after="0"/>
              <w:rPr>
                <w:sz w:val="20"/>
                <w:szCs w:val="20"/>
                <w:color w:val="auto"/>
              </w:rPr>
            </w:pPr>
            <w:r>
              <w:rPr>
                <w:rFonts w:ascii="Courier New" w:cs="Courier New" w:eastAsia="Courier New" w:hAnsi="Courier New"/>
                <w:sz w:val="12"/>
                <w:szCs w:val="12"/>
                <w:color w:val="auto"/>
              </w:rPr>
              <w:t>BANK HAPOALIM B.M.</w:t>
            </w:r>
          </w:p>
        </w:tc>
        <w:tc>
          <w:tcPr>
            <w:tcW w:w="3380" w:type="dxa"/>
            <w:vAlign w:val="bottom"/>
          </w:tcPr>
          <w:p>
            <w:pPr>
              <w:jc w:val="right"/>
              <w:ind w:right="1399"/>
              <w:spacing w:after="0"/>
              <w:rPr>
                <w:sz w:val="20"/>
                <w:szCs w:val="20"/>
                <w:color w:val="auto"/>
              </w:rPr>
            </w:pPr>
            <w:r>
              <w:rPr>
                <w:rFonts w:ascii="Courier New" w:cs="Courier New" w:eastAsia="Courier New" w:hAnsi="Courier New"/>
                <w:sz w:val="12"/>
                <w:szCs w:val="12"/>
                <w:color w:val="auto"/>
              </w:rPr>
              <w:t>BANK LEUMI LE-ISRAEL B.M.</w:t>
            </w:r>
          </w:p>
        </w:tc>
      </w:tr>
      <w:tr>
        <w:trPr>
          <w:trHeight w:val="142"/>
        </w:trPr>
        <w:tc>
          <w:tcPr>
            <w:tcW w:w="360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3380" w:type="dxa"/>
            <w:vAlign w:val="bottom"/>
          </w:tcPr>
          <w:p>
            <w:pPr>
              <w:jc w:val="right"/>
              <w:ind w:right="879"/>
              <w:spacing w:after="0"/>
              <w:rPr>
                <w:sz w:val="20"/>
                <w:szCs w:val="20"/>
                <w:color w:val="auto"/>
              </w:rPr>
            </w:pPr>
            <w:r>
              <w:rPr>
                <w:rFonts w:ascii="Courier New" w:cs="Courier New" w:eastAsia="Courier New" w:hAnsi="Courier New"/>
                <w:sz w:val="12"/>
                <w:szCs w:val="12"/>
                <w:color w:val="auto"/>
              </w:rPr>
              <w:t>---------------------------------</w:t>
            </w:r>
          </w:p>
        </w:tc>
      </w:tr>
      <w:tr>
        <w:trPr>
          <w:trHeight w:val="283"/>
        </w:trPr>
        <w:tc>
          <w:tcPr>
            <w:tcW w:w="3600" w:type="dxa"/>
            <w:vAlign w:val="bottom"/>
          </w:tcPr>
          <w:p>
            <w:pPr>
              <w:jc w:val="center"/>
              <w:ind w:left="2219"/>
              <w:spacing w:after="0"/>
              <w:rPr>
                <w:sz w:val="20"/>
                <w:szCs w:val="20"/>
                <w:color w:val="auto"/>
              </w:rPr>
            </w:pPr>
            <w:r>
              <w:rPr>
                <w:rFonts w:ascii="Courier New" w:cs="Courier New" w:eastAsia="Courier New" w:hAnsi="Courier New"/>
                <w:sz w:val="12"/>
                <w:szCs w:val="12"/>
                <w:color w:val="auto"/>
              </w:rPr>
              <w:t>AS THE BANKS</w:t>
            </w:r>
          </w:p>
        </w:tc>
        <w:tc>
          <w:tcPr>
            <w:tcW w:w="3380" w:type="dxa"/>
            <w:vAlign w:val="bottom"/>
          </w:tcPr>
          <w:p>
            <w:pPr>
              <w:spacing w:after="0"/>
              <w:rPr>
                <w:sz w:val="24"/>
                <w:szCs w:val="24"/>
                <w:color w:val="auto"/>
              </w:rPr>
            </w:pPr>
          </w:p>
        </w:tc>
      </w:tr>
      <w:tr>
        <w:trPr>
          <w:trHeight w:val="283"/>
        </w:trPr>
        <w:tc>
          <w:tcPr>
            <w:tcW w:w="6980" w:type="dxa"/>
            <w:vAlign w:val="bottom"/>
            <w:gridSpan w:val="2"/>
          </w:tcPr>
          <w:p>
            <w:pPr>
              <w:jc w:val="center"/>
              <w:ind w:right="1039"/>
              <w:spacing w:after="0"/>
              <w:rPr>
                <w:sz w:val="20"/>
                <w:szCs w:val="20"/>
                <w:color w:val="auto"/>
              </w:rPr>
            </w:pPr>
            <w:r>
              <w:rPr>
                <w:rFonts w:ascii="Courier New" w:cs="Courier New" w:eastAsia="Courier New" w:hAnsi="Courier New"/>
                <w:sz w:val="12"/>
                <w:szCs w:val="12"/>
                <w:color w:val="auto"/>
              </w:rPr>
              <w:t>(AS AMENDED AND RESTATED BY THE PARTIES THROUGH AUGUST 24, 2006)</w:t>
            </w:r>
          </w:p>
        </w:tc>
      </w:tr>
      <w:tr>
        <w:trPr>
          <w:trHeight w:val="406"/>
        </w:trPr>
        <w:tc>
          <w:tcPr>
            <w:tcW w:w="3600" w:type="dxa"/>
            <w:vAlign w:val="bottom"/>
          </w:tcPr>
          <w:p>
            <w:pPr>
              <w:jc w:val="center"/>
              <w:ind w:left="2299"/>
              <w:spacing w:after="0"/>
              <w:rPr>
                <w:sz w:val="20"/>
                <w:szCs w:val="20"/>
                <w:color w:val="auto"/>
              </w:rPr>
            </w:pPr>
            <w:r>
              <w:rPr>
                <w:rFonts w:ascii="Courier New" w:cs="Courier New" w:eastAsia="Courier New" w:hAnsi="Courier New"/>
                <w:sz w:val="12"/>
                <w:szCs w:val="12"/>
                <w:color w:val="auto"/>
              </w:rPr>
              <w:t>TABLE OF CONTENTS</w:t>
            </w:r>
          </w:p>
        </w:tc>
        <w:tc>
          <w:tcPr>
            <w:tcW w:w="3380" w:type="dxa"/>
            <w:vAlign w:val="bottom"/>
          </w:tcPr>
          <w:p>
            <w:pPr>
              <w:spacing w:after="0"/>
              <w:rPr>
                <w:sz w:val="24"/>
                <w:szCs w:val="24"/>
                <w:color w:val="auto"/>
              </w:rPr>
            </w:pPr>
          </w:p>
        </w:tc>
      </w:tr>
      <w:tr>
        <w:trPr>
          <w:trHeight w:val="283"/>
        </w:trPr>
        <w:tc>
          <w:tcPr>
            <w:tcW w:w="3600" w:type="dxa"/>
            <w:vAlign w:val="bottom"/>
          </w:tcPr>
          <w:p>
            <w:pPr>
              <w:spacing w:after="0"/>
              <w:rPr>
                <w:sz w:val="20"/>
                <w:szCs w:val="20"/>
                <w:color w:val="auto"/>
              </w:rPr>
            </w:pPr>
            <w:r>
              <w:rPr>
                <w:rFonts w:ascii="Courier New" w:cs="Courier New" w:eastAsia="Courier New" w:hAnsi="Courier New"/>
                <w:sz w:val="12"/>
                <w:szCs w:val="12"/>
                <w:color w:val="auto"/>
              </w:rPr>
              <w:t>CLAUSE NO.</w:t>
            </w:r>
          </w:p>
        </w:tc>
        <w:tc>
          <w:tcPr>
            <w:tcW w:w="3380" w:type="dxa"/>
            <w:vAlign w:val="bottom"/>
          </w:tcPr>
          <w:p>
            <w:pPr>
              <w:jc w:val="right"/>
              <w:spacing w:after="0"/>
              <w:rPr>
                <w:sz w:val="20"/>
                <w:szCs w:val="20"/>
                <w:color w:val="auto"/>
              </w:rPr>
            </w:pPr>
            <w:r>
              <w:rPr>
                <w:rFonts w:ascii="Courier New" w:cs="Courier New" w:eastAsia="Courier New" w:hAnsi="Courier New"/>
                <w:sz w:val="12"/>
                <w:szCs w:val="12"/>
                <w:color w:val="auto"/>
              </w:rPr>
              <w:t>PAGE</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20"/>
                <w:szCs w:val="20"/>
                <w:color w:val="auto"/>
              </w:rPr>
            </w:pPr>
            <w:r>
              <w:rPr>
                <w:rFonts w:ascii="Courier New" w:cs="Courier New" w:eastAsia="Courier New" w:hAnsi="Courier New"/>
                <w:sz w:val="12"/>
                <w:szCs w:val="12"/>
                <w:color w:val="auto"/>
              </w:rPr>
              <w:t>1.</w:t>
            </w:r>
          </w:p>
        </w:tc>
        <w:tc>
          <w:tcPr>
            <w:tcW w:w="5160" w:type="dxa"/>
            <w:vAlign w:val="bottom"/>
          </w:tcPr>
          <w:p>
            <w:pPr>
              <w:ind w:left="80"/>
              <w:spacing w:after="0"/>
              <w:rPr>
                <w:sz w:val="20"/>
                <w:szCs w:val="20"/>
                <w:color w:val="auto"/>
              </w:rPr>
            </w:pPr>
            <w:r>
              <w:rPr>
                <w:rFonts w:ascii="Courier New" w:cs="Courier New" w:eastAsia="Courier New" w:hAnsi="Courier New"/>
                <w:sz w:val="12"/>
                <w:szCs w:val="12"/>
                <w:color w:val="auto"/>
              </w:rPr>
              <w:t>INTERPRETATION</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1.1.</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Definitions</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1.2.</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Clause Headings/Table of Contents</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69</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1.3.</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Interpretation</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69</w:t>
            </w:r>
          </w:p>
        </w:tc>
      </w:tr>
      <w:tr>
        <w:trPr>
          <w:trHeight w:val="283"/>
        </w:trPr>
        <w:tc>
          <w:tcPr>
            <w:tcW w:w="800" w:type="dxa"/>
            <w:vAlign w:val="bottom"/>
          </w:tcPr>
          <w:p>
            <w:pPr>
              <w:spacing w:after="0"/>
              <w:rPr>
                <w:sz w:val="20"/>
                <w:szCs w:val="20"/>
                <w:color w:val="auto"/>
              </w:rPr>
            </w:pPr>
            <w:r>
              <w:rPr>
                <w:rFonts w:ascii="Courier New" w:cs="Courier New" w:eastAsia="Courier New" w:hAnsi="Courier New"/>
                <w:sz w:val="12"/>
                <w:szCs w:val="12"/>
                <w:color w:val="auto"/>
              </w:rPr>
              <w:t>2.</w:t>
            </w:r>
          </w:p>
        </w:tc>
        <w:tc>
          <w:tcPr>
            <w:tcW w:w="5160" w:type="dxa"/>
            <w:vAlign w:val="bottom"/>
          </w:tcPr>
          <w:p>
            <w:pPr>
              <w:ind w:left="80"/>
              <w:spacing w:after="0"/>
              <w:rPr>
                <w:sz w:val="20"/>
                <w:szCs w:val="20"/>
                <w:color w:val="auto"/>
              </w:rPr>
            </w:pPr>
            <w:r>
              <w:rPr>
                <w:rFonts w:ascii="Courier New" w:cs="Courier New" w:eastAsia="Courier New" w:hAnsi="Courier New"/>
                <w:sz w:val="12"/>
                <w:szCs w:val="12"/>
                <w:color w:val="auto"/>
              </w:rPr>
              <w:t>THE LOANS</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71</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2.1.</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Loans to the Borrower</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71</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2.2.</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Banks' Obligations Several</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72</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2.3.</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Limits on Yen, Euro and Pound Sterling Credits</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72</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2.3.</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Banks' Rights Separate</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72</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2.4.</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Separate Enforcement by Banks</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72</w:t>
            </w:r>
          </w:p>
        </w:tc>
      </w:tr>
      <w:tr>
        <w:trPr>
          <w:trHeight w:val="283"/>
        </w:trPr>
        <w:tc>
          <w:tcPr>
            <w:tcW w:w="800" w:type="dxa"/>
            <w:vAlign w:val="bottom"/>
          </w:tcPr>
          <w:p>
            <w:pPr>
              <w:spacing w:after="0"/>
              <w:rPr>
                <w:sz w:val="20"/>
                <w:szCs w:val="20"/>
                <w:color w:val="auto"/>
              </w:rPr>
            </w:pPr>
            <w:r>
              <w:rPr>
                <w:rFonts w:ascii="Courier New" w:cs="Courier New" w:eastAsia="Courier New" w:hAnsi="Courier New"/>
                <w:sz w:val="12"/>
                <w:szCs w:val="12"/>
                <w:color w:val="auto"/>
              </w:rPr>
              <w:t>3.</w:t>
            </w:r>
          </w:p>
        </w:tc>
        <w:tc>
          <w:tcPr>
            <w:tcW w:w="5160" w:type="dxa"/>
            <w:vAlign w:val="bottom"/>
          </w:tcPr>
          <w:p>
            <w:pPr>
              <w:ind w:left="80"/>
              <w:spacing w:after="0"/>
              <w:rPr>
                <w:sz w:val="20"/>
                <w:szCs w:val="20"/>
                <w:color w:val="auto"/>
              </w:rPr>
            </w:pPr>
            <w:r>
              <w:rPr>
                <w:rFonts w:ascii="Courier New" w:cs="Courier New" w:eastAsia="Courier New" w:hAnsi="Courier New"/>
                <w:sz w:val="12"/>
                <w:szCs w:val="12"/>
                <w:color w:val="auto"/>
              </w:rPr>
              <w:t>PURPOSE--INTENTIONALLY DELETED</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73</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3.1.</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Purpose of Advances and Loans</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73</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3.2.</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Purpose of L/Cs</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73</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3.3.</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Purpose of Permitted Hedging Transactions</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73</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3.4.</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No Obligation to Monitor</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73</w:t>
            </w:r>
          </w:p>
        </w:tc>
      </w:tr>
      <w:tr>
        <w:trPr>
          <w:trHeight w:val="283"/>
        </w:trPr>
        <w:tc>
          <w:tcPr>
            <w:tcW w:w="800" w:type="dxa"/>
            <w:vAlign w:val="bottom"/>
          </w:tcPr>
          <w:p>
            <w:pPr>
              <w:spacing w:after="0"/>
              <w:rPr>
                <w:sz w:val="20"/>
                <w:szCs w:val="20"/>
                <w:color w:val="auto"/>
              </w:rPr>
            </w:pPr>
            <w:r>
              <w:rPr>
                <w:rFonts w:ascii="Courier New" w:cs="Courier New" w:eastAsia="Courier New" w:hAnsi="Courier New"/>
                <w:sz w:val="12"/>
                <w:szCs w:val="12"/>
                <w:color w:val="auto"/>
              </w:rPr>
              <w:t>4.</w:t>
            </w:r>
          </w:p>
        </w:tc>
        <w:tc>
          <w:tcPr>
            <w:tcW w:w="5160" w:type="dxa"/>
            <w:vAlign w:val="bottom"/>
          </w:tcPr>
          <w:p>
            <w:pPr>
              <w:ind w:left="80"/>
              <w:spacing w:after="0"/>
              <w:rPr>
                <w:sz w:val="20"/>
                <w:szCs w:val="20"/>
                <w:color w:val="auto"/>
              </w:rPr>
            </w:pPr>
            <w:r>
              <w:rPr>
                <w:rFonts w:ascii="Courier New" w:cs="Courier New" w:eastAsia="Courier New" w:hAnsi="Courier New"/>
                <w:sz w:val="12"/>
                <w:szCs w:val="12"/>
                <w:color w:val="auto"/>
              </w:rPr>
              <w:t>CONDITIONS PRECEDENT--INTENTIONALLY DELETED</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73</w:t>
            </w:r>
          </w:p>
        </w:tc>
      </w:tr>
      <w:tr>
        <w:trPr>
          <w:trHeight w:val="283"/>
        </w:trPr>
        <w:tc>
          <w:tcPr>
            <w:tcW w:w="800" w:type="dxa"/>
            <w:vAlign w:val="bottom"/>
          </w:tcPr>
          <w:p>
            <w:pPr>
              <w:spacing w:after="0"/>
              <w:rPr>
                <w:sz w:val="20"/>
                <w:szCs w:val="20"/>
                <w:color w:val="auto"/>
              </w:rPr>
            </w:pPr>
            <w:r>
              <w:rPr>
                <w:rFonts w:ascii="Courier New" w:cs="Courier New" w:eastAsia="Courier New" w:hAnsi="Courier New"/>
                <w:sz w:val="12"/>
                <w:szCs w:val="12"/>
                <w:color w:val="auto"/>
              </w:rPr>
              <w:t>5.</w:t>
            </w:r>
          </w:p>
        </w:tc>
        <w:tc>
          <w:tcPr>
            <w:tcW w:w="5160" w:type="dxa"/>
            <w:vAlign w:val="bottom"/>
          </w:tcPr>
          <w:p>
            <w:pPr>
              <w:ind w:left="80"/>
              <w:spacing w:after="0"/>
              <w:rPr>
                <w:sz w:val="20"/>
                <w:szCs w:val="20"/>
                <w:color w:val="auto"/>
              </w:rPr>
            </w:pPr>
            <w:r>
              <w:rPr>
                <w:rFonts w:ascii="Courier New" w:cs="Courier New" w:eastAsia="Courier New" w:hAnsi="Courier New"/>
                <w:sz w:val="12"/>
                <w:szCs w:val="12"/>
                <w:color w:val="auto"/>
              </w:rPr>
              <w:t>AVAILABILITY OF CREDITS--INTENTIONALLY DELETED</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73</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5.1.</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Availability</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73</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5.2.</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Advances</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73</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5.3.</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Letters of Credit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73</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5.4.</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Hedging</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73</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5.5.</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Applications to All Banks</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73</w:t>
            </w:r>
          </w:p>
        </w:tc>
      </w:tr>
      <w:tr>
        <w:trPr>
          <w:trHeight w:val="283"/>
        </w:trPr>
        <w:tc>
          <w:tcPr>
            <w:tcW w:w="800" w:type="dxa"/>
            <w:vAlign w:val="bottom"/>
          </w:tcPr>
          <w:p>
            <w:pPr>
              <w:spacing w:after="0"/>
              <w:rPr>
                <w:sz w:val="20"/>
                <w:szCs w:val="20"/>
                <w:color w:val="auto"/>
              </w:rPr>
            </w:pPr>
            <w:r>
              <w:rPr>
                <w:rFonts w:ascii="Courier New" w:cs="Courier New" w:eastAsia="Courier New" w:hAnsi="Courier New"/>
                <w:sz w:val="12"/>
                <w:szCs w:val="12"/>
                <w:color w:val="auto"/>
              </w:rPr>
              <w:t>6.</w:t>
            </w:r>
          </w:p>
        </w:tc>
        <w:tc>
          <w:tcPr>
            <w:tcW w:w="5160" w:type="dxa"/>
            <w:vAlign w:val="bottom"/>
          </w:tcPr>
          <w:p>
            <w:pPr>
              <w:ind w:left="80"/>
              <w:spacing w:after="0"/>
              <w:rPr>
                <w:sz w:val="20"/>
                <w:szCs w:val="20"/>
                <w:color w:val="auto"/>
              </w:rPr>
            </w:pPr>
            <w:r>
              <w:rPr>
                <w:rFonts w:ascii="Courier New" w:cs="Courier New" w:eastAsia="Courier New" w:hAnsi="Courier New"/>
                <w:sz w:val="12"/>
                <w:szCs w:val="12"/>
                <w:color w:val="auto"/>
              </w:rPr>
              <w:t>REPAYMENT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74</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6.1.</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Repayment of Loans</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74</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6.2.</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Payment of all other Sums Due on the Final Maturity Date</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74</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6.3.</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Repayment in US Dollars</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74</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6.4.</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Repayments to Payments Accounts</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74</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6.5.</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No Reborrowing</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74</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6.6.</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No Commitments</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74</w:t>
            </w:r>
          </w:p>
        </w:tc>
      </w:tr>
      <w:tr>
        <w:trPr>
          <w:trHeight w:val="283"/>
        </w:trPr>
        <w:tc>
          <w:tcPr>
            <w:tcW w:w="800" w:type="dxa"/>
            <w:vAlign w:val="bottom"/>
          </w:tcPr>
          <w:p>
            <w:pPr>
              <w:spacing w:after="0"/>
              <w:rPr>
                <w:sz w:val="20"/>
                <w:szCs w:val="20"/>
                <w:color w:val="auto"/>
              </w:rPr>
            </w:pPr>
            <w:r>
              <w:rPr>
                <w:rFonts w:ascii="Courier New" w:cs="Courier New" w:eastAsia="Courier New" w:hAnsi="Courier New"/>
                <w:sz w:val="12"/>
                <w:szCs w:val="12"/>
                <w:color w:val="auto"/>
              </w:rPr>
              <w:t>7.</w:t>
            </w:r>
          </w:p>
        </w:tc>
        <w:tc>
          <w:tcPr>
            <w:tcW w:w="5160" w:type="dxa"/>
            <w:vAlign w:val="bottom"/>
          </w:tcPr>
          <w:p>
            <w:pPr>
              <w:ind w:left="80"/>
              <w:spacing w:after="0"/>
              <w:rPr>
                <w:sz w:val="20"/>
                <w:szCs w:val="20"/>
                <w:color w:val="auto"/>
              </w:rPr>
            </w:pPr>
            <w:r>
              <w:rPr>
                <w:rFonts w:ascii="Courier New" w:cs="Courier New" w:eastAsia="Courier New" w:hAnsi="Courier New"/>
                <w:sz w:val="12"/>
                <w:szCs w:val="12"/>
                <w:color w:val="auto"/>
              </w:rPr>
              <w:t>VOLUNTARY PREPAYMENT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74</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7.1.</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Voluntary Prepayment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74</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7.2.</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Notice of Prepayment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75</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7.3.</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No Other Prepayments</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75</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7.4.</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No Reborrowing</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75</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7.5.</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Prepayment Commissions</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75</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7.6.</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Prepayment to Payments Account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75</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7.7.</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Prepayments together with Interest and Other Sums Owed</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76</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7.8.</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Cancellation</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76</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7.9.</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Limits on Prepayment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76</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7.10.</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Currency for Prepayment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77</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7.11.</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Selection of Instalments for Voluntary Prepayment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77</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7.12.</w:t>
            </w:r>
          </w:p>
        </w:tc>
        <w:tc>
          <w:tcPr>
            <w:tcW w:w="5160" w:type="dxa"/>
            <w:vAlign w:val="bottom"/>
          </w:tcPr>
          <w:p>
            <w:pPr>
              <w:ind w:left="300"/>
              <w:spacing w:after="0"/>
              <w:rPr>
                <w:sz w:val="20"/>
                <w:szCs w:val="20"/>
                <w:color w:val="auto"/>
              </w:rPr>
            </w:pPr>
            <w:r>
              <w:rPr>
                <w:rFonts w:ascii="Courier New" w:cs="Courier New" w:eastAsia="Courier New" w:hAnsi="Courier New"/>
                <w:sz w:val="12"/>
                <w:szCs w:val="12"/>
                <w:color w:val="auto"/>
              </w:rPr>
              <w:t>Prepayment Pursuant to Clause 6.1.1</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77</w:t>
            </w:r>
          </w:p>
        </w:tc>
      </w:tr>
      <w:tr>
        <w:trPr>
          <w:trHeight w:val="425"/>
        </w:trPr>
        <w:tc>
          <w:tcPr>
            <w:tcW w:w="800" w:type="dxa"/>
            <w:vAlign w:val="bottom"/>
          </w:tcPr>
          <w:p>
            <w:pPr>
              <w:spacing w:after="0"/>
              <w:rPr>
                <w:sz w:val="24"/>
                <w:szCs w:val="24"/>
                <w:color w:val="auto"/>
              </w:rPr>
            </w:pPr>
          </w:p>
        </w:tc>
        <w:tc>
          <w:tcPr>
            <w:tcW w:w="5160" w:type="dxa"/>
            <w:vAlign w:val="bottom"/>
          </w:tcPr>
          <w:p>
            <w:pPr>
              <w:jc w:val="center"/>
              <w:ind w:right="759"/>
              <w:spacing w:after="0"/>
              <w:rPr>
                <w:sz w:val="20"/>
                <w:szCs w:val="20"/>
                <w:color w:val="auto"/>
              </w:rPr>
            </w:pPr>
            <w:r>
              <w:rPr>
                <w:rFonts w:ascii="Courier New" w:cs="Courier New" w:eastAsia="Courier New" w:hAnsi="Courier New"/>
                <w:sz w:val="12"/>
                <w:szCs w:val="12"/>
                <w:color w:val="auto"/>
              </w:rPr>
              <w:t>(i)</w:t>
            </w:r>
          </w:p>
        </w:tc>
        <w:tc>
          <w:tcPr>
            <w:tcW w:w="1020" w:type="dxa"/>
            <w:vAlign w:val="bottom"/>
          </w:tcPr>
          <w:p>
            <w:pPr>
              <w:spacing w:after="0"/>
              <w:rPr>
                <w:sz w:val="24"/>
                <w:szCs w:val="24"/>
                <w:color w:val="auto"/>
              </w:rPr>
            </w:pPr>
          </w:p>
        </w:tc>
      </w:tr>
      <w:tr>
        <w:trPr>
          <w:trHeight w:val="689"/>
        </w:trPr>
        <w:tc>
          <w:tcPr>
            <w:tcW w:w="800" w:type="dxa"/>
            <w:vAlign w:val="bottom"/>
          </w:tcPr>
          <w:p>
            <w:pPr>
              <w:spacing w:after="0"/>
              <w:rPr>
                <w:sz w:val="24"/>
                <w:szCs w:val="24"/>
                <w:color w:val="auto"/>
              </w:rPr>
            </w:pPr>
          </w:p>
        </w:tc>
        <w:tc>
          <w:tcPr>
            <w:tcW w:w="5160" w:type="dxa"/>
            <w:vAlign w:val="bottom"/>
          </w:tcPr>
          <w:p>
            <w:pPr>
              <w:jc w:val="center"/>
              <w:ind w:right="739"/>
              <w:spacing w:after="0"/>
              <w:rPr>
                <w:sz w:val="20"/>
                <w:szCs w:val="20"/>
                <w:color w:val="auto"/>
              </w:rPr>
            </w:pPr>
            <w:r>
              <w:rPr>
                <w:rFonts w:ascii="Courier New" w:cs="Courier New" w:eastAsia="Courier New" w:hAnsi="Courier New"/>
                <w:sz w:val="12"/>
                <w:szCs w:val="12"/>
                <w:color w:val="auto"/>
              </w:rPr>
              <w:t>TABLE OF CONTENTS</w:t>
            </w:r>
          </w:p>
        </w:tc>
        <w:tc>
          <w:tcPr>
            <w:tcW w:w="1020" w:type="dxa"/>
            <w:vAlign w:val="bottom"/>
          </w:tcPr>
          <w:p>
            <w:pPr>
              <w:spacing w:after="0"/>
              <w:rPr>
                <w:sz w:val="24"/>
                <w:szCs w:val="24"/>
                <w:color w:val="auto"/>
              </w:rPr>
            </w:pPr>
          </w:p>
        </w:tc>
      </w:tr>
      <w:tr>
        <w:trPr>
          <w:trHeight w:val="142"/>
        </w:trPr>
        <w:tc>
          <w:tcPr>
            <w:tcW w:w="800" w:type="dxa"/>
            <w:vAlign w:val="bottom"/>
          </w:tcPr>
          <w:p>
            <w:pPr>
              <w:spacing w:after="0"/>
              <w:rPr>
                <w:sz w:val="12"/>
                <w:szCs w:val="12"/>
                <w:color w:val="auto"/>
              </w:rPr>
            </w:pPr>
          </w:p>
        </w:tc>
        <w:tc>
          <w:tcPr>
            <w:tcW w:w="5160" w:type="dxa"/>
            <w:vAlign w:val="bottom"/>
          </w:tcPr>
          <w:p>
            <w:pPr>
              <w:jc w:val="center"/>
              <w:ind w:right="739"/>
              <w:spacing w:after="0"/>
              <w:rPr>
                <w:sz w:val="20"/>
                <w:szCs w:val="20"/>
                <w:color w:val="auto"/>
              </w:rPr>
            </w:pPr>
            <w:r>
              <w:rPr>
                <w:rFonts w:ascii="Courier New" w:cs="Courier New" w:eastAsia="Courier New" w:hAnsi="Courier New"/>
                <w:sz w:val="12"/>
                <w:szCs w:val="12"/>
                <w:color w:val="auto"/>
              </w:rPr>
              <w:t>(CONTINUED)</w:t>
            </w:r>
          </w:p>
        </w:tc>
        <w:tc>
          <w:tcPr>
            <w:tcW w:w="1020" w:type="dxa"/>
            <w:vAlign w:val="bottom"/>
          </w:tcPr>
          <w:p>
            <w:pPr>
              <w:spacing w:after="0"/>
              <w:rPr>
                <w:sz w:val="12"/>
                <w:szCs w:val="12"/>
                <w:color w:val="auto"/>
              </w:rPr>
            </w:pPr>
          </w:p>
        </w:tc>
      </w:tr>
      <w:tr>
        <w:trPr>
          <w:trHeight w:val="283"/>
        </w:trPr>
        <w:tc>
          <w:tcPr>
            <w:tcW w:w="800" w:type="dxa"/>
            <w:vAlign w:val="bottom"/>
          </w:tcPr>
          <w:p>
            <w:pPr>
              <w:spacing w:after="0"/>
              <w:rPr>
                <w:sz w:val="20"/>
                <w:szCs w:val="20"/>
                <w:color w:val="auto"/>
              </w:rPr>
            </w:pPr>
            <w:r>
              <w:rPr>
                <w:rFonts w:ascii="Courier New" w:cs="Courier New" w:eastAsia="Courier New" w:hAnsi="Courier New"/>
                <w:sz w:val="12"/>
                <w:szCs w:val="12"/>
                <w:color w:val="auto"/>
              </w:rPr>
              <w:t>CLAUSE NO.</w:t>
            </w:r>
          </w:p>
        </w:tc>
        <w:tc>
          <w:tcPr>
            <w:tcW w:w="5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PAGE</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0" w:type="dxa"/>
            <w:vAlign w:val="bottom"/>
          </w:tcPr>
          <w:p>
            <w:pPr>
              <w:spacing w:after="0"/>
              <w:rPr>
                <w:sz w:val="20"/>
                <w:szCs w:val="20"/>
                <w:color w:val="auto"/>
              </w:rPr>
            </w:pPr>
            <w:r>
              <w:rPr>
                <w:rFonts w:ascii="Courier New" w:cs="Courier New" w:eastAsia="Courier New" w:hAnsi="Courier New"/>
                <w:sz w:val="12"/>
                <w:szCs w:val="12"/>
                <w:color w:val="auto"/>
              </w:rPr>
              <w:t>8.</w:t>
            </w:r>
          </w:p>
        </w:tc>
        <w:tc>
          <w:tcPr>
            <w:tcW w:w="5660" w:type="dxa"/>
            <w:vAlign w:val="bottom"/>
          </w:tcPr>
          <w:p>
            <w:pPr>
              <w:ind w:left="260"/>
              <w:spacing w:after="0"/>
              <w:rPr>
                <w:sz w:val="20"/>
                <w:szCs w:val="20"/>
                <w:color w:val="auto"/>
              </w:rPr>
            </w:pPr>
            <w:r>
              <w:rPr>
                <w:rFonts w:ascii="Courier New" w:cs="Courier New" w:eastAsia="Courier New" w:hAnsi="Courier New"/>
                <w:sz w:val="12"/>
                <w:szCs w:val="12"/>
                <w:color w:val="auto"/>
              </w:rPr>
              <w:t>MANDATORY PREPAYMENT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77</w:t>
            </w:r>
          </w:p>
        </w:tc>
      </w:tr>
      <w:tr>
        <w:trPr>
          <w:trHeight w:val="142"/>
        </w:trPr>
        <w:tc>
          <w:tcPr>
            <w:tcW w:w="620" w:type="dxa"/>
            <w:vAlign w:val="bottom"/>
          </w:tcPr>
          <w:p>
            <w:pPr>
              <w:spacing w:after="0"/>
              <w:rPr>
                <w:sz w:val="20"/>
                <w:szCs w:val="20"/>
                <w:color w:val="auto"/>
              </w:rPr>
            </w:pPr>
            <w:r>
              <w:rPr>
                <w:rFonts w:ascii="Courier New" w:cs="Courier New" w:eastAsia="Courier New" w:hAnsi="Courier New"/>
                <w:sz w:val="12"/>
                <w:szCs w:val="12"/>
                <w:color w:val="auto"/>
              </w:rPr>
              <w:t>8.1.</w:t>
            </w:r>
          </w:p>
        </w:tc>
        <w:tc>
          <w:tcPr>
            <w:tcW w:w="5660" w:type="dxa"/>
            <w:vAlign w:val="bottom"/>
          </w:tcPr>
          <w:p>
            <w:pPr>
              <w:ind w:left="480"/>
              <w:spacing w:after="0"/>
              <w:rPr>
                <w:sz w:val="20"/>
                <w:szCs w:val="20"/>
                <w:color w:val="auto"/>
              </w:rPr>
            </w:pPr>
            <w:r>
              <w:rPr>
                <w:rFonts w:ascii="Courier New" w:cs="Courier New" w:eastAsia="Courier New" w:hAnsi="Courier New"/>
                <w:sz w:val="12"/>
                <w:szCs w:val="12"/>
                <w:color w:val="auto"/>
              </w:rPr>
              <w:t>Mandatory Prepayment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77</w:t>
            </w:r>
          </w:p>
        </w:tc>
      </w:tr>
      <w:tr>
        <w:trPr>
          <w:trHeight w:val="142"/>
        </w:trPr>
        <w:tc>
          <w:tcPr>
            <w:tcW w:w="620" w:type="dxa"/>
            <w:vAlign w:val="bottom"/>
          </w:tcPr>
          <w:p>
            <w:pPr>
              <w:spacing w:after="0"/>
              <w:rPr>
                <w:sz w:val="20"/>
                <w:szCs w:val="20"/>
                <w:color w:val="auto"/>
              </w:rPr>
            </w:pPr>
            <w:r>
              <w:rPr>
                <w:rFonts w:ascii="Courier New" w:cs="Courier New" w:eastAsia="Courier New" w:hAnsi="Courier New"/>
                <w:sz w:val="12"/>
                <w:szCs w:val="12"/>
                <w:color w:val="auto"/>
              </w:rPr>
              <w:t>8.2.</w:t>
            </w:r>
          </w:p>
        </w:tc>
        <w:tc>
          <w:tcPr>
            <w:tcW w:w="5660" w:type="dxa"/>
            <w:vAlign w:val="bottom"/>
          </w:tcPr>
          <w:p>
            <w:pPr>
              <w:ind w:left="480"/>
              <w:spacing w:after="0"/>
              <w:rPr>
                <w:sz w:val="20"/>
                <w:szCs w:val="20"/>
                <w:color w:val="auto"/>
              </w:rPr>
            </w:pPr>
            <w:r>
              <w:rPr>
                <w:rFonts w:ascii="Courier New" w:cs="Courier New" w:eastAsia="Courier New" w:hAnsi="Courier New"/>
                <w:sz w:val="12"/>
                <w:szCs w:val="12"/>
                <w:color w:val="auto"/>
              </w:rPr>
              <w:t>No Reborrowing of Mandatory Prepayment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78</w:t>
            </w:r>
          </w:p>
        </w:tc>
      </w:tr>
      <w:tr>
        <w:trPr>
          <w:trHeight w:val="142"/>
        </w:trPr>
        <w:tc>
          <w:tcPr>
            <w:tcW w:w="620" w:type="dxa"/>
            <w:vAlign w:val="bottom"/>
          </w:tcPr>
          <w:p>
            <w:pPr>
              <w:spacing w:after="0"/>
              <w:rPr>
                <w:sz w:val="20"/>
                <w:szCs w:val="20"/>
                <w:color w:val="auto"/>
              </w:rPr>
            </w:pPr>
            <w:r>
              <w:rPr>
                <w:rFonts w:ascii="Courier New" w:cs="Courier New" w:eastAsia="Courier New" w:hAnsi="Courier New"/>
                <w:sz w:val="12"/>
                <w:szCs w:val="12"/>
                <w:color w:val="auto"/>
              </w:rPr>
              <w:t>8.3.</w:t>
            </w:r>
          </w:p>
        </w:tc>
        <w:tc>
          <w:tcPr>
            <w:tcW w:w="5660" w:type="dxa"/>
            <w:vAlign w:val="bottom"/>
          </w:tcPr>
          <w:p>
            <w:pPr>
              <w:ind w:left="480"/>
              <w:spacing w:after="0"/>
              <w:rPr>
                <w:sz w:val="20"/>
                <w:szCs w:val="20"/>
                <w:color w:val="auto"/>
              </w:rPr>
            </w:pPr>
            <w:r>
              <w:rPr>
                <w:rFonts w:ascii="Courier New" w:cs="Courier New" w:eastAsia="Courier New" w:hAnsi="Courier New"/>
                <w:sz w:val="12"/>
                <w:szCs w:val="12"/>
                <w:color w:val="auto"/>
              </w:rPr>
              <w:t>Account of Mandatory Prepayment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78</w:t>
            </w:r>
          </w:p>
        </w:tc>
      </w:tr>
      <w:tr>
        <w:trPr>
          <w:trHeight w:val="142"/>
        </w:trPr>
        <w:tc>
          <w:tcPr>
            <w:tcW w:w="620" w:type="dxa"/>
            <w:vAlign w:val="bottom"/>
          </w:tcPr>
          <w:p>
            <w:pPr>
              <w:spacing w:after="0"/>
              <w:rPr>
                <w:sz w:val="20"/>
                <w:szCs w:val="20"/>
                <w:color w:val="auto"/>
              </w:rPr>
            </w:pPr>
            <w:r>
              <w:rPr>
                <w:rFonts w:ascii="Courier New" w:cs="Courier New" w:eastAsia="Courier New" w:hAnsi="Courier New"/>
                <w:sz w:val="12"/>
                <w:szCs w:val="12"/>
                <w:color w:val="auto"/>
              </w:rPr>
              <w:t>8.4.</w:t>
            </w:r>
          </w:p>
        </w:tc>
        <w:tc>
          <w:tcPr>
            <w:tcW w:w="5660" w:type="dxa"/>
            <w:vAlign w:val="bottom"/>
          </w:tcPr>
          <w:p>
            <w:pPr>
              <w:ind w:left="480"/>
              <w:spacing w:after="0"/>
              <w:rPr>
                <w:sz w:val="20"/>
                <w:szCs w:val="20"/>
                <w:color w:val="auto"/>
              </w:rPr>
            </w:pPr>
            <w:r>
              <w:rPr>
                <w:rFonts w:ascii="Courier New" w:cs="Courier New" w:eastAsia="Courier New" w:hAnsi="Courier New"/>
                <w:sz w:val="12"/>
                <w:szCs w:val="12"/>
                <w:color w:val="auto"/>
              </w:rPr>
              <w:t>Mandatory Prepayment together with Interest and Other Sums Owed</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79</w:t>
            </w:r>
          </w:p>
        </w:tc>
      </w:tr>
      <w:tr>
        <w:trPr>
          <w:trHeight w:val="142"/>
        </w:trPr>
        <w:tc>
          <w:tcPr>
            <w:tcW w:w="620" w:type="dxa"/>
            <w:vAlign w:val="bottom"/>
          </w:tcPr>
          <w:p>
            <w:pPr>
              <w:spacing w:after="0"/>
              <w:rPr>
                <w:sz w:val="20"/>
                <w:szCs w:val="20"/>
                <w:color w:val="auto"/>
              </w:rPr>
            </w:pPr>
            <w:r>
              <w:rPr>
                <w:rFonts w:ascii="Courier New" w:cs="Courier New" w:eastAsia="Courier New" w:hAnsi="Courier New"/>
                <w:sz w:val="12"/>
                <w:szCs w:val="12"/>
                <w:color w:val="auto"/>
              </w:rPr>
              <w:t>8.5.</w:t>
            </w:r>
          </w:p>
        </w:tc>
        <w:tc>
          <w:tcPr>
            <w:tcW w:w="5660" w:type="dxa"/>
            <w:vAlign w:val="bottom"/>
          </w:tcPr>
          <w:p>
            <w:pPr>
              <w:ind w:left="480"/>
              <w:spacing w:after="0"/>
              <w:rPr>
                <w:sz w:val="20"/>
                <w:szCs w:val="20"/>
                <w:color w:val="auto"/>
              </w:rPr>
            </w:pPr>
            <w:r>
              <w:rPr>
                <w:rFonts w:ascii="Courier New" w:cs="Courier New" w:eastAsia="Courier New" w:hAnsi="Courier New"/>
                <w:sz w:val="12"/>
                <w:szCs w:val="12"/>
                <w:color w:val="auto"/>
              </w:rPr>
              <w:t>Currency for Mandatory Prepayment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79</w:t>
            </w:r>
          </w:p>
        </w:tc>
      </w:tr>
      <w:tr>
        <w:trPr>
          <w:trHeight w:val="142"/>
        </w:trPr>
        <w:tc>
          <w:tcPr>
            <w:tcW w:w="620" w:type="dxa"/>
            <w:vAlign w:val="bottom"/>
          </w:tcPr>
          <w:p>
            <w:pPr>
              <w:spacing w:after="0"/>
              <w:rPr>
                <w:sz w:val="20"/>
                <w:szCs w:val="20"/>
                <w:color w:val="auto"/>
              </w:rPr>
            </w:pPr>
            <w:r>
              <w:rPr>
                <w:rFonts w:ascii="Courier New" w:cs="Courier New" w:eastAsia="Courier New" w:hAnsi="Courier New"/>
                <w:sz w:val="12"/>
                <w:szCs w:val="12"/>
                <w:color w:val="auto"/>
              </w:rPr>
              <w:t>8.6.</w:t>
            </w:r>
          </w:p>
        </w:tc>
        <w:tc>
          <w:tcPr>
            <w:tcW w:w="5660" w:type="dxa"/>
            <w:vAlign w:val="bottom"/>
          </w:tcPr>
          <w:p>
            <w:pPr>
              <w:ind w:left="480"/>
              <w:spacing w:after="0"/>
              <w:rPr>
                <w:sz w:val="20"/>
                <w:szCs w:val="20"/>
                <w:color w:val="auto"/>
              </w:rPr>
            </w:pPr>
            <w:r>
              <w:rPr>
                <w:rFonts w:ascii="Courier New" w:cs="Courier New" w:eastAsia="Courier New" w:hAnsi="Courier New"/>
                <w:sz w:val="12"/>
                <w:szCs w:val="12"/>
                <w:color w:val="auto"/>
              </w:rPr>
              <w:t>Schedule for Mandatory Prepayment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79</w:t>
            </w:r>
          </w:p>
        </w:tc>
      </w:tr>
      <w:tr>
        <w:trPr>
          <w:trHeight w:val="283"/>
        </w:trPr>
        <w:tc>
          <w:tcPr>
            <w:tcW w:w="620" w:type="dxa"/>
            <w:vAlign w:val="bottom"/>
          </w:tcPr>
          <w:p>
            <w:pPr>
              <w:spacing w:after="0"/>
              <w:rPr>
                <w:sz w:val="20"/>
                <w:szCs w:val="20"/>
                <w:color w:val="auto"/>
              </w:rPr>
            </w:pPr>
            <w:r>
              <w:rPr>
                <w:rFonts w:ascii="Courier New" w:cs="Courier New" w:eastAsia="Courier New" w:hAnsi="Courier New"/>
                <w:sz w:val="12"/>
                <w:szCs w:val="12"/>
                <w:color w:val="auto"/>
              </w:rPr>
              <w:t>9.</w:t>
            </w:r>
          </w:p>
        </w:tc>
        <w:tc>
          <w:tcPr>
            <w:tcW w:w="5660" w:type="dxa"/>
            <w:vAlign w:val="bottom"/>
          </w:tcPr>
          <w:p>
            <w:pPr>
              <w:ind w:left="260"/>
              <w:spacing w:after="0"/>
              <w:rPr>
                <w:sz w:val="20"/>
                <w:szCs w:val="20"/>
                <w:color w:val="auto"/>
              </w:rPr>
            </w:pPr>
            <w:r>
              <w:rPr>
                <w:rFonts w:ascii="Courier New" w:cs="Courier New" w:eastAsia="Courier New" w:hAnsi="Courier New"/>
                <w:sz w:val="12"/>
                <w:szCs w:val="12"/>
                <w:color w:val="auto"/>
              </w:rPr>
              <w:t>INTEREST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79</w:t>
            </w:r>
          </w:p>
        </w:tc>
      </w:tr>
      <w:tr>
        <w:trPr>
          <w:trHeight w:val="142"/>
        </w:trPr>
        <w:tc>
          <w:tcPr>
            <w:tcW w:w="620" w:type="dxa"/>
            <w:vAlign w:val="bottom"/>
          </w:tcPr>
          <w:p>
            <w:pPr>
              <w:spacing w:after="0"/>
              <w:rPr>
                <w:sz w:val="20"/>
                <w:szCs w:val="20"/>
                <w:color w:val="auto"/>
              </w:rPr>
            </w:pPr>
            <w:r>
              <w:rPr>
                <w:rFonts w:ascii="Courier New" w:cs="Courier New" w:eastAsia="Courier New" w:hAnsi="Courier New"/>
                <w:sz w:val="12"/>
                <w:szCs w:val="12"/>
                <w:color w:val="auto"/>
              </w:rPr>
              <w:t>9.1.</w:t>
            </w:r>
          </w:p>
        </w:tc>
        <w:tc>
          <w:tcPr>
            <w:tcW w:w="5660" w:type="dxa"/>
            <w:vAlign w:val="bottom"/>
          </w:tcPr>
          <w:p>
            <w:pPr>
              <w:ind w:left="480"/>
              <w:spacing w:after="0"/>
              <w:rPr>
                <w:sz w:val="20"/>
                <w:szCs w:val="20"/>
                <w:color w:val="auto"/>
              </w:rPr>
            </w:pPr>
            <w:r>
              <w:rPr>
                <w:rFonts w:ascii="Courier New" w:cs="Courier New" w:eastAsia="Courier New" w:hAnsi="Courier New"/>
                <w:sz w:val="12"/>
                <w:szCs w:val="12"/>
                <w:color w:val="auto"/>
              </w:rPr>
              <w:t>Interest Rate</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79</w:t>
            </w:r>
          </w:p>
        </w:tc>
      </w:tr>
      <w:tr>
        <w:trPr>
          <w:trHeight w:val="142"/>
        </w:trPr>
        <w:tc>
          <w:tcPr>
            <w:tcW w:w="620" w:type="dxa"/>
            <w:vAlign w:val="bottom"/>
          </w:tcPr>
          <w:p>
            <w:pPr>
              <w:spacing w:after="0"/>
              <w:rPr>
                <w:sz w:val="20"/>
                <w:szCs w:val="20"/>
                <w:color w:val="auto"/>
              </w:rPr>
            </w:pPr>
            <w:r>
              <w:rPr>
                <w:rFonts w:ascii="Courier New" w:cs="Courier New" w:eastAsia="Courier New" w:hAnsi="Courier New"/>
                <w:sz w:val="12"/>
                <w:szCs w:val="12"/>
                <w:color w:val="auto"/>
              </w:rPr>
              <w:t>9.2.</w:t>
            </w:r>
          </w:p>
        </w:tc>
        <w:tc>
          <w:tcPr>
            <w:tcW w:w="5660" w:type="dxa"/>
            <w:vAlign w:val="bottom"/>
          </w:tcPr>
          <w:p>
            <w:pPr>
              <w:ind w:left="480"/>
              <w:spacing w:after="0"/>
              <w:rPr>
                <w:sz w:val="20"/>
                <w:szCs w:val="20"/>
                <w:color w:val="auto"/>
              </w:rPr>
            </w:pPr>
            <w:r>
              <w:rPr>
                <w:rFonts w:ascii="Courier New" w:cs="Courier New" w:eastAsia="Courier New" w:hAnsi="Courier New"/>
                <w:sz w:val="12"/>
                <w:szCs w:val="12"/>
                <w:color w:val="auto"/>
              </w:rPr>
              <w:t>Accrual of Interest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80</w:t>
            </w:r>
          </w:p>
        </w:tc>
      </w:tr>
      <w:tr>
        <w:trPr>
          <w:trHeight w:val="142"/>
        </w:trPr>
        <w:tc>
          <w:tcPr>
            <w:tcW w:w="620" w:type="dxa"/>
            <w:vAlign w:val="bottom"/>
          </w:tcPr>
          <w:p>
            <w:pPr>
              <w:spacing w:after="0"/>
              <w:rPr>
                <w:sz w:val="20"/>
                <w:szCs w:val="20"/>
                <w:color w:val="auto"/>
              </w:rPr>
            </w:pPr>
            <w:r>
              <w:rPr>
                <w:rFonts w:ascii="Courier New" w:cs="Courier New" w:eastAsia="Courier New" w:hAnsi="Courier New"/>
                <w:sz w:val="12"/>
                <w:szCs w:val="12"/>
                <w:color w:val="auto"/>
              </w:rPr>
              <w:t>9.3.</w:t>
            </w:r>
          </w:p>
        </w:tc>
        <w:tc>
          <w:tcPr>
            <w:tcW w:w="5660" w:type="dxa"/>
            <w:vAlign w:val="bottom"/>
          </w:tcPr>
          <w:p>
            <w:pPr>
              <w:ind w:left="480"/>
              <w:spacing w:after="0"/>
              <w:rPr>
                <w:sz w:val="20"/>
                <w:szCs w:val="20"/>
                <w:color w:val="auto"/>
              </w:rPr>
            </w:pPr>
            <w:r>
              <w:rPr>
                <w:rFonts w:ascii="Courier New" w:cs="Courier New" w:eastAsia="Courier New" w:hAnsi="Courier New"/>
                <w:sz w:val="12"/>
                <w:szCs w:val="12"/>
                <w:color w:val="auto"/>
              </w:rPr>
              <w:t>Payment of Interest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80</w:t>
            </w:r>
          </w:p>
        </w:tc>
      </w:tr>
      <w:tr>
        <w:trPr>
          <w:trHeight w:val="142"/>
        </w:trPr>
        <w:tc>
          <w:tcPr>
            <w:tcW w:w="620" w:type="dxa"/>
            <w:vAlign w:val="bottom"/>
          </w:tcPr>
          <w:p>
            <w:pPr>
              <w:spacing w:after="0"/>
              <w:rPr>
                <w:sz w:val="20"/>
                <w:szCs w:val="20"/>
                <w:color w:val="auto"/>
              </w:rPr>
            </w:pPr>
            <w:r>
              <w:rPr>
                <w:rFonts w:ascii="Courier New" w:cs="Courier New" w:eastAsia="Courier New" w:hAnsi="Courier New"/>
                <w:sz w:val="12"/>
                <w:szCs w:val="12"/>
                <w:color w:val="auto"/>
              </w:rPr>
              <w:t>9.4.</w:t>
            </w:r>
          </w:p>
        </w:tc>
        <w:tc>
          <w:tcPr>
            <w:tcW w:w="5660" w:type="dxa"/>
            <w:vAlign w:val="bottom"/>
          </w:tcPr>
          <w:p>
            <w:pPr>
              <w:ind w:left="480"/>
              <w:spacing w:after="0"/>
              <w:rPr>
                <w:sz w:val="20"/>
                <w:szCs w:val="20"/>
                <w:color w:val="auto"/>
              </w:rPr>
            </w:pPr>
            <w:r>
              <w:rPr>
                <w:rFonts w:ascii="Courier New" w:cs="Courier New" w:eastAsia="Courier New" w:hAnsi="Courier New"/>
                <w:sz w:val="12"/>
                <w:szCs w:val="12"/>
                <w:color w:val="auto"/>
              </w:rPr>
              <w:t>Certain Compensatory Payments</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80</w:t>
            </w:r>
          </w:p>
        </w:tc>
      </w:tr>
      <w:tr>
        <w:trPr>
          <w:trHeight w:val="283"/>
        </w:trPr>
        <w:tc>
          <w:tcPr>
            <w:tcW w:w="620" w:type="dxa"/>
            <w:vAlign w:val="bottom"/>
          </w:tcPr>
          <w:p>
            <w:pPr>
              <w:spacing w:after="0"/>
              <w:rPr>
                <w:sz w:val="20"/>
                <w:szCs w:val="20"/>
                <w:color w:val="auto"/>
              </w:rPr>
            </w:pPr>
            <w:r>
              <w:rPr>
                <w:rFonts w:ascii="Courier New" w:cs="Courier New" w:eastAsia="Courier New" w:hAnsi="Courier New"/>
                <w:sz w:val="12"/>
                <w:szCs w:val="12"/>
                <w:color w:val="auto"/>
              </w:rPr>
              <w:t>10.</w:t>
            </w:r>
          </w:p>
        </w:tc>
        <w:tc>
          <w:tcPr>
            <w:tcW w:w="5660" w:type="dxa"/>
            <w:vAlign w:val="bottom"/>
          </w:tcPr>
          <w:p>
            <w:pPr>
              <w:ind w:left="260"/>
              <w:spacing w:after="0"/>
              <w:rPr>
                <w:sz w:val="20"/>
                <w:szCs w:val="20"/>
                <w:color w:val="auto"/>
              </w:rPr>
            </w:pPr>
            <w:r>
              <w:rPr>
                <w:rFonts w:ascii="Courier New" w:cs="Courier New" w:eastAsia="Courier New" w:hAnsi="Courier New"/>
                <w:sz w:val="12"/>
                <w:szCs w:val="12"/>
                <w:color w:val="auto"/>
              </w:rPr>
              <w:t>SUBSTITUTE INTEREST RATES</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84</w:t>
            </w:r>
          </w:p>
        </w:tc>
      </w:tr>
      <w:tr>
        <w:trPr>
          <w:trHeight w:val="283"/>
        </w:trPr>
        <w:tc>
          <w:tcPr>
            <w:tcW w:w="620" w:type="dxa"/>
            <w:vAlign w:val="bottom"/>
          </w:tcPr>
          <w:p>
            <w:pPr>
              <w:spacing w:after="0"/>
              <w:rPr>
                <w:sz w:val="20"/>
                <w:szCs w:val="20"/>
                <w:color w:val="auto"/>
              </w:rPr>
            </w:pPr>
            <w:r>
              <w:rPr>
                <w:rFonts w:ascii="Courier New" w:cs="Courier New" w:eastAsia="Courier New" w:hAnsi="Courier New"/>
                <w:sz w:val="12"/>
                <w:szCs w:val="12"/>
                <w:color w:val="auto"/>
              </w:rPr>
              <w:t>11.</w:t>
            </w:r>
          </w:p>
        </w:tc>
        <w:tc>
          <w:tcPr>
            <w:tcW w:w="5660" w:type="dxa"/>
            <w:vAlign w:val="bottom"/>
          </w:tcPr>
          <w:p>
            <w:pPr>
              <w:ind w:left="260"/>
              <w:spacing w:after="0"/>
              <w:rPr>
                <w:sz w:val="20"/>
                <w:szCs w:val="20"/>
                <w:color w:val="auto"/>
              </w:rPr>
            </w:pPr>
            <w:r>
              <w:rPr>
                <w:rFonts w:ascii="Courier New" w:cs="Courier New" w:eastAsia="Courier New" w:hAnsi="Courier New"/>
                <w:sz w:val="12"/>
                <w:szCs w:val="12"/>
                <w:color w:val="auto"/>
              </w:rPr>
              <w:t>COMMISSIONS, FEES AND EXPENSES</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85</w:t>
            </w:r>
          </w:p>
        </w:tc>
      </w:tr>
      <w:tr>
        <w:trPr>
          <w:trHeight w:val="142"/>
        </w:trPr>
        <w:tc>
          <w:tcPr>
            <w:tcW w:w="620" w:type="dxa"/>
            <w:vAlign w:val="bottom"/>
          </w:tcPr>
          <w:p>
            <w:pPr>
              <w:spacing w:after="0"/>
              <w:rPr>
                <w:sz w:val="20"/>
                <w:szCs w:val="20"/>
                <w:color w:val="auto"/>
              </w:rPr>
            </w:pPr>
            <w:r>
              <w:rPr>
                <w:rFonts w:ascii="Courier New" w:cs="Courier New" w:eastAsia="Courier New" w:hAnsi="Courier New"/>
                <w:sz w:val="12"/>
                <w:szCs w:val="12"/>
                <w:color w:val="auto"/>
              </w:rPr>
              <w:t>11.1.</w:t>
            </w:r>
          </w:p>
        </w:tc>
        <w:tc>
          <w:tcPr>
            <w:tcW w:w="5660" w:type="dxa"/>
            <w:vAlign w:val="bottom"/>
          </w:tcPr>
          <w:p>
            <w:pPr>
              <w:ind w:left="480"/>
              <w:spacing w:after="0"/>
              <w:rPr>
                <w:sz w:val="20"/>
                <w:szCs w:val="20"/>
                <w:color w:val="auto"/>
              </w:rPr>
            </w:pPr>
            <w:r>
              <w:rPr>
                <w:rFonts w:ascii="Courier New" w:cs="Courier New" w:eastAsia="Courier New" w:hAnsi="Courier New"/>
                <w:sz w:val="12"/>
                <w:szCs w:val="12"/>
                <w:color w:val="auto"/>
              </w:rPr>
              <w:t>Front End Fee</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85</w:t>
            </w:r>
          </w:p>
        </w:tc>
      </w:tr>
      <w:tr>
        <w:trPr>
          <w:trHeight w:val="142"/>
        </w:trPr>
        <w:tc>
          <w:tcPr>
            <w:tcW w:w="620" w:type="dxa"/>
            <w:vAlign w:val="bottom"/>
          </w:tcPr>
          <w:p>
            <w:pPr>
              <w:spacing w:after="0"/>
              <w:rPr>
                <w:sz w:val="20"/>
                <w:szCs w:val="20"/>
                <w:color w:val="auto"/>
              </w:rPr>
            </w:pPr>
            <w:r>
              <w:rPr>
                <w:rFonts w:ascii="Courier New" w:cs="Courier New" w:eastAsia="Courier New" w:hAnsi="Courier New"/>
                <w:sz w:val="12"/>
                <w:szCs w:val="12"/>
                <w:color w:val="auto"/>
              </w:rPr>
              <w:t>11.2.</w:t>
            </w:r>
          </w:p>
        </w:tc>
        <w:tc>
          <w:tcPr>
            <w:tcW w:w="5660" w:type="dxa"/>
            <w:vAlign w:val="bottom"/>
          </w:tcPr>
          <w:p>
            <w:pPr>
              <w:ind w:left="480"/>
              <w:spacing w:after="0"/>
              <w:rPr>
                <w:sz w:val="20"/>
                <w:szCs w:val="20"/>
                <w:color w:val="auto"/>
              </w:rPr>
            </w:pPr>
            <w:r>
              <w:rPr>
                <w:rFonts w:ascii="Courier New" w:cs="Courier New" w:eastAsia="Courier New" w:hAnsi="Courier New"/>
                <w:sz w:val="12"/>
                <w:szCs w:val="12"/>
                <w:color w:val="auto"/>
              </w:rPr>
              <w:t>Commitment Commission</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85</w:t>
            </w:r>
          </w:p>
        </w:tc>
      </w:tr>
      <w:tr>
        <w:trPr>
          <w:trHeight w:val="142"/>
        </w:trPr>
        <w:tc>
          <w:tcPr>
            <w:tcW w:w="620" w:type="dxa"/>
            <w:vAlign w:val="bottom"/>
          </w:tcPr>
          <w:p>
            <w:pPr>
              <w:spacing w:after="0"/>
              <w:rPr>
                <w:sz w:val="20"/>
                <w:szCs w:val="20"/>
                <w:color w:val="auto"/>
              </w:rPr>
            </w:pPr>
            <w:r>
              <w:rPr>
                <w:rFonts w:ascii="Courier New" w:cs="Courier New" w:eastAsia="Courier New" w:hAnsi="Courier New"/>
                <w:sz w:val="12"/>
                <w:szCs w:val="12"/>
                <w:color w:val="auto"/>
              </w:rPr>
              <w:t>11.3.</w:t>
            </w:r>
          </w:p>
        </w:tc>
        <w:tc>
          <w:tcPr>
            <w:tcW w:w="5660" w:type="dxa"/>
            <w:vAlign w:val="bottom"/>
          </w:tcPr>
          <w:p>
            <w:pPr>
              <w:ind w:left="480"/>
              <w:spacing w:after="0"/>
              <w:rPr>
                <w:sz w:val="20"/>
                <w:szCs w:val="20"/>
                <w:color w:val="auto"/>
              </w:rPr>
            </w:pPr>
            <w:r>
              <w:rPr>
                <w:rFonts w:ascii="Courier New" w:cs="Courier New" w:eastAsia="Courier New" w:hAnsi="Courier New"/>
                <w:sz w:val="12"/>
                <w:szCs w:val="12"/>
                <w:color w:val="auto"/>
              </w:rPr>
              <w:t>Legal and Other Costs</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85</w:t>
            </w:r>
          </w:p>
        </w:tc>
      </w:tr>
      <w:tr>
        <w:trPr>
          <w:trHeight w:val="142"/>
        </w:trPr>
        <w:tc>
          <w:tcPr>
            <w:tcW w:w="620" w:type="dxa"/>
            <w:vAlign w:val="bottom"/>
          </w:tcPr>
          <w:p>
            <w:pPr>
              <w:spacing w:after="0"/>
              <w:rPr>
                <w:sz w:val="20"/>
                <w:szCs w:val="20"/>
                <w:color w:val="auto"/>
              </w:rPr>
            </w:pPr>
            <w:r>
              <w:rPr>
                <w:rFonts w:ascii="Courier New" w:cs="Courier New" w:eastAsia="Courier New" w:hAnsi="Courier New"/>
                <w:sz w:val="12"/>
                <w:szCs w:val="12"/>
                <w:color w:val="auto"/>
              </w:rPr>
              <w:t>11.4.</w:t>
            </w:r>
          </w:p>
        </w:tc>
        <w:tc>
          <w:tcPr>
            <w:tcW w:w="5660" w:type="dxa"/>
            <w:vAlign w:val="bottom"/>
          </w:tcPr>
          <w:p>
            <w:pPr>
              <w:ind w:left="480"/>
              <w:spacing w:after="0"/>
              <w:rPr>
                <w:sz w:val="20"/>
                <w:szCs w:val="20"/>
                <w:color w:val="auto"/>
              </w:rPr>
            </w:pPr>
            <w:r>
              <w:rPr>
                <w:rFonts w:ascii="Courier New" w:cs="Courier New" w:eastAsia="Courier New" w:hAnsi="Courier New"/>
                <w:sz w:val="12"/>
                <w:szCs w:val="12"/>
                <w:color w:val="auto"/>
              </w:rPr>
              <w:t>Consultants</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86</w:t>
            </w:r>
          </w:p>
        </w:tc>
      </w:tr>
      <w:tr>
        <w:trPr>
          <w:trHeight w:val="142"/>
        </w:trPr>
        <w:tc>
          <w:tcPr>
            <w:tcW w:w="620" w:type="dxa"/>
            <w:vAlign w:val="bottom"/>
          </w:tcPr>
          <w:p>
            <w:pPr>
              <w:spacing w:after="0"/>
              <w:rPr>
                <w:sz w:val="20"/>
                <w:szCs w:val="20"/>
                <w:color w:val="auto"/>
              </w:rPr>
            </w:pPr>
            <w:r>
              <w:rPr>
                <w:rFonts w:ascii="Courier New" w:cs="Courier New" w:eastAsia="Courier New" w:hAnsi="Courier New"/>
                <w:sz w:val="12"/>
                <w:szCs w:val="12"/>
                <w:color w:val="auto"/>
              </w:rPr>
              <w:t>11.5.</w:t>
            </w:r>
          </w:p>
        </w:tc>
        <w:tc>
          <w:tcPr>
            <w:tcW w:w="5660" w:type="dxa"/>
            <w:vAlign w:val="bottom"/>
          </w:tcPr>
          <w:p>
            <w:pPr>
              <w:ind w:left="480"/>
              <w:spacing w:after="0"/>
              <w:rPr>
                <w:sz w:val="20"/>
                <w:szCs w:val="20"/>
                <w:color w:val="auto"/>
              </w:rPr>
            </w:pPr>
            <w:r>
              <w:rPr>
                <w:rFonts w:ascii="Courier New" w:cs="Courier New" w:eastAsia="Courier New" w:hAnsi="Courier New"/>
                <w:sz w:val="12"/>
                <w:szCs w:val="12"/>
                <w:color w:val="auto"/>
              </w:rPr>
              <w:t>Stamp Duties and Like Taxes</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86</w:t>
            </w:r>
          </w:p>
        </w:tc>
      </w:tr>
      <w:tr>
        <w:trPr>
          <w:trHeight w:val="142"/>
        </w:trPr>
        <w:tc>
          <w:tcPr>
            <w:tcW w:w="620" w:type="dxa"/>
            <w:vAlign w:val="bottom"/>
          </w:tcPr>
          <w:p>
            <w:pPr>
              <w:spacing w:after="0"/>
              <w:rPr>
                <w:sz w:val="20"/>
                <w:szCs w:val="20"/>
                <w:color w:val="auto"/>
              </w:rPr>
            </w:pPr>
            <w:r>
              <w:rPr>
                <w:rFonts w:ascii="Courier New" w:cs="Courier New" w:eastAsia="Courier New" w:hAnsi="Courier New"/>
                <w:sz w:val="12"/>
                <w:szCs w:val="12"/>
                <w:color w:val="auto"/>
              </w:rPr>
              <w:t>11.6.</w:t>
            </w:r>
          </w:p>
        </w:tc>
        <w:tc>
          <w:tcPr>
            <w:tcW w:w="5660" w:type="dxa"/>
            <w:vAlign w:val="bottom"/>
          </w:tcPr>
          <w:p>
            <w:pPr>
              <w:ind w:left="480"/>
              <w:spacing w:after="0"/>
              <w:rPr>
                <w:sz w:val="20"/>
                <w:szCs w:val="20"/>
                <w:color w:val="auto"/>
              </w:rPr>
            </w:pPr>
            <w:r>
              <w:rPr>
                <w:rFonts w:ascii="Courier New" w:cs="Courier New" w:eastAsia="Courier New" w:hAnsi="Courier New"/>
                <w:sz w:val="12"/>
                <w:szCs w:val="12"/>
                <w:color w:val="auto"/>
              </w:rPr>
              <w:t>Other Commissions, Fees and Expenses</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86</w:t>
            </w:r>
          </w:p>
        </w:tc>
      </w:tr>
      <w:tr>
        <w:trPr>
          <w:trHeight w:val="142"/>
        </w:trPr>
        <w:tc>
          <w:tcPr>
            <w:tcW w:w="620" w:type="dxa"/>
            <w:vAlign w:val="bottom"/>
          </w:tcPr>
          <w:p>
            <w:pPr>
              <w:spacing w:after="0"/>
              <w:rPr>
                <w:sz w:val="20"/>
                <w:szCs w:val="20"/>
                <w:color w:val="auto"/>
              </w:rPr>
            </w:pPr>
            <w:r>
              <w:rPr>
                <w:rFonts w:ascii="Courier New" w:cs="Courier New" w:eastAsia="Courier New" w:hAnsi="Courier New"/>
                <w:sz w:val="12"/>
                <w:szCs w:val="12"/>
                <w:color w:val="auto"/>
              </w:rPr>
              <w:t>11.7.</w:t>
            </w:r>
          </w:p>
        </w:tc>
        <w:tc>
          <w:tcPr>
            <w:tcW w:w="5660" w:type="dxa"/>
            <w:vAlign w:val="bottom"/>
          </w:tcPr>
          <w:p>
            <w:pPr>
              <w:ind w:left="480"/>
              <w:spacing w:after="0"/>
              <w:rPr>
                <w:sz w:val="20"/>
                <w:szCs w:val="20"/>
                <w:color w:val="auto"/>
              </w:rPr>
            </w:pPr>
            <w:r>
              <w:rPr>
                <w:rFonts w:ascii="Courier New" w:cs="Courier New" w:eastAsia="Courier New" w:hAnsi="Courier New"/>
                <w:sz w:val="12"/>
                <w:szCs w:val="12"/>
                <w:color w:val="auto"/>
              </w:rPr>
              <w:t>Currency for Payment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87</w:t>
            </w:r>
          </w:p>
        </w:tc>
      </w:tr>
    </w:tbl>
    <w:p>
      <w:pPr>
        <w:sectPr>
          <w:pgSz w:w="11900" w:h="16865" w:orient="portrait"/>
          <w:cols w:equalWidth="0" w:num="1">
            <w:col w:w="10239"/>
          </w:cols>
          <w:pgMar w:left="220" w:top="424" w:right="1440" w:bottom="0" w:gutter="0" w:footer="0" w:header="0"/>
        </w:sectPr>
      </w:pPr>
    </w:p>
    <w:bookmarkStart w:id="71" w:name="page72"/>
    <w:bookmarkEnd w:id="71"/>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20"/>
                <w:szCs w:val="20"/>
                <w:color w:val="auto"/>
              </w:rPr>
            </w:pPr>
            <w:r>
              <w:rPr>
                <w:rFonts w:ascii="Courier New" w:cs="Courier New" w:eastAsia="Courier New" w:hAnsi="Courier New"/>
                <w:sz w:val="12"/>
                <w:szCs w:val="12"/>
                <w:color w:val="auto"/>
              </w:rPr>
              <w:t>11.8.</w:t>
            </w:r>
          </w:p>
        </w:tc>
        <w:tc>
          <w:tcPr>
            <w:tcW w:w="4380" w:type="dxa"/>
            <w:vAlign w:val="bottom"/>
          </w:tcPr>
          <w:p>
            <w:pPr>
              <w:ind w:left="300"/>
              <w:spacing w:after="0"/>
              <w:rPr>
                <w:sz w:val="20"/>
                <w:szCs w:val="20"/>
                <w:color w:val="auto"/>
              </w:rPr>
            </w:pPr>
            <w:r>
              <w:rPr>
                <w:rFonts w:ascii="Courier New" w:cs="Courier New" w:eastAsia="Courier New" w:hAnsi="Courier New"/>
                <w:sz w:val="12"/>
                <w:szCs w:val="12"/>
                <w:color w:val="auto"/>
              </w:rPr>
              <w:t>VAT</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87</w:t>
            </w:r>
          </w:p>
        </w:tc>
      </w:tr>
      <w:tr>
        <w:trPr>
          <w:trHeight w:val="283"/>
        </w:trPr>
        <w:tc>
          <w:tcPr>
            <w:tcW w:w="800" w:type="dxa"/>
            <w:vAlign w:val="bottom"/>
          </w:tcPr>
          <w:p>
            <w:pPr>
              <w:spacing w:after="0"/>
              <w:rPr>
                <w:sz w:val="20"/>
                <w:szCs w:val="20"/>
                <w:color w:val="auto"/>
              </w:rPr>
            </w:pPr>
            <w:r>
              <w:rPr>
                <w:rFonts w:ascii="Courier New" w:cs="Courier New" w:eastAsia="Courier New" w:hAnsi="Courier New"/>
                <w:sz w:val="12"/>
                <w:szCs w:val="12"/>
                <w:color w:val="auto"/>
              </w:rPr>
              <w:t>12.</w:t>
            </w:r>
          </w:p>
        </w:tc>
        <w:tc>
          <w:tcPr>
            <w:tcW w:w="4380" w:type="dxa"/>
            <w:vAlign w:val="bottom"/>
          </w:tcPr>
          <w:p>
            <w:pPr>
              <w:ind w:left="80"/>
              <w:spacing w:after="0"/>
              <w:rPr>
                <w:sz w:val="20"/>
                <w:szCs w:val="20"/>
                <w:color w:val="auto"/>
              </w:rPr>
            </w:pPr>
            <w:r>
              <w:rPr>
                <w:rFonts w:ascii="Courier New" w:cs="Courier New" w:eastAsia="Courier New" w:hAnsi="Courier New"/>
                <w:sz w:val="12"/>
                <w:szCs w:val="12"/>
                <w:color w:val="auto"/>
              </w:rPr>
              <w:t>TAXES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87</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12.1.</w:t>
            </w:r>
          </w:p>
        </w:tc>
        <w:tc>
          <w:tcPr>
            <w:tcW w:w="4380" w:type="dxa"/>
            <w:vAlign w:val="bottom"/>
          </w:tcPr>
          <w:p>
            <w:pPr>
              <w:ind w:left="300"/>
              <w:spacing w:after="0"/>
              <w:rPr>
                <w:sz w:val="20"/>
                <w:szCs w:val="20"/>
                <w:color w:val="auto"/>
              </w:rPr>
            </w:pPr>
            <w:r>
              <w:rPr>
                <w:rFonts w:ascii="Courier New" w:cs="Courier New" w:eastAsia="Courier New" w:hAnsi="Courier New"/>
                <w:sz w:val="12"/>
                <w:szCs w:val="12"/>
                <w:color w:val="auto"/>
              </w:rPr>
              <w:t>Taxes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87</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12.2.</w:t>
            </w:r>
          </w:p>
        </w:tc>
        <w:tc>
          <w:tcPr>
            <w:tcW w:w="4380" w:type="dxa"/>
            <w:vAlign w:val="bottom"/>
          </w:tcPr>
          <w:p>
            <w:pPr>
              <w:ind w:left="300"/>
              <w:spacing w:after="0"/>
              <w:rPr>
                <w:sz w:val="20"/>
                <w:szCs w:val="20"/>
                <w:color w:val="auto"/>
              </w:rPr>
            </w:pPr>
            <w:r>
              <w:rPr>
                <w:rFonts w:ascii="Courier New" w:cs="Courier New" w:eastAsia="Courier New" w:hAnsi="Courier New"/>
                <w:sz w:val="12"/>
                <w:szCs w:val="12"/>
                <w:color w:val="auto"/>
              </w:rPr>
              <w:t>Notification of Taxes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87</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12.3.</w:t>
            </w:r>
          </w:p>
        </w:tc>
        <w:tc>
          <w:tcPr>
            <w:tcW w:w="4380" w:type="dxa"/>
            <w:vAlign w:val="bottom"/>
          </w:tcPr>
          <w:p>
            <w:pPr>
              <w:ind w:left="300"/>
              <w:spacing w:after="0"/>
              <w:rPr>
                <w:sz w:val="20"/>
                <w:szCs w:val="20"/>
                <w:color w:val="auto"/>
              </w:rPr>
            </w:pPr>
            <w:r>
              <w:rPr>
                <w:rFonts w:ascii="Courier New" w:cs="Courier New" w:eastAsia="Courier New" w:hAnsi="Courier New"/>
                <w:sz w:val="12"/>
                <w:szCs w:val="12"/>
                <w:color w:val="auto"/>
              </w:rPr>
              <w:t>Payment and Submission of Receipt</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88</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12.4.</w:t>
            </w:r>
          </w:p>
        </w:tc>
        <w:tc>
          <w:tcPr>
            <w:tcW w:w="4380" w:type="dxa"/>
            <w:vAlign w:val="bottom"/>
          </w:tcPr>
          <w:p>
            <w:pPr>
              <w:ind w:left="300"/>
              <w:spacing w:after="0"/>
              <w:rPr>
                <w:sz w:val="20"/>
                <w:szCs w:val="20"/>
                <w:color w:val="auto"/>
              </w:rPr>
            </w:pPr>
            <w:r>
              <w:rPr>
                <w:rFonts w:ascii="Courier New" w:cs="Courier New" w:eastAsia="Courier New" w:hAnsi="Courier New"/>
                <w:sz w:val="12"/>
                <w:szCs w:val="12"/>
                <w:color w:val="auto"/>
              </w:rPr>
              <w:t>Tax Saving</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88</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12.5.</w:t>
            </w:r>
          </w:p>
        </w:tc>
        <w:tc>
          <w:tcPr>
            <w:tcW w:w="4380" w:type="dxa"/>
            <w:vAlign w:val="bottom"/>
          </w:tcPr>
          <w:p>
            <w:pPr>
              <w:ind w:left="300"/>
              <w:spacing w:after="0"/>
              <w:rPr>
                <w:sz w:val="20"/>
                <w:szCs w:val="20"/>
                <w:color w:val="auto"/>
              </w:rPr>
            </w:pPr>
            <w:r>
              <w:rPr>
                <w:rFonts w:ascii="Courier New" w:cs="Courier New" w:eastAsia="Courier New" w:hAnsi="Courier New"/>
                <w:sz w:val="12"/>
                <w:szCs w:val="12"/>
                <w:color w:val="auto"/>
              </w:rPr>
              <w:t>VAT</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89</w:t>
            </w:r>
          </w:p>
        </w:tc>
      </w:tr>
      <w:tr>
        <w:trPr>
          <w:trHeight w:val="283"/>
        </w:trPr>
        <w:tc>
          <w:tcPr>
            <w:tcW w:w="800" w:type="dxa"/>
            <w:vAlign w:val="bottom"/>
          </w:tcPr>
          <w:p>
            <w:pPr>
              <w:spacing w:after="0"/>
              <w:rPr>
                <w:sz w:val="20"/>
                <w:szCs w:val="20"/>
                <w:color w:val="auto"/>
              </w:rPr>
            </w:pPr>
            <w:r>
              <w:rPr>
                <w:rFonts w:ascii="Courier New" w:cs="Courier New" w:eastAsia="Courier New" w:hAnsi="Courier New"/>
                <w:sz w:val="12"/>
                <w:szCs w:val="12"/>
                <w:color w:val="auto"/>
              </w:rPr>
              <w:t>13.</w:t>
            </w:r>
          </w:p>
        </w:tc>
        <w:tc>
          <w:tcPr>
            <w:tcW w:w="4380" w:type="dxa"/>
            <w:vAlign w:val="bottom"/>
          </w:tcPr>
          <w:p>
            <w:pPr>
              <w:ind w:left="80"/>
              <w:spacing w:after="0"/>
              <w:rPr>
                <w:sz w:val="20"/>
                <w:szCs w:val="20"/>
                <w:color w:val="auto"/>
              </w:rPr>
            </w:pPr>
            <w:r>
              <w:rPr>
                <w:rFonts w:ascii="Courier New" w:cs="Courier New" w:eastAsia="Courier New" w:hAnsi="Courier New"/>
                <w:sz w:val="12"/>
                <w:szCs w:val="12"/>
                <w:color w:val="auto"/>
              </w:rPr>
              <w:t>INCREASED COSTS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89</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13.1.</w:t>
            </w:r>
          </w:p>
        </w:tc>
        <w:tc>
          <w:tcPr>
            <w:tcW w:w="4380" w:type="dxa"/>
            <w:vAlign w:val="bottom"/>
          </w:tcPr>
          <w:p>
            <w:pPr>
              <w:ind w:left="300"/>
              <w:spacing w:after="0"/>
              <w:rPr>
                <w:sz w:val="20"/>
                <w:szCs w:val="20"/>
                <w:color w:val="auto"/>
              </w:rPr>
            </w:pPr>
            <w:r>
              <w:rPr>
                <w:rFonts w:ascii="Courier New" w:cs="Courier New" w:eastAsia="Courier New" w:hAnsi="Courier New"/>
                <w:sz w:val="12"/>
                <w:szCs w:val="12"/>
                <w:color w:val="auto"/>
              </w:rPr>
              <w:t>Increased Costs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89</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13.2.</w:t>
            </w:r>
          </w:p>
        </w:tc>
        <w:tc>
          <w:tcPr>
            <w:tcW w:w="4380" w:type="dxa"/>
            <w:vAlign w:val="bottom"/>
          </w:tcPr>
          <w:p>
            <w:pPr>
              <w:ind w:left="300"/>
              <w:spacing w:after="0"/>
              <w:rPr>
                <w:sz w:val="20"/>
                <w:szCs w:val="20"/>
                <w:color w:val="auto"/>
              </w:rPr>
            </w:pPr>
            <w:r>
              <w:rPr>
                <w:rFonts w:ascii="Courier New" w:cs="Courier New" w:eastAsia="Courier New" w:hAnsi="Courier New"/>
                <w:sz w:val="12"/>
                <w:szCs w:val="12"/>
                <w:color w:val="auto"/>
              </w:rPr>
              <w:t>Exceptions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91</w:t>
            </w:r>
          </w:p>
        </w:tc>
      </w:tr>
      <w:tr>
        <w:trPr>
          <w:trHeight w:val="283"/>
        </w:trPr>
        <w:tc>
          <w:tcPr>
            <w:tcW w:w="800" w:type="dxa"/>
            <w:vAlign w:val="bottom"/>
          </w:tcPr>
          <w:p>
            <w:pPr>
              <w:spacing w:after="0"/>
              <w:rPr>
                <w:sz w:val="20"/>
                <w:szCs w:val="20"/>
                <w:color w:val="auto"/>
              </w:rPr>
            </w:pPr>
            <w:r>
              <w:rPr>
                <w:rFonts w:ascii="Courier New" w:cs="Courier New" w:eastAsia="Courier New" w:hAnsi="Courier New"/>
                <w:sz w:val="12"/>
                <w:szCs w:val="12"/>
                <w:color w:val="auto"/>
              </w:rPr>
              <w:t>14.</w:t>
            </w:r>
          </w:p>
        </w:tc>
        <w:tc>
          <w:tcPr>
            <w:tcW w:w="4380" w:type="dxa"/>
            <w:vAlign w:val="bottom"/>
          </w:tcPr>
          <w:p>
            <w:pPr>
              <w:ind w:left="80"/>
              <w:spacing w:after="0"/>
              <w:rPr>
                <w:sz w:val="20"/>
                <w:szCs w:val="20"/>
                <w:color w:val="auto"/>
              </w:rPr>
            </w:pPr>
            <w:r>
              <w:rPr>
                <w:rFonts w:ascii="Courier New" w:cs="Courier New" w:eastAsia="Courier New" w:hAnsi="Courier New"/>
                <w:sz w:val="12"/>
                <w:szCs w:val="12"/>
                <w:color w:val="auto"/>
              </w:rPr>
              <w:t>ILLEGALITY</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91</w:t>
            </w:r>
          </w:p>
        </w:tc>
      </w:tr>
      <w:tr>
        <w:trPr>
          <w:trHeight w:val="283"/>
        </w:trPr>
        <w:tc>
          <w:tcPr>
            <w:tcW w:w="800" w:type="dxa"/>
            <w:vAlign w:val="bottom"/>
          </w:tcPr>
          <w:p>
            <w:pPr>
              <w:spacing w:after="0"/>
              <w:rPr>
                <w:sz w:val="20"/>
                <w:szCs w:val="20"/>
                <w:color w:val="auto"/>
              </w:rPr>
            </w:pPr>
            <w:r>
              <w:rPr>
                <w:rFonts w:ascii="Courier New" w:cs="Courier New" w:eastAsia="Courier New" w:hAnsi="Courier New"/>
                <w:sz w:val="12"/>
                <w:szCs w:val="12"/>
                <w:color w:val="auto"/>
              </w:rPr>
              <w:t>15.</w:t>
            </w:r>
          </w:p>
        </w:tc>
        <w:tc>
          <w:tcPr>
            <w:tcW w:w="4380" w:type="dxa"/>
            <w:vAlign w:val="bottom"/>
          </w:tcPr>
          <w:p>
            <w:pPr>
              <w:ind w:left="80"/>
              <w:spacing w:after="0"/>
              <w:rPr>
                <w:sz w:val="20"/>
                <w:szCs w:val="20"/>
                <w:color w:val="auto"/>
              </w:rPr>
            </w:pPr>
            <w:r>
              <w:rPr>
                <w:rFonts w:ascii="Courier New" w:cs="Courier New" w:eastAsia="Courier New" w:hAnsi="Courier New"/>
                <w:sz w:val="12"/>
                <w:szCs w:val="12"/>
                <w:color w:val="auto"/>
              </w:rPr>
              <w:t>REPRESENTATIONS AND WARRANTIES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92</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15.1.</w:t>
            </w:r>
          </w:p>
        </w:tc>
        <w:tc>
          <w:tcPr>
            <w:tcW w:w="4380" w:type="dxa"/>
            <w:vAlign w:val="bottom"/>
          </w:tcPr>
          <w:p>
            <w:pPr>
              <w:ind w:left="300"/>
              <w:spacing w:after="0"/>
              <w:rPr>
                <w:sz w:val="20"/>
                <w:szCs w:val="20"/>
                <w:color w:val="auto"/>
              </w:rPr>
            </w:pPr>
            <w:r>
              <w:rPr>
                <w:rFonts w:ascii="Courier New" w:cs="Courier New" w:eastAsia="Courier New" w:hAnsi="Courier New"/>
                <w:sz w:val="12"/>
                <w:szCs w:val="12"/>
                <w:color w:val="auto"/>
              </w:rPr>
              <w:t>General</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92</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15.2.</w:t>
            </w:r>
          </w:p>
        </w:tc>
        <w:tc>
          <w:tcPr>
            <w:tcW w:w="4380" w:type="dxa"/>
            <w:vAlign w:val="bottom"/>
          </w:tcPr>
          <w:p>
            <w:pPr>
              <w:ind w:left="300"/>
              <w:spacing w:after="0"/>
              <w:rPr>
                <w:sz w:val="20"/>
                <w:szCs w:val="20"/>
                <w:color w:val="auto"/>
              </w:rPr>
            </w:pPr>
            <w:r>
              <w:rPr>
                <w:rFonts w:ascii="Courier New" w:cs="Courier New" w:eastAsia="Courier New" w:hAnsi="Courier New"/>
                <w:sz w:val="12"/>
                <w:szCs w:val="12"/>
                <w:color w:val="auto"/>
              </w:rPr>
              <w:t>Status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92</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15.3.</w:t>
            </w:r>
          </w:p>
        </w:tc>
        <w:tc>
          <w:tcPr>
            <w:tcW w:w="4380" w:type="dxa"/>
            <w:vAlign w:val="bottom"/>
          </w:tcPr>
          <w:p>
            <w:pPr>
              <w:ind w:left="300"/>
              <w:spacing w:after="0"/>
              <w:rPr>
                <w:sz w:val="20"/>
                <w:szCs w:val="20"/>
                <w:color w:val="auto"/>
              </w:rPr>
            </w:pPr>
            <w:r>
              <w:rPr>
                <w:rFonts w:ascii="Courier New" w:cs="Courier New" w:eastAsia="Courier New" w:hAnsi="Courier New"/>
                <w:sz w:val="12"/>
                <w:szCs w:val="12"/>
                <w:color w:val="auto"/>
              </w:rPr>
              <w:t>Legal Validity</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92</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15.4.</w:t>
            </w:r>
          </w:p>
        </w:tc>
        <w:tc>
          <w:tcPr>
            <w:tcW w:w="4380" w:type="dxa"/>
            <w:vAlign w:val="bottom"/>
          </w:tcPr>
          <w:p>
            <w:pPr>
              <w:ind w:left="300"/>
              <w:spacing w:after="0"/>
              <w:rPr>
                <w:sz w:val="20"/>
                <w:szCs w:val="20"/>
                <w:color w:val="auto"/>
              </w:rPr>
            </w:pPr>
            <w:r>
              <w:rPr>
                <w:rFonts w:ascii="Courier New" w:cs="Courier New" w:eastAsia="Courier New" w:hAnsi="Courier New"/>
                <w:sz w:val="12"/>
                <w:szCs w:val="12"/>
                <w:color w:val="auto"/>
              </w:rPr>
              <w:t>Non-Conflict</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92</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15.5.</w:t>
            </w:r>
          </w:p>
        </w:tc>
        <w:tc>
          <w:tcPr>
            <w:tcW w:w="4380" w:type="dxa"/>
            <w:vAlign w:val="bottom"/>
          </w:tcPr>
          <w:p>
            <w:pPr>
              <w:ind w:left="300"/>
              <w:spacing w:after="0"/>
              <w:rPr>
                <w:sz w:val="20"/>
                <w:szCs w:val="20"/>
                <w:color w:val="auto"/>
              </w:rPr>
            </w:pPr>
            <w:r>
              <w:rPr>
                <w:rFonts w:ascii="Courier New" w:cs="Courier New" w:eastAsia="Courier New" w:hAnsi="Courier New"/>
                <w:sz w:val="12"/>
                <w:szCs w:val="12"/>
                <w:color w:val="auto"/>
              </w:rPr>
              <w:t>No Default</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94</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15.6.</w:t>
            </w:r>
          </w:p>
        </w:tc>
        <w:tc>
          <w:tcPr>
            <w:tcW w:w="4380" w:type="dxa"/>
            <w:vAlign w:val="bottom"/>
          </w:tcPr>
          <w:p>
            <w:pPr>
              <w:ind w:left="300"/>
              <w:spacing w:after="0"/>
              <w:rPr>
                <w:sz w:val="20"/>
                <w:szCs w:val="20"/>
                <w:color w:val="auto"/>
              </w:rPr>
            </w:pPr>
            <w:r>
              <w:rPr>
                <w:rFonts w:ascii="Courier New" w:cs="Courier New" w:eastAsia="Courier New" w:hAnsi="Courier New"/>
                <w:sz w:val="12"/>
                <w:szCs w:val="12"/>
                <w:color w:val="auto"/>
              </w:rPr>
              <w:t>Consents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94</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15.7.</w:t>
            </w:r>
          </w:p>
        </w:tc>
        <w:tc>
          <w:tcPr>
            <w:tcW w:w="4380" w:type="dxa"/>
            <w:vAlign w:val="bottom"/>
          </w:tcPr>
          <w:p>
            <w:pPr>
              <w:ind w:left="300"/>
              <w:spacing w:after="0"/>
              <w:rPr>
                <w:sz w:val="20"/>
                <w:szCs w:val="20"/>
                <w:color w:val="auto"/>
              </w:rPr>
            </w:pPr>
            <w:r>
              <w:rPr>
                <w:rFonts w:ascii="Courier New" w:cs="Courier New" w:eastAsia="Courier New" w:hAnsi="Courier New"/>
                <w:sz w:val="12"/>
                <w:szCs w:val="12"/>
                <w:color w:val="auto"/>
              </w:rPr>
              <w:t>Share Capital</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94</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15.8.</w:t>
            </w:r>
          </w:p>
        </w:tc>
        <w:tc>
          <w:tcPr>
            <w:tcW w:w="4380" w:type="dxa"/>
            <w:vAlign w:val="bottom"/>
          </w:tcPr>
          <w:p>
            <w:pPr>
              <w:ind w:left="300"/>
              <w:spacing w:after="0"/>
              <w:rPr>
                <w:sz w:val="20"/>
                <w:szCs w:val="20"/>
                <w:color w:val="auto"/>
              </w:rPr>
            </w:pPr>
            <w:r>
              <w:rPr>
                <w:rFonts w:ascii="Courier New" w:cs="Courier New" w:eastAsia="Courier New" w:hAnsi="Courier New"/>
                <w:sz w:val="12"/>
                <w:szCs w:val="12"/>
                <w:color w:val="auto"/>
              </w:rPr>
              <w:t>SEC Documents; Financial Statements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95</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15.9.</w:t>
            </w:r>
          </w:p>
        </w:tc>
        <w:tc>
          <w:tcPr>
            <w:tcW w:w="4380" w:type="dxa"/>
            <w:vAlign w:val="bottom"/>
          </w:tcPr>
          <w:p>
            <w:pPr>
              <w:ind w:left="300"/>
              <w:spacing w:after="0"/>
              <w:rPr>
                <w:sz w:val="20"/>
                <w:szCs w:val="20"/>
                <w:color w:val="auto"/>
              </w:rPr>
            </w:pPr>
            <w:r>
              <w:rPr>
                <w:rFonts w:ascii="Courier New" w:cs="Courier New" w:eastAsia="Courier New" w:hAnsi="Courier New"/>
                <w:sz w:val="12"/>
                <w:szCs w:val="12"/>
                <w:color w:val="auto"/>
              </w:rPr>
              <w:t>Business Plan</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96</w:t>
            </w:r>
          </w:p>
        </w:tc>
      </w:tr>
      <w:tr>
        <w:trPr>
          <w:trHeight w:val="425"/>
        </w:trPr>
        <w:tc>
          <w:tcPr>
            <w:tcW w:w="800" w:type="dxa"/>
            <w:vAlign w:val="bottom"/>
          </w:tcPr>
          <w:p>
            <w:pPr>
              <w:spacing w:after="0"/>
              <w:rPr>
                <w:sz w:val="24"/>
                <w:szCs w:val="24"/>
                <w:color w:val="auto"/>
              </w:rPr>
            </w:pPr>
          </w:p>
        </w:tc>
        <w:tc>
          <w:tcPr>
            <w:tcW w:w="4380" w:type="dxa"/>
            <w:vAlign w:val="bottom"/>
          </w:tcPr>
          <w:p>
            <w:pPr>
              <w:ind w:left="2000"/>
              <w:spacing w:after="0"/>
              <w:rPr>
                <w:sz w:val="20"/>
                <w:szCs w:val="20"/>
                <w:color w:val="auto"/>
              </w:rPr>
            </w:pPr>
            <w:r>
              <w:rPr>
                <w:rFonts w:ascii="Courier New" w:cs="Courier New" w:eastAsia="Courier New" w:hAnsi="Courier New"/>
                <w:sz w:val="12"/>
                <w:szCs w:val="12"/>
                <w:color w:val="auto"/>
              </w:rPr>
              <w:t>(ii)</w:t>
            </w:r>
          </w:p>
        </w:tc>
        <w:tc>
          <w:tcPr>
            <w:tcW w:w="1800" w:type="dxa"/>
            <w:vAlign w:val="bottom"/>
          </w:tcPr>
          <w:p>
            <w:pPr>
              <w:spacing w:after="0"/>
              <w:rPr>
                <w:sz w:val="24"/>
                <w:szCs w:val="24"/>
                <w:color w:val="auto"/>
              </w:rPr>
            </w:pPr>
          </w:p>
        </w:tc>
      </w:tr>
      <w:tr>
        <w:trPr>
          <w:trHeight w:val="689"/>
        </w:trPr>
        <w:tc>
          <w:tcPr>
            <w:tcW w:w="800" w:type="dxa"/>
            <w:vAlign w:val="bottom"/>
          </w:tcPr>
          <w:p>
            <w:pPr>
              <w:spacing w:after="0"/>
              <w:rPr>
                <w:sz w:val="24"/>
                <w:szCs w:val="24"/>
                <w:color w:val="auto"/>
              </w:rPr>
            </w:pPr>
          </w:p>
        </w:tc>
        <w:tc>
          <w:tcPr>
            <w:tcW w:w="4380" w:type="dxa"/>
            <w:vAlign w:val="bottom"/>
          </w:tcPr>
          <w:p>
            <w:pPr>
              <w:ind w:left="1560"/>
              <w:spacing w:after="0"/>
              <w:rPr>
                <w:sz w:val="20"/>
                <w:szCs w:val="20"/>
                <w:color w:val="auto"/>
              </w:rPr>
            </w:pPr>
            <w:r>
              <w:rPr>
                <w:rFonts w:ascii="Courier New" w:cs="Courier New" w:eastAsia="Courier New" w:hAnsi="Courier New"/>
                <w:sz w:val="12"/>
                <w:szCs w:val="12"/>
                <w:color w:val="auto"/>
              </w:rPr>
              <w:t>TABLE OF CONTENTS</w:t>
            </w:r>
          </w:p>
        </w:tc>
        <w:tc>
          <w:tcPr>
            <w:tcW w:w="1800" w:type="dxa"/>
            <w:vAlign w:val="bottom"/>
          </w:tcPr>
          <w:p>
            <w:pPr>
              <w:spacing w:after="0"/>
              <w:rPr>
                <w:sz w:val="24"/>
                <w:szCs w:val="24"/>
                <w:color w:val="auto"/>
              </w:rPr>
            </w:pPr>
          </w:p>
        </w:tc>
      </w:tr>
      <w:tr>
        <w:trPr>
          <w:trHeight w:val="142"/>
        </w:trPr>
        <w:tc>
          <w:tcPr>
            <w:tcW w:w="800" w:type="dxa"/>
            <w:vAlign w:val="bottom"/>
          </w:tcPr>
          <w:p>
            <w:pPr>
              <w:spacing w:after="0"/>
              <w:rPr>
                <w:sz w:val="12"/>
                <w:szCs w:val="12"/>
                <w:color w:val="auto"/>
              </w:rPr>
            </w:pPr>
          </w:p>
        </w:tc>
        <w:tc>
          <w:tcPr>
            <w:tcW w:w="4380" w:type="dxa"/>
            <w:vAlign w:val="bottom"/>
          </w:tcPr>
          <w:p>
            <w:pPr>
              <w:ind w:left="1780"/>
              <w:spacing w:after="0"/>
              <w:rPr>
                <w:sz w:val="20"/>
                <w:szCs w:val="20"/>
                <w:color w:val="auto"/>
              </w:rPr>
            </w:pPr>
            <w:r>
              <w:rPr>
                <w:rFonts w:ascii="Courier New" w:cs="Courier New" w:eastAsia="Courier New" w:hAnsi="Courier New"/>
                <w:sz w:val="12"/>
                <w:szCs w:val="12"/>
                <w:color w:val="auto"/>
              </w:rPr>
              <w:t>(CONTINUED)</w:t>
            </w:r>
          </w:p>
        </w:tc>
        <w:tc>
          <w:tcPr>
            <w:tcW w:w="1800" w:type="dxa"/>
            <w:vAlign w:val="bottom"/>
          </w:tcPr>
          <w:p>
            <w:pPr>
              <w:spacing w:after="0"/>
              <w:rPr>
                <w:sz w:val="12"/>
                <w:szCs w:val="12"/>
                <w:color w:val="auto"/>
              </w:rPr>
            </w:pPr>
          </w:p>
        </w:tc>
      </w:tr>
      <w:tr>
        <w:trPr>
          <w:trHeight w:val="283"/>
        </w:trPr>
        <w:tc>
          <w:tcPr>
            <w:tcW w:w="800" w:type="dxa"/>
            <w:vAlign w:val="bottom"/>
          </w:tcPr>
          <w:p>
            <w:pPr>
              <w:spacing w:after="0"/>
              <w:rPr>
                <w:sz w:val="20"/>
                <w:szCs w:val="20"/>
                <w:color w:val="auto"/>
              </w:rPr>
            </w:pPr>
            <w:r>
              <w:rPr>
                <w:rFonts w:ascii="Courier New" w:cs="Courier New" w:eastAsia="Courier New" w:hAnsi="Courier New"/>
                <w:sz w:val="12"/>
                <w:szCs w:val="12"/>
                <w:color w:val="auto"/>
              </w:rPr>
              <w:t>CLAUSE NO.</w:t>
            </w:r>
          </w:p>
        </w:tc>
        <w:tc>
          <w:tcPr>
            <w:tcW w:w="43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PAGE</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20"/>
                <w:szCs w:val="20"/>
                <w:color w:val="auto"/>
              </w:rPr>
            </w:pPr>
            <w:r>
              <w:rPr>
                <w:rFonts w:ascii="Courier New" w:cs="Courier New" w:eastAsia="Courier New" w:hAnsi="Courier New"/>
                <w:sz w:val="12"/>
                <w:szCs w:val="12"/>
                <w:color w:val="auto"/>
              </w:rPr>
              <w:t>15.10.</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Title to Properties; Encumbrances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96</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15.11.</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Condition and Sufficiency of Assets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97</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15.12.</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Customers and Suppliers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97</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15.13.</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Permitted Subordinated Debt</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97</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15.14.</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Financial Indebtedness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97</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15.15.</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Taxes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97</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15.16.</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No Material Adverse Change</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97</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15.17.</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Compliance with Laws; Governmental Authorisations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97</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15.18.</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Legal Proceedings; Orders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98</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15.19.</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Absence of Certain Changes and Events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98</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15.20.</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Contracts; No Defaults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98</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15.21.</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Insurance</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99</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15.22.</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Environmental Matters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99</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15.23.</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Intellectual Property</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99</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15.24.</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Grants, Incentives and Subsidies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99</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15.25.</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Disclosure</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99</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15.26.</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Relationships with Related Persons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99</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15.27.</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Documents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99</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15.28.</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Ranking of Securities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99</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15.29.</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Shareholdings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100</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15.30.</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Repetition</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100</w:t>
            </w:r>
          </w:p>
        </w:tc>
      </w:tr>
      <w:tr>
        <w:trPr>
          <w:trHeight w:val="283"/>
        </w:trPr>
        <w:tc>
          <w:tcPr>
            <w:tcW w:w="800" w:type="dxa"/>
            <w:vAlign w:val="bottom"/>
          </w:tcPr>
          <w:p>
            <w:pPr>
              <w:spacing w:after="0"/>
              <w:rPr>
                <w:sz w:val="20"/>
                <w:szCs w:val="20"/>
                <w:color w:val="auto"/>
              </w:rPr>
            </w:pPr>
            <w:r>
              <w:rPr>
                <w:rFonts w:ascii="Courier New" w:cs="Courier New" w:eastAsia="Courier New" w:hAnsi="Courier New"/>
                <w:sz w:val="12"/>
                <w:szCs w:val="12"/>
                <w:color w:val="auto"/>
              </w:rPr>
              <w:t>16.</w:t>
            </w:r>
          </w:p>
        </w:tc>
        <w:tc>
          <w:tcPr>
            <w:tcW w:w="4900" w:type="dxa"/>
            <w:vAlign w:val="bottom"/>
          </w:tcPr>
          <w:p>
            <w:pPr>
              <w:ind w:left="80"/>
              <w:spacing w:after="0"/>
              <w:rPr>
                <w:sz w:val="20"/>
                <w:szCs w:val="20"/>
                <w:color w:val="auto"/>
              </w:rPr>
            </w:pPr>
            <w:r>
              <w:rPr>
                <w:rFonts w:ascii="Courier New" w:cs="Courier New" w:eastAsia="Courier New" w:hAnsi="Courier New"/>
                <w:sz w:val="12"/>
                <w:szCs w:val="12"/>
                <w:color w:val="auto"/>
              </w:rPr>
              <w:t>UNDERTAKINGS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100</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16.1.</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Financial Information</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100</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16.2.</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Accounts and Auditors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106</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16.3.</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Purpose</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107</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16.4.</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Negative Pledge</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107</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16.5.</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No Financial Indebtedness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107</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16.6.</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PARI PASSU Ranking</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108</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16.7.</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Distributions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108</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16.8.</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Intellectual Property Assets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109</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16.9.</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Environmental Matters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110</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16.10.</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Insurance</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111</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16.11.</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Mergers and Amalgamations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114</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16.12.</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Consents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114</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16.13.</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Material Contracts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114</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16.14.</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Auditors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115</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16.15.</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Acquisitions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115</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16.16.</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Access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116</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16.17.</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Capital Expenditure</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117</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16.18.</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Organisational Documents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117</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16.19.</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Project</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118</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16.20.</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Business Plan</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118</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16.21.</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Hedging</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119</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16.22.</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Transactions with Related Persons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119</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16.23.</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Sale and Leaseback</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119</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16.24.</w:t>
            </w:r>
          </w:p>
        </w:tc>
        <w:tc>
          <w:tcPr>
            <w:tcW w:w="4900" w:type="dxa"/>
            <w:vAlign w:val="bottom"/>
          </w:tcPr>
          <w:p>
            <w:pPr>
              <w:ind w:left="300"/>
              <w:spacing w:after="0"/>
              <w:rPr>
                <w:sz w:val="20"/>
                <w:szCs w:val="20"/>
                <w:color w:val="auto"/>
              </w:rPr>
            </w:pPr>
            <w:r>
              <w:rPr>
                <w:rFonts w:ascii="Courier New" w:cs="Courier New" w:eastAsia="Courier New" w:hAnsi="Courier New"/>
                <w:sz w:val="12"/>
                <w:szCs w:val="12"/>
                <w:color w:val="auto"/>
              </w:rPr>
              <w:t>Disposals</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120</w:t>
            </w:r>
          </w:p>
        </w:tc>
      </w:tr>
      <w:tr>
        <w:trPr>
          <w:trHeight w:val="425"/>
        </w:trPr>
        <w:tc>
          <w:tcPr>
            <w:tcW w:w="800" w:type="dxa"/>
            <w:vAlign w:val="bottom"/>
          </w:tcPr>
          <w:p>
            <w:pPr>
              <w:spacing w:after="0"/>
              <w:rPr>
                <w:sz w:val="24"/>
                <w:szCs w:val="24"/>
                <w:color w:val="auto"/>
              </w:rPr>
            </w:pPr>
          </w:p>
        </w:tc>
        <w:tc>
          <w:tcPr>
            <w:tcW w:w="4900" w:type="dxa"/>
            <w:vAlign w:val="bottom"/>
          </w:tcPr>
          <w:p>
            <w:pPr>
              <w:jc w:val="center"/>
              <w:ind w:right="479"/>
              <w:spacing w:after="0"/>
              <w:rPr>
                <w:sz w:val="20"/>
                <w:szCs w:val="20"/>
                <w:color w:val="auto"/>
              </w:rPr>
            </w:pPr>
            <w:r>
              <w:rPr>
                <w:rFonts w:ascii="Courier New" w:cs="Courier New" w:eastAsia="Courier New" w:hAnsi="Courier New"/>
                <w:sz w:val="12"/>
                <w:szCs w:val="12"/>
                <w:color w:val="auto"/>
                <w:w w:val="99"/>
              </w:rPr>
              <w:t>(iii)</w:t>
            </w:r>
          </w:p>
        </w:tc>
        <w:tc>
          <w:tcPr>
            <w:tcW w:w="1280" w:type="dxa"/>
            <w:vAlign w:val="bottom"/>
          </w:tcPr>
          <w:p>
            <w:pPr>
              <w:spacing w:after="0"/>
              <w:rPr>
                <w:sz w:val="24"/>
                <w:szCs w:val="24"/>
                <w:color w:val="auto"/>
              </w:rPr>
            </w:pPr>
          </w:p>
        </w:tc>
      </w:tr>
      <w:tr>
        <w:trPr>
          <w:trHeight w:val="689"/>
        </w:trPr>
        <w:tc>
          <w:tcPr>
            <w:tcW w:w="800" w:type="dxa"/>
            <w:vAlign w:val="bottom"/>
          </w:tcPr>
          <w:p>
            <w:pPr>
              <w:spacing w:after="0"/>
              <w:rPr>
                <w:sz w:val="24"/>
                <w:szCs w:val="24"/>
                <w:color w:val="auto"/>
              </w:rPr>
            </w:pPr>
          </w:p>
        </w:tc>
        <w:tc>
          <w:tcPr>
            <w:tcW w:w="4900" w:type="dxa"/>
            <w:vAlign w:val="bottom"/>
          </w:tcPr>
          <w:p>
            <w:pPr>
              <w:jc w:val="center"/>
              <w:ind w:right="479"/>
              <w:spacing w:after="0"/>
              <w:rPr>
                <w:sz w:val="20"/>
                <w:szCs w:val="20"/>
                <w:color w:val="auto"/>
              </w:rPr>
            </w:pPr>
            <w:r>
              <w:rPr>
                <w:rFonts w:ascii="Courier New" w:cs="Courier New" w:eastAsia="Courier New" w:hAnsi="Courier New"/>
                <w:sz w:val="12"/>
                <w:szCs w:val="12"/>
                <w:color w:val="auto"/>
              </w:rPr>
              <w:t>TABLE OF CONTENTS</w:t>
            </w:r>
          </w:p>
        </w:tc>
        <w:tc>
          <w:tcPr>
            <w:tcW w:w="1280" w:type="dxa"/>
            <w:vAlign w:val="bottom"/>
          </w:tcPr>
          <w:p>
            <w:pPr>
              <w:spacing w:after="0"/>
              <w:rPr>
                <w:sz w:val="24"/>
                <w:szCs w:val="24"/>
                <w:color w:val="auto"/>
              </w:rPr>
            </w:pPr>
          </w:p>
        </w:tc>
      </w:tr>
      <w:tr>
        <w:trPr>
          <w:trHeight w:val="142"/>
        </w:trPr>
        <w:tc>
          <w:tcPr>
            <w:tcW w:w="800" w:type="dxa"/>
            <w:vAlign w:val="bottom"/>
          </w:tcPr>
          <w:p>
            <w:pPr>
              <w:spacing w:after="0"/>
              <w:rPr>
                <w:sz w:val="12"/>
                <w:szCs w:val="12"/>
                <w:color w:val="auto"/>
              </w:rPr>
            </w:pPr>
          </w:p>
        </w:tc>
        <w:tc>
          <w:tcPr>
            <w:tcW w:w="4900" w:type="dxa"/>
            <w:vAlign w:val="bottom"/>
          </w:tcPr>
          <w:p>
            <w:pPr>
              <w:jc w:val="center"/>
              <w:ind w:right="479"/>
              <w:spacing w:after="0"/>
              <w:rPr>
                <w:sz w:val="20"/>
                <w:szCs w:val="20"/>
                <w:color w:val="auto"/>
              </w:rPr>
            </w:pPr>
            <w:r>
              <w:rPr>
                <w:rFonts w:ascii="Courier New" w:cs="Courier New" w:eastAsia="Courier New" w:hAnsi="Courier New"/>
                <w:sz w:val="12"/>
                <w:szCs w:val="12"/>
                <w:color w:val="auto"/>
              </w:rPr>
              <w:t>(CONTINUED)</w:t>
            </w:r>
          </w:p>
        </w:tc>
        <w:tc>
          <w:tcPr>
            <w:tcW w:w="1280" w:type="dxa"/>
            <w:vAlign w:val="bottom"/>
          </w:tcPr>
          <w:p>
            <w:pPr>
              <w:spacing w:after="0"/>
              <w:rPr>
                <w:sz w:val="12"/>
                <w:szCs w:val="12"/>
                <w:color w:val="auto"/>
              </w:rPr>
            </w:pPr>
          </w:p>
        </w:tc>
      </w:tr>
      <w:tr>
        <w:trPr>
          <w:trHeight w:val="283"/>
        </w:trPr>
        <w:tc>
          <w:tcPr>
            <w:tcW w:w="800" w:type="dxa"/>
            <w:vAlign w:val="bottom"/>
          </w:tcPr>
          <w:p>
            <w:pPr>
              <w:spacing w:after="0"/>
              <w:rPr>
                <w:sz w:val="20"/>
                <w:szCs w:val="20"/>
                <w:color w:val="auto"/>
              </w:rPr>
            </w:pPr>
            <w:r>
              <w:rPr>
                <w:rFonts w:ascii="Courier New" w:cs="Courier New" w:eastAsia="Courier New" w:hAnsi="Courier New"/>
                <w:sz w:val="12"/>
                <w:szCs w:val="12"/>
                <w:color w:val="auto"/>
              </w:rPr>
              <w:t>CLAUSE NO.</w:t>
            </w:r>
          </w:p>
        </w:tc>
        <w:tc>
          <w:tcPr>
            <w:tcW w:w="49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PAGE</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Courier New" w:cs="Courier New" w:eastAsia="Courier New" w:hAnsi="Courier New"/>
                <w:sz w:val="12"/>
                <w:szCs w:val="12"/>
                <w:color w:val="auto"/>
              </w:rPr>
              <w:t>16.25.</w:t>
            </w:r>
          </w:p>
        </w:tc>
        <w:tc>
          <w:tcPr>
            <w:tcW w:w="5400" w:type="dxa"/>
            <w:vAlign w:val="bottom"/>
          </w:tcPr>
          <w:p>
            <w:pPr>
              <w:ind w:left="440"/>
              <w:spacing w:after="0"/>
              <w:rPr>
                <w:sz w:val="20"/>
                <w:szCs w:val="20"/>
                <w:color w:val="auto"/>
              </w:rPr>
            </w:pPr>
            <w:r>
              <w:rPr>
                <w:rFonts w:ascii="Courier New" w:cs="Courier New" w:eastAsia="Courier New" w:hAnsi="Courier New"/>
                <w:sz w:val="12"/>
                <w:szCs w:val="12"/>
                <w:color w:val="auto"/>
              </w:rPr>
              <w:t>Notification of Default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121</w:t>
            </w:r>
          </w:p>
        </w:tc>
      </w:tr>
      <w:tr>
        <w:trPr>
          <w:trHeight w:val="142"/>
        </w:trPr>
        <w:tc>
          <w:tcPr>
            <w:tcW w:w="660" w:type="dxa"/>
            <w:vAlign w:val="bottom"/>
          </w:tcPr>
          <w:p>
            <w:pPr>
              <w:spacing w:after="0"/>
              <w:rPr>
                <w:sz w:val="20"/>
                <w:szCs w:val="20"/>
                <w:color w:val="auto"/>
              </w:rPr>
            </w:pPr>
            <w:r>
              <w:rPr>
                <w:rFonts w:ascii="Courier New" w:cs="Courier New" w:eastAsia="Courier New" w:hAnsi="Courier New"/>
                <w:sz w:val="12"/>
                <w:szCs w:val="12"/>
                <w:color w:val="auto"/>
              </w:rPr>
              <w:t>16.26.</w:t>
            </w:r>
          </w:p>
        </w:tc>
        <w:tc>
          <w:tcPr>
            <w:tcW w:w="5400" w:type="dxa"/>
            <w:vAlign w:val="bottom"/>
          </w:tcPr>
          <w:p>
            <w:pPr>
              <w:ind w:left="440"/>
              <w:spacing w:after="0"/>
              <w:rPr>
                <w:sz w:val="20"/>
                <w:szCs w:val="20"/>
                <w:color w:val="auto"/>
              </w:rPr>
            </w:pPr>
            <w:r>
              <w:rPr>
                <w:rFonts w:ascii="Courier New" w:cs="Courier New" w:eastAsia="Courier New" w:hAnsi="Courier New"/>
                <w:sz w:val="12"/>
                <w:szCs w:val="12"/>
                <w:color w:val="auto"/>
              </w:rPr>
              <w:t>Compliance with Laws</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121</w:t>
            </w:r>
          </w:p>
        </w:tc>
      </w:tr>
      <w:tr>
        <w:trPr>
          <w:trHeight w:val="142"/>
        </w:trPr>
        <w:tc>
          <w:tcPr>
            <w:tcW w:w="660" w:type="dxa"/>
            <w:vAlign w:val="bottom"/>
          </w:tcPr>
          <w:p>
            <w:pPr>
              <w:spacing w:after="0"/>
              <w:rPr>
                <w:sz w:val="20"/>
                <w:szCs w:val="20"/>
                <w:color w:val="auto"/>
              </w:rPr>
            </w:pPr>
            <w:r>
              <w:rPr>
                <w:rFonts w:ascii="Courier New" w:cs="Courier New" w:eastAsia="Courier New" w:hAnsi="Courier New"/>
                <w:sz w:val="12"/>
                <w:szCs w:val="12"/>
                <w:color w:val="auto"/>
              </w:rPr>
              <w:t>16.27.</w:t>
            </w:r>
          </w:p>
        </w:tc>
        <w:tc>
          <w:tcPr>
            <w:tcW w:w="5400" w:type="dxa"/>
            <w:vAlign w:val="bottom"/>
          </w:tcPr>
          <w:p>
            <w:pPr>
              <w:ind w:left="440"/>
              <w:spacing w:after="0"/>
              <w:rPr>
                <w:sz w:val="20"/>
                <w:szCs w:val="20"/>
                <w:color w:val="auto"/>
              </w:rPr>
            </w:pPr>
            <w:r>
              <w:rPr>
                <w:rFonts w:ascii="Courier New" w:cs="Courier New" w:eastAsia="Courier New" w:hAnsi="Courier New"/>
                <w:sz w:val="12"/>
                <w:szCs w:val="12"/>
                <w:color w:val="auto"/>
              </w:rPr>
              <w:t>Investments in the Borrower</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121</w:t>
            </w:r>
          </w:p>
        </w:tc>
      </w:tr>
      <w:tr>
        <w:trPr>
          <w:trHeight w:val="142"/>
        </w:trPr>
        <w:tc>
          <w:tcPr>
            <w:tcW w:w="660" w:type="dxa"/>
            <w:vAlign w:val="bottom"/>
          </w:tcPr>
          <w:p>
            <w:pPr>
              <w:spacing w:after="0"/>
              <w:rPr>
                <w:sz w:val="20"/>
                <w:szCs w:val="20"/>
                <w:color w:val="auto"/>
              </w:rPr>
            </w:pPr>
            <w:r>
              <w:rPr>
                <w:rFonts w:ascii="Courier New" w:cs="Courier New" w:eastAsia="Courier New" w:hAnsi="Courier New"/>
                <w:sz w:val="12"/>
                <w:szCs w:val="12"/>
                <w:color w:val="auto"/>
              </w:rPr>
              <w:t>16.28.</w:t>
            </w:r>
          </w:p>
        </w:tc>
        <w:tc>
          <w:tcPr>
            <w:tcW w:w="5400" w:type="dxa"/>
            <w:vAlign w:val="bottom"/>
          </w:tcPr>
          <w:p>
            <w:pPr>
              <w:ind w:left="440"/>
              <w:spacing w:after="0"/>
              <w:rPr>
                <w:sz w:val="20"/>
                <w:szCs w:val="20"/>
                <w:color w:val="auto"/>
              </w:rPr>
            </w:pPr>
            <w:r>
              <w:rPr>
                <w:rFonts w:ascii="Courier New" w:cs="Courier New" w:eastAsia="Courier New" w:hAnsi="Courier New"/>
                <w:sz w:val="12"/>
                <w:szCs w:val="12"/>
                <w:color w:val="auto"/>
              </w:rPr>
              <w:t>Taxation</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124</w:t>
            </w:r>
          </w:p>
        </w:tc>
      </w:tr>
      <w:tr>
        <w:trPr>
          <w:trHeight w:val="142"/>
        </w:trPr>
        <w:tc>
          <w:tcPr>
            <w:tcW w:w="660" w:type="dxa"/>
            <w:vAlign w:val="bottom"/>
          </w:tcPr>
          <w:p>
            <w:pPr>
              <w:spacing w:after="0"/>
              <w:rPr>
                <w:sz w:val="20"/>
                <w:szCs w:val="20"/>
                <w:color w:val="auto"/>
              </w:rPr>
            </w:pPr>
            <w:r>
              <w:rPr>
                <w:rFonts w:ascii="Courier New" w:cs="Courier New" w:eastAsia="Courier New" w:hAnsi="Courier New"/>
                <w:sz w:val="12"/>
                <w:szCs w:val="12"/>
                <w:color w:val="auto"/>
              </w:rPr>
              <w:t>16.29.</w:t>
            </w:r>
          </w:p>
        </w:tc>
        <w:tc>
          <w:tcPr>
            <w:tcW w:w="5400" w:type="dxa"/>
            <w:vAlign w:val="bottom"/>
          </w:tcPr>
          <w:p>
            <w:pPr>
              <w:ind w:left="440"/>
              <w:spacing w:after="0"/>
              <w:rPr>
                <w:sz w:val="20"/>
                <w:szCs w:val="20"/>
                <w:color w:val="auto"/>
              </w:rPr>
            </w:pPr>
            <w:r>
              <w:rPr>
                <w:rFonts w:ascii="Courier New" w:cs="Courier New" w:eastAsia="Courier New" w:hAnsi="Courier New"/>
                <w:sz w:val="12"/>
                <w:szCs w:val="12"/>
                <w:color w:val="auto"/>
              </w:rPr>
              <w:t>Financial Undertakings</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124</w:t>
            </w:r>
          </w:p>
        </w:tc>
      </w:tr>
      <w:tr>
        <w:trPr>
          <w:trHeight w:val="142"/>
        </w:trPr>
        <w:tc>
          <w:tcPr>
            <w:tcW w:w="660" w:type="dxa"/>
            <w:vAlign w:val="bottom"/>
          </w:tcPr>
          <w:p>
            <w:pPr>
              <w:spacing w:after="0"/>
              <w:rPr>
                <w:sz w:val="20"/>
                <w:szCs w:val="20"/>
                <w:color w:val="auto"/>
              </w:rPr>
            </w:pPr>
            <w:r>
              <w:rPr>
                <w:rFonts w:ascii="Courier New" w:cs="Courier New" w:eastAsia="Courier New" w:hAnsi="Courier New"/>
                <w:sz w:val="12"/>
                <w:szCs w:val="12"/>
                <w:color w:val="auto"/>
              </w:rPr>
              <w:t>16.30.</w:t>
            </w:r>
          </w:p>
        </w:tc>
        <w:tc>
          <w:tcPr>
            <w:tcW w:w="5400" w:type="dxa"/>
            <w:vAlign w:val="bottom"/>
          </w:tcPr>
          <w:p>
            <w:pPr>
              <w:ind w:left="440"/>
              <w:spacing w:after="0"/>
              <w:rPr>
                <w:sz w:val="20"/>
                <w:szCs w:val="20"/>
                <w:color w:val="auto"/>
              </w:rPr>
            </w:pPr>
            <w:r>
              <w:rPr>
                <w:rFonts w:ascii="Courier New" w:cs="Courier New" w:eastAsia="Courier New" w:hAnsi="Courier New"/>
                <w:sz w:val="12"/>
                <w:szCs w:val="12"/>
                <w:color w:val="auto"/>
              </w:rPr>
              <w:t>Change of Business</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125</w:t>
            </w:r>
          </w:p>
        </w:tc>
      </w:tr>
      <w:tr>
        <w:trPr>
          <w:trHeight w:val="142"/>
        </w:trPr>
        <w:tc>
          <w:tcPr>
            <w:tcW w:w="660" w:type="dxa"/>
            <w:vAlign w:val="bottom"/>
          </w:tcPr>
          <w:p>
            <w:pPr>
              <w:spacing w:after="0"/>
              <w:rPr>
                <w:sz w:val="20"/>
                <w:szCs w:val="20"/>
                <w:color w:val="auto"/>
              </w:rPr>
            </w:pPr>
            <w:r>
              <w:rPr>
                <w:rFonts w:ascii="Courier New" w:cs="Courier New" w:eastAsia="Courier New" w:hAnsi="Courier New"/>
                <w:sz w:val="12"/>
                <w:szCs w:val="12"/>
                <w:color w:val="auto"/>
              </w:rPr>
              <w:t>16.31.</w:t>
            </w:r>
          </w:p>
        </w:tc>
        <w:tc>
          <w:tcPr>
            <w:tcW w:w="5400" w:type="dxa"/>
            <w:vAlign w:val="bottom"/>
          </w:tcPr>
          <w:p>
            <w:pPr>
              <w:ind w:left="440"/>
              <w:spacing w:after="0"/>
              <w:rPr>
                <w:sz w:val="20"/>
                <w:szCs w:val="20"/>
                <w:color w:val="auto"/>
              </w:rPr>
            </w:pPr>
            <w:r>
              <w:rPr>
                <w:rFonts w:ascii="Courier New" w:cs="Courier New" w:eastAsia="Courier New" w:hAnsi="Courier New"/>
                <w:sz w:val="12"/>
                <w:szCs w:val="12"/>
                <w:color w:val="auto"/>
              </w:rPr>
              <w:t>Bank Accounts</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125</w:t>
            </w:r>
          </w:p>
        </w:tc>
      </w:tr>
      <w:tr>
        <w:trPr>
          <w:trHeight w:val="142"/>
        </w:trPr>
        <w:tc>
          <w:tcPr>
            <w:tcW w:w="660" w:type="dxa"/>
            <w:vAlign w:val="bottom"/>
          </w:tcPr>
          <w:p>
            <w:pPr>
              <w:spacing w:after="0"/>
              <w:rPr>
                <w:sz w:val="20"/>
                <w:szCs w:val="20"/>
                <w:color w:val="auto"/>
              </w:rPr>
            </w:pPr>
            <w:r>
              <w:rPr>
                <w:rFonts w:ascii="Courier New" w:cs="Courier New" w:eastAsia="Courier New" w:hAnsi="Courier New"/>
                <w:sz w:val="12"/>
                <w:szCs w:val="12"/>
                <w:color w:val="auto"/>
              </w:rPr>
              <w:t>16.32.</w:t>
            </w:r>
          </w:p>
        </w:tc>
        <w:tc>
          <w:tcPr>
            <w:tcW w:w="5400" w:type="dxa"/>
            <w:vAlign w:val="bottom"/>
          </w:tcPr>
          <w:p>
            <w:pPr>
              <w:ind w:left="440"/>
              <w:spacing w:after="0"/>
              <w:rPr>
                <w:sz w:val="20"/>
                <w:szCs w:val="20"/>
                <w:color w:val="auto"/>
              </w:rPr>
            </w:pPr>
            <w:r>
              <w:rPr>
                <w:rFonts w:ascii="Courier New" w:cs="Courier New" w:eastAsia="Courier New" w:hAnsi="Courier New"/>
                <w:sz w:val="12"/>
                <w:szCs w:val="12"/>
                <w:color w:val="auto"/>
              </w:rPr>
              <w:t>Prohibition on Change of Ownership</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128</w:t>
            </w:r>
          </w:p>
        </w:tc>
      </w:tr>
      <w:tr>
        <w:trPr>
          <w:trHeight w:val="142"/>
        </w:trPr>
        <w:tc>
          <w:tcPr>
            <w:tcW w:w="660" w:type="dxa"/>
            <w:vAlign w:val="bottom"/>
          </w:tcPr>
          <w:p>
            <w:pPr>
              <w:spacing w:after="0"/>
              <w:rPr>
                <w:sz w:val="20"/>
                <w:szCs w:val="20"/>
                <w:color w:val="auto"/>
              </w:rPr>
            </w:pPr>
            <w:r>
              <w:rPr>
                <w:rFonts w:ascii="Courier New" w:cs="Courier New" w:eastAsia="Courier New" w:hAnsi="Courier New"/>
                <w:sz w:val="12"/>
                <w:szCs w:val="12"/>
                <w:color w:val="auto"/>
              </w:rPr>
              <w:t>16.33.</w:t>
            </w:r>
          </w:p>
        </w:tc>
        <w:tc>
          <w:tcPr>
            <w:tcW w:w="5400" w:type="dxa"/>
            <w:vAlign w:val="bottom"/>
          </w:tcPr>
          <w:p>
            <w:pPr>
              <w:ind w:left="440"/>
              <w:spacing w:after="0"/>
              <w:rPr>
                <w:sz w:val="20"/>
                <w:szCs w:val="20"/>
                <w:color w:val="auto"/>
              </w:rPr>
            </w:pPr>
            <w:r>
              <w:rPr>
                <w:rFonts w:ascii="Courier New" w:cs="Courier New" w:eastAsia="Courier New" w:hAnsi="Courier New"/>
                <w:sz w:val="12"/>
                <w:szCs w:val="12"/>
                <w:color w:val="auto"/>
              </w:rPr>
              <w:t>Utilisation of Excess Cash Flow</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128</w:t>
            </w:r>
          </w:p>
        </w:tc>
      </w:tr>
      <w:tr>
        <w:trPr>
          <w:trHeight w:val="142"/>
        </w:trPr>
        <w:tc>
          <w:tcPr>
            <w:tcW w:w="660" w:type="dxa"/>
            <w:vAlign w:val="bottom"/>
          </w:tcPr>
          <w:p>
            <w:pPr>
              <w:spacing w:after="0"/>
              <w:rPr>
                <w:sz w:val="20"/>
                <w:szCs w:val="20"/>
                <w:color w:val="auto"/>
              </w:rPr>
            </w:pPr>
            <w:r>
              <w:rPr>
                <w:rFonts w:ascii="Courier New" w:cs="Courier New" w:eastAsia="Courier New" w:hAnsi="Courier New"/>
                <w:sz w:val="12"/>
                <w:szCs w:val="12"/>
                <w:color w:val="auto"/>
              </w:rPr>
              <w:t>16.34.</w:t>
            </w:r>
          </w:p>
        </w:tc>
        <w:tc>
          <w:tcPr>
            <w:tcW w:w="5400" w:type="dxa"/>
            <w:vAlign w:val="bottom"/>
          </w:tcPr>
          <w:p>
            <w:pPr>
              <w:ind w:left="440"/>
              <w:spacing w:after="0"/>
              <w:rPr>
                <w:sz w:val="20"/>
                <w:szCs w:val="20"/>
                <w:color w:val="auto"/>
              </w:rPr>
            </w:pPr>
            <w:r>
              <w:rPr>
                <w:rFonts w:ascii="Courier New" w:cs="Courier New" w:eastAsia="Courier New" w:hAnsi="Courier New"/>
                <w:sz w:val="12"/>
                <w:szCs w:val="12"/>
                <w:color w:val="auto"/>
              </w:rPr>
              <w:t>Safety Net Undertaking</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128</w:t>
            </w:r>
          </w:p>
        </w:tc>
      </w:tr>
      <w:tr>
        <w:trPr>
          <w:trHeight w:val="142"/>
        </w:trPr>
        <w:tc>
          <w:tcPr>
            <w:tcW w:w="660" w:type="dxa"/>
            <w:vAlign w:val="bottom"/>
          </w:tcPr>
          <w:p>
            <w:pPr>
              <w:spacing w:after="0"/>
              <w:rPr>
                <w:sz w:val="20"/>
                <w:szCs w:val="20"/>
                <w:color w:val="auto"/>
              </w:rPr>
            </w:pPr>
            <w:r>
              <w:rPr>
                <w:rFonts w:ascii="Courier New" w:cs="Courier New" w:eastAsia="Courier New" w:hAnsi="Courier New"/>
                <w:sz w:val="12"/>
                <w:szCs w:val="12"/>
                <w:color w:val="auto"/>
              </w:rPr>
              <w:t>16.35.</w:t>
            </w:r>
          </w:p>
        </w:tc>
        <w:tc>
          <w:tcPr>
            <w:tcW w:w="5400" w:type="dxa"/>
            <w:vAlign w:val="bottom"/>
          </w:tcPr>
          <w:p>
            <w:pPr>
              <w:ind w:left="440"/>
              <w:spacing w:after="0"/>
              <w:rPr>
                <w:sz w:val="20"/>
                <w:szCs w:val="20"/>
                <w:color w:val="auto"/>
              </w:rPr>
            </w:pPr>
            <w:r>
              <w:rPr>
                <w:rFonts w:ascii="Courier New" w:cs="Courier New" w:eastAsia="Courier New" w:hAnsi="Courier New"/>
                <w:sz w:val="12"/>
                <w:szCs w:val="12"/>
                <w:color w:val="auto"/>
              </w:rPr>
              <w:t>Outside Investment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128</w:t>
            </w:r>
          </w:p>
        </w:tc>
      </w:tr>
      <w:tr>
        <w:trPr>
          <w:trHeight w:val="142"/>
        </w:trPr>
        <w:tc>
          <w:tcPr>
            <w:tcW w:w="660" w:type="dxa"/>
            <w:vAlign w:val="bottom"/>
          </w:tcPr>
          <w:p>
            <w:pPr>
              <w:spacing w:after="0"/>
              <w:rPr>
                <w:sz w:val="20"/>
                <w:szCs w:val="20"/>
                <w:color w:val="auto"/>
              </w:rPr>
            </w:pPr>
            <w:r>
              <w:rPr>
                <w:rFonts w:ascii="Courier New" w:cs="Courier New" w:eastAsia="Courier New" w:hAnsi="Courier New"/>
                <w:sz w:val="12"/>
                <w:szCs w:val="12"/>
                <w:color w:val="auto"/>
              </w:rPr>
              <w:t>16.36.</w:t>
            </w:r>
          </w:p>
        </w:tc>
        <w:tc>
          <w:tcPr>
            <w:tcW w:w="5400" w:type="dxa"/>
            <w:vAlign w:val="bottom"/>
          </w:tcPr>
          <w:p>
            <w:pPr>
              <w:ind w:left="440"/>
              <w:spacing w:after="0"/>
              <w:rPr>
                <w:sz w:val="20"/>
                <w:szCs w:val="20"/>
                <w:color w:val="auto"/>
              </w:rPr>
            </w:pPr>
            <w:r>
              <w:rPr>
                <w:rFonts w:ascii="Courier New" w:cs="Courier New" w:eastAsia="Courier New" w:hAnsi="Courier New"/>
                <w:sz w:val="12"/>
                <w:szCs w:val="12"/>
                <w:color w:val="auto"/>
              </w:rPr>
              <w:t>Interest Payment Loans; Additional Investment Undertakings</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130</w:t>
            </w:r>
          </w:p>
        </w:tc>
      </w:tr>
      <w:tr>
        <w:trPr>
          <w:trHeight w:val="283"/>
        </w:trPr>
        <w:tc>
          <w:tcPr>
            <w:tcW w:w="660" w:type="dxa"/>
            <w:vAlign w:val="bottom"/>
          </w:tcPr>
          <w:p>
            <w:pPr>
              <w:spacing w:after="0"/>
              <w:rPr>
                <w:sz w:val="20"/>
                <w:szCs w:val="20"/>
                <w:color w:val="auto"/>
              </w:rPr>
            </w:pPr>
            <w:r>
              <w:rPr>
                <w:rFonts w:ascii="Courier New" w:cs="Courier New" w:eastAsia="Courier New" w:hAnsi="Courier New"/>
                <w:sz w:val="12"/>
                <w:szCs w:val="12"/>
                <w:color w:val="auto"/>
              </w:rPr>
              <w:t>17.</w:t>
            </w:r>
          </w:p>
        </w:tc>
        <w:tc>
          <w:tcPr>
            <w:tcW w:w="5400" w:type="dxa"/>
            <w:vAlign w:val="bottom"/>
          </w:tcPr>
          <w:p>
            <w:pPr>
              <w:ind w:left="220"/>
              <w:spacing w:after="0"/>
              <w:rPr>
                <w:sz w:val="20"/>
                <w:szCs w:val="20"/>
                <w:color w:val="auto"/>
              </w:rPr>
            </w:pPr>
            <w:r>
              <w:rPr>
                <w:rFonts w:ascii="Courier New" w:cs="Courier New" w:eastAsia="Courier New" w:hAnsi="Courier New"/>
                <w:sz w:val="12"/>
                <w:szCs w:val="12"/>
                <w:color w:val="auto"/>
              </w:rPr>
              <w:t>DEFAULT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131</w:t>
            </w:r>
          </w:p>
        </w:tc>
      </w:tr>
      <w:tr>
        <w:trPr>
          <w:trHeight w:val="142"/>
        </w:trPr>
        <w:tc>
          <w:tcPr>
            <w:tcW w:w="660" w:type="dxa"/>
            <w:vAlign w:val="bottom"/>
          </w:tcPr>
          <w:p>
            <w:pPr>
              <w:spacing w:after="0"/>
              <w:rPr>
                <w:sz w:val="20"/>
                <w:szCs w:val="20"/>
                <w:color w:val="auto"/>
              </w:rPr>
            </w:pPr>
            <w:r>
              <w:rPr>
                <w:rFonts w:ascii="Courier New" w:cs="Courier New" w:eastAsia="Courier New" w:hAnsi="Courier New"/>
                <w:sz w:val="12"/>
                <w:szCs w:val="12"/>
                <w:color w:val="auto"/>
              </w:rPr>
              <w:t>17.1.</w:t>
            </w:r>
          </w:p>
        </w:tc>
        <w:tc>
          <w:tcPr>
            <w:tcW w:w="5400" w:type="dxa"/>
            <w:vAlign w:val="bottom"/>
          </w:tcPr>
          <w:p>
            <w:pPr>
              <w:ind w:left="440"/>
              <w:spacing w:after="0"/>
              <w:rPr>
                <w:sz w:val="20"/>
                <w:szCs w:val="20"/>
                <w:color w:val="auto"/>
              </w:rPr>
            </w:pPr>
            <w:r>
              <w:rPr>
                <w:rFonts w:ascii="Courier New" w:cs="Courier New" w:eastAsia="Courier New" w:hAnsi="Courier New"/>
                <w:sz w:val="12"/>
                <w:szCs w:val="12"/>
                <w:color w:val="auto"/>
              </w:rPr>
              <w:t>Events of Default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131</w:t>
            </w:r>
          </w:p>
        </w:tc>
      </w:tr>
      <w:tr>
        <w:trPr>
          <w:trHeight w:val="142"/>
        </w:trPr>
        <w:tc>
          <w:tcPr>
            <w:tcW w:w="660" w:type="dxa"/>
            <w:vAlign w:val="bottom"/>
          </w:tcPr>
          <w:p>
            <w:pPr>
              <w:spacing w:after="0"/>
              <w:rPr>
                <w:sz w:val="20"/>
                <w:szCs w:val="20"/>
                <w:color w:val="auto"/>
              </w:rPr>
            </w:pPr>
            <w:r>
              <w:rPr>
                <w:rFonts w:ascii="Courier New" w:cs="Courier New" w:eastAsia="Courier New" w:hAnsi="Courier New"/>
                <w:sz w:val="12"/>
                <w:szCs w:val="12"/>
                <w:color w:val="auto"/>
              </w:rPr>
              <w:t>17.2.</w:t>
            </w:r>
          </w:p>
        </w:tc>
        <w:tc>
          <w:tcPr>
            <w:tcW w:w="5400" w:type="dxa"/>
            <w:vAlign w:val="bottom"/>
          </w:tcPr>
          <w:p>
            <w:pPr>
              <w:ind w:left="440"/>
              <w:spacing w:after="0"/>
              <w:rPr>
                <w:sz w:val="20"/>
                <w:szCs w:val="20"/>
                <w:color w:val="auto"/>
              </w:rPr>
            </w:pPr>
            <w:r>
              <w:rPr>
                <w:rFonts w:ascii="Courier New" w:cs="Courier New" w:eastAsia="Courier New" w:hAnsi="Courier New"/>
                <w:sz w:val="12"/>
                <w:szCs w:val="12"/>
                <w:color w:val="auto"/>
              </w:rPr>
              <w:t>Non-Payment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131</w:t>
            </w:r>
          </w:p>
        </w:tc>
      </w:tr>
      <w:tr>
        <w:trPr>
          <w:trHeight w:val="142"/>
        </w:trPr>
        <w:tc>
          <w:tcPr>
            <w:tcW w:w="660" w:type="dxa"/>
            <w:vAlign w:val="bottom"/>
          </w:tcPr>
          <w:p>
            <w:pPr>
              <w:spacing w:after="0"/>
              <w:rPr>
                <w:sz w:val="20"/>
                <w:szCs w:val="20"/>
                <w:color w:val="auto"/>
              </w:rPr>
            </w:pPr>
            <w:r>
              <w:rPr>
                <w:rFonts w:ascii="Courier New" w:cs="Courier New" w:eastAsia="Courier New" w:hAnsi="Courier New"/>
                <w:sz w:val="12"/>
                <w:szCs w:val="12"/>
                <w:color w:val="auto"/>
              </w:rPr>
              <w:t>17.3.</w:t>
            </w:r>
          </w:p>
        </w:tc>
        <w:tc>
          <w:tcPr>
            <w:tcW w:w="5400" w:type="dxa"/>
            <w:vAlign w:val="bottom"/>
          </w:tcPr>
          <w:p>
            <w:pPr>
              <w:ind w:left="440"/>
              <w:spacing w:after="0"/>
              <w:rPr>
                <w:sz w:val="20"/>
                <w:szCs w:val="20"/>
                <w:color w:val="auto"/>
              </w:rPr>
            </w:pPr>
            <w:r>
              <w:rPr>
                <w:rFonts w:ascii="Courier New" w:cs="Courier New" w:eastAsia="Courier New" w:hAnsi="Courier New"/>
                <w:sz w:val="12"/>
                <w:szCs w:val="12"/>
                <w:color w:val="auto"/>
              </w:rPr>
              <w:t>Breach of Obligations</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131</w:t>
            </w:r>
          </w:p>
        </w:tc>
      </w:tr>
      <w:tr>
        <w:trPr>
          <w:trHeight w:val="142"/>
        </w:trPr>
        <w:tc>
          <w:tcPr>
            <w:tcW w:w="660" w:type="dxa"/>
            <w:vAlign w:val="bottom"/>
          </w:tcPr>
          <w:p>
            <w:pPr>
              <w:spacing w:after="0"/>
              <w:rPr>
                <w:sz w:val="20"/>
                <w:szCs w:val="20"/>
                <w:color w:val="auto"/>
              </w:rPr>
            </w:pPr>
            <w:r>
              <w:rPr>
                <w:rFonts w:ascii="Courier New" w:cs="Courier New" w:eastAsia="Courier New" w:hAnsi="Courier New"/>
                <w:sz w:val="12"/>
                <w:szCs w:val="12"/>
                <w:color w:val="auto"/>
              </w:rPr>
              <w:t>17.4.</w:t>
            </w:r>
          </w:p>
        </w:tc>
        <w:tc>
          <w:tcPr>
            <w:tcW w:w="5400" w:type="dxa"/>
            <w:vAlign w:val="bottom"/>
          </w:tcPr>
          <w:p>
            <w:pPr>
              <w:ind w:left="440"/>
              <w:spacing w:after="0"/>
              <w:rPr>
                <w:sz w:val="20"/>
                <w:szCs w:val="20"/>
                <w:color w:val="auto"/>
              </w:rPr>
            </w:pPr>
            <w:r>
              <w:rPr>
                <w:rFonts w:ascii="Courier New" w:cs="Courier New" w:eastAsia="Courier New" w:hAnsi="Courier New"/>
                <w:sz w:val="12"/>
                <w:szCs w:val="12"/>
                <w:color w:val="auto"/>
              </w:rPr>
              <w:t>Misrepresentation/Breach of Warranties</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132</w:t>
            </w:r>
          </w:p>
        </w:tc>
      </w:tr>
      <w:tr>
        <w:trPr>
          <w:trHeight w:val="142"/>
        </w:trPr>
        <w:tc>
          <w:tcPr>
            <w:tcW w:w="660" w:type="dxa"/>
            <w:vAlign w:val="bottom"/>
          </w:tcPr>
          <w:p>
            <w:pPr>
              <w:spacing w:after="0"/>
              <w:rPr>
                <w:sz w:val="20"/>
                <w:szCs w:val="20"/>
                <w:color w:val="auto"/>
              </w:rPr>
            </w:pPr>
            <w:r>
              <w:rPr>
                <w:rFonts w:ascii="Courier New" w:cs="Courier New" w:eastAsia="Courier New" w:hAnsi="Courier New"/>
                <w:sz w:val="12"/>
                <w:szCs w:val="12"/>
                <w:color w:val="auto"/>
              </w:rPr>
              <w:t>17.5.</w:t>
            </w:r>
          </w:p>
        </w:tc>
        <w:tc>
          <w:tcPr>
            <w:tcW w:w="5400" w:type="dxa"/>
            <w:vAlign w:val="bottom"/>
          </w:tcPr>
          <w:p>
            <w:pPr>
              <w:ind w:left="440"/>
              <w:spacing w:after="0"/>
              <w:rPr>
                <w:sz w:val="20"/>
                <w:szCs w:val="20"/>
                <w:color w:val="auto"/>
              </w:rPr>
            </w:pPr>
            <w:r>
              <w:rPr>
                <w:rFonts w:ascii="Courier New" w:cs="Courier New" w:eastAsia="Courier New" w:hAnsi="Courier New"/>
                <w:sz w:val="12"/>
                <w:szCs w:val="12"/>
                <w:color w:val="auto"/>
              </w:rPr>
              <w:t>Invalidity</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132</w:t>
            </w:r>
          </w:p>
        </w:tc>
      </w:tr>
    </w:tbl>
    <w:p>
      <w:pPr>
        <w:sectPr>
          <w:pgSz w:w="11900" w:h="16865" w:orient="portrait"/>
          <w:cols w:equalWidth="0" w:num="1">
            <w:col w:w="10239"/>
          </w:cols>
          <w:pgMar w:left="220" w:top="141" w:right="1440" w:bottom="0" w:gutter="0" w:footer="0" w:header="0"/>
        </w:sectPr>
      </w:pPr>
    </w:p>
    <w:bookmarkStart w:id="72" w:name="page73"/>
    <w:bookmarkEnd w:id="72"/>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20"/>
                <w:szCs w:val="20"/>
                <w:color w:val="auto"/>
              </w:rPr>
            </w:pPr>
            <w:r>
              <w:rPr>
                <w:rFonts w:ascii="Courier New" w:cs="Courier New" w:eastAsia="Courier New" w:hAnsi="Courier New"/>
                <w:sz w:val="12"/>
                <w:szCs w:val="12"/>
                <w:color w:val="auto"/>
              </w:rPr>
              <w:t>17.6.</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Cross Acceleration</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132</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17.7.</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Insolvency and Rescheduling</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134</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17.8.</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Winding-Up</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134</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17.9.</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Execution or Other Process</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134</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17.10.</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Material Contracts</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134</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17.11.</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Proceedings</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135</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17.12.</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Consents</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135</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17.13.</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Material Adverse Effect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135</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17.14.</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Fab 2</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136</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17.15.</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Completion of Fab 2</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136</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17.16.</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Construction Contract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136</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17.17.</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Government Action</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136</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17.18.</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Illegality</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136</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17.19.</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Investment Centre Fab 2 Grants</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136</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17.20.</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Default by the Borrower under any Qualifying Wafer Prepayment Contract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137</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17.20A.</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Prohibited Payment under the Permitted Subordinated Debt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137</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17.20B.</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Outside Investment Undertakings</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137</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17.20C.</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Additional Investment Undertakings</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138</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17.21.</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Acceleration</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138</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17.22.</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Loans Due on Demand</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138</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17.23.</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Collection</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139</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17.24.</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Indemnity</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139</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17.25.</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Termination of Commitment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139</w:t>
            </w:r>
          </w:p>
        </w:tc>
      </w:tr>
      <w:tr>
        <w:trPr>
          <w:trHeight w:val="283"/>
        </w:trPr>
        <w:tc>
          <w:tcPr>
            <w:tcW w:w="800" w:type="dxa"/>
            <w:vAlign w:val="bottom"/>
          </w:tcPr>
          <w:p>
            <w:pPr>
              <w:spacing w:after="0"/>
              <w:rPr>
                <w:sz w:val="20"/>
                <w:szCs w:val="20"/>
                <w:color w:val="auto"/>
              </w:rPr>
            </w:pPr>
            <w:r>
              <w:rPr>
                <w:rFonts w:ascii="Courier New" w:cs="Courier New" w:eastAsia="Courier New" w:hAnsi="Courier New"/>
                <w:sz w:val="12"/>
                <w:szCs w:val="12"/>
                <w:color w:val="auto"/>
              </w:rPr>
              <w:t>18.</w:t>
            </w:r>
          </w:p>
        </w:tc>
        <w:tc>
          <w:tcPr>
            <w:tcW w:w="5680" w:type="dxa"/>
            <w:vAlign w:val="bottom"/>
          </w:tcPr>
          <w:p>
            <w:pPr>
              <w:ind w:left="80"/>
              <w:spacing w:after="0"/>
              <w:rPr>
                <w:sz w:val="20"/>
                <w:szCs w:val="20"/>
                <w:color w:val="auto"/>
              </w:rPr>
            </w:pPr>
            <w:r>
              <w:rPr>
                <w:rFonts w:ascii="Courier New" w:cs="Courier New" w:eastAsia="Courier New" w:hAnsi="Courier New"/>
                <w:sz w:val="12"/>
                <w:szCs w:val="12"/>
                <w:color w:val="auto"/>
              </w:rPr>
              <w:t>DEFAULT INTEREST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139</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18.1.</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Default Rate Periods</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139</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18.2.</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Default Interest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140</w:t>
            </w:r>
          </w:p>
        </w:tc>
      </w:tr>
      <w:tr>
        <w:trPr>
          <w:trHeight w:val="142"/>
        </w:trPr>
        <w:tc>
          <w:tcPr>
            <w:tcW w:w="800" w:type="dxa"/>
            <w:vAlign w:val="bottom"/>
          </w:tcPr>
          <w:p>
            <w:pPr>
              <w:spacing w:after="0"/>
              <w:rPr>
                <w:sz w:val="20"/>
                <w:szCs w:val="20"/>
                <w:color w:val="auto"/>
              </w:rPr>
            </w:pPr>
            <w:r>
              <w:rPr>
                <w:rFonts w:ascii="Courier New" w:cs="Courier New" w:eastAsia="Courier New" w:hAnsi="Courier New"/>
                <w:sz w:val="12"/>
                <w:szCs w:val="12"/>
                <w:color w:val="auto"/>
              </w:rPr>
              <w:t>18.3.</w:t>
            </w:r>
          </w:p>
        </w:tc>
        <w:tc>
          <w:tcPr>
            <w:tcW w:w="5680" w:type="dxa"/>
            <w:vAlign w:val="bottom"/>
          </w:tcPr>
          <w:p>
            <w:pPr>
              <w:ind w:left="300"/>
              <w:spacing w:after="0"/>
              <w:rPr>
                <w:sz w:val="20"/>
                <w:szCs w:val="20"/>
                <w:color w:val="auto"/>
              </w:rPr>
            </w:pPr>
            <w:r>
              <w:rPr>
                <w:rFonts w:ascii="Courier New" w:cs="Courier New" w:eastAsia="Courier New" w:hAnsi="Courier New"/>
                <w:sz w:val="12"/>
                <w:szCs w:val="12"/>
                <w:color w:val="auto"/>
              </w:rPr>
              <w:t>Payment of Default Interest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140</w:t>
            </w:r>
          </w:p>
        </w:tc>
      </w:tr>
      <w:tr>
        <w:trPr>
          <w:trHeight w:val="425"/>
        </w:trPr>
        <w:tc>
          <w:tcPr>
            <w:tcW w:w="800" w:type="dxa"/>
            <w:vAlign w:val="bottom"/>
          </w:tcPr>
          <w:p>
            <w:pPr>
              <w:spacing w:after="0"/>
              <w:rPr>
                <w:sz w:val="24"/>
                <w:szCs w:val="24"/>
                <w:color w:val="auto"/>
              </w:rPr>
            </w:pPr>
          </w:p>
        </w:tc>
        <w:tc>
          <w:tcPr>
            <w:tcW w:w="5680" w:type="dxa"/>
            <w:vAlign w:val="bottom"/>
          </w:tcPr>
          <w:p>
            <w:pPr>
              <w:ind w:left="2000"/>
              <w:spacing w:after="0"/>
              <w:rPr>
                <w:sz w:val="20"/>
                <w:szCs w:val="20"/>
                <w:color w:val="auto"/>
              </w:rPr>
            </w:pPr>
            <w:r>
              <w:rPr>
                <w:rFonts w:ascii="Courier New" w:cs="Courier New" w:eastAsia="Courier New" w:hAnsi="Courier New"/>
                <w:sz w:val="12"/>
                <w:szCs w:val="12"/>
                <w:color w:val="auto"/>
              </w:rPr>
              <w:t>(iv)</w:t>
            </w:r>
          </w:p>
        </w:tc>
        <w:tc>
          <w:tcPr>
            <w:tcW w:w="500" w:type="dxa"/>
            <w:vAlign w:val="bottom"/>
          </w:tcPr>
          <w:p>
            <w:pPr>
              <w:spacing w:after="0"/>
              <w:rPr>
                <w:sz w:val="24"/>
                <w:szCs w:val="24"/>
                <w:color w:val="auto"/>
              </w:rPr>
            </w:pPr>
          </w:p>
        </w:tc>
      </w:tr>
      <w:tr>
        <w:trPr>
          <w:trHeight w:val="689"/>
        </w:trPr>
        <w:tc>
          <w:tcPr>
            <w:tcW w:w="800" w:type="dxa"/>
            <w:vAlign w:val="bottom"/>
          </w:tcPr>
          <w:p>
            <w:pPr>
              <w:spacing w:after="0"/>
              <w:rPr>
                <w:sz w:val="24"/>
                <w:szCs w:val="24"/>
                <w:color w:val="auto"/>
              </w:rPr>
            </w:pPr>
          </w:p>
        </w:tc>
        <w:tc>
          <w:tcPr>
            <w:tcW w:w="5680" w:type="dxa"/>
            <w:vAlign w:val="bottom"/>
          </w:tcPr>
          <w:p>
            <w:pPr>
              <w:ind w:left="1560"/>
              <w:spacing w:after="0"/>
              <w:rPr>
                <w:sz w:val="20"/>
                <w:szCs w:val="20"/>
                <w:color w:val="auto"/>
              </w:rPr>
            </w:pPr>
            <w:r>
              <w:rPr>
                <w:rFonts w:ascii="Courier New" w:cs="Courier New" w:eastAsia="Courier New" w:hAnsi="Courier New"/>
                <w:sz w:val="12"/>
                <w:szCs w:val="12"/>
                <w:color w:val="auto"/>
              </w:rPr>
              <w:t>TABLE OF CONTENTS</w:t>
            </w:r>
          </w:p>
        </w:tc>
        <w:tc>
          <w:tcPr>
            <w:tcW w:w="500" w:type="dxa"/>
            <w:vAlign w:val="bottom"/>
          </w:tcPr>
          <w:p>
            <w:pPr>
              <w:spacing w:after="0"/>
              <w:rPr>
                <w:sz w:val="24"/>
                <w:szCs w:val="24"/>
                <w:color w:val="auto"/>
              </w:rPr>
            </w:pPr>
          </w:p>
        </w:tc>
      </w:tr>
      <w:tr>
        <w:trPr>
          <w:trHeight w:val="142"/>
        </w:trPr>
        <w:tc>
          <w:tcPr>
            <w:tcW w:w="800" w:type="dxa"/>
            <w:vAlign w:val="bottom"/>
          </w:tcPr>
          <w:p>
            <w:pPr>
              <w:spacing w:after="0"/>
              <w:rPr>
                <w:sz w:val="12"/>
                <w:szCs w:val="12"/>
                <w:color w:val="auto"/>
              </w:rPr>
            </w:pPr>
          </w:p>
        </w:tc>
        <w:tc>
          <w:tcPr>
            <w:tcW w:w="5680" w:type="dxa"/>
            <w:vAlign w:val="bottom"/>
          </w:tcPr>
          <w:p>
            <w:pPr>
              <w:ind w:left="1780"/>
              <w:spacing w:after="0"/>
              <w:rPr>
                <w:sz w:val="20"/>
                <w:szCs w:val="20"/>
                <w:color w:val="auto"/>
              </w:rPr>
            </w:pPr>
            <w:r>
              <w:rPr>
                <w:rFonts w:ascii="Courier New" w:cs="Courier New" w:eastAsia="Courier New" w:hAnsi="Courier New"/>
                <w:sz w:val="12"/>
                <w:szCs w:val="12"/>
                <w:color w:val="auto"/>
              </w:rPr>
              <w:t>(CONTINUED)</w:t>
            </w:r>
          </w:p>
        </w:tc>
        <w:tc>
          <w:tcPr>
            <w:tcW w:w="500" w:type="dxa"/>
            <w:vAlign w:val="bottom"/>
          </w:tcPr>
          <w:p>
            <w:pPr>
              <w:spacing w:after="0"/>
              <w:rPr>
                <w:sz w:val="12"/>
                <w:szCs w:val="12"/>
                <w:color w:val="auto"/>
              </w:rPr>
            </w:pPr>
          </w:p>
        </w:tc>
      </w:tr>
      <w:tr>
        <w:trPr>
          <w:trHeight w:val="283"/>
        </w:trPr>
        <w:tc>
          <w:tcPr>
            <w:tcW w:w="800" w:type="dxa"/>
            <w:vAlign w:val="bottom"/>
          </w:tcPr>
          <w:p>
            <w:pPr>
              <w:spacing w:after="0"/>
              <w:rPr>
                <w:sz w:val="20"/>
                <w:szCs w:val="20"/>
                <w:color w:val="auto"/>
              </w:rPr>
            </w:pPr>
            <w:r>
              <w:rPr>
                <w:rFonts w:ascii="Courier New" w:cs="Courier New" w:eastAsia="Courier New" w:hAnsi="Courier New"/>
                <w:sz w:val="12"/>
                <w:szCs w:val="12"/>
                <w:color w:val="auto"/>
              </w:rPr>
              <w:t>CLAUSE NO.</w:t>
            </w:r>
          </w:p>
        </w:tc>
        <w:tc>
          <w:tcPr>
            <w:tcW w:w="56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PAGE</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0" w:type="dxa"/>
            <w:vAlign w:val="bottom"/>
          </w:tcPr>
          <w:p>
            <w:pPr>
              <w:spacing w:after="0"/>
              <w:rPr>
                <w:sz w:val="20"/>
                <w:szCs w:val="20"/>
                <w:color w:val="auto"/>
              </w:rPr>
            </w:pPr>
            <w:r>
              <w:rPr>
                <w:rFonts w:ascii="Courier New" w:cs="Courier New" w:eastAsia="Courier New" w:hAnsi="Courier New"/>
                <w:sz w:val="12"/>
                <w:szCs w:val="12"/>
                <w:color w:val="auto"/>
              </w:rPr>
              <w:t>19.</w:t>
            </w:r>
          </w:p>
        </w:tc>
        <w:tc>
          <w:tcPr>
            <w:tcW w:w="4420" w:type="dxa"/>
            <w:vAlign w:val="bottom"/>
          </w:tcPr>
          <w:p>
            <w:pPr>
              <w:ind w:left="120"/>
              <w:spacing w:after="0"/>
              <w:rPr>
                <w:sz w:val="20"/>
                <w:szCs w:val="20"/>
                <w:color w:val="auto"/>
              </w:rPr>
            </w:pPr>
            <w:r>
              <w:rPr>
                <w:rFonts w:ascii="Courier New" w:cs="Courier New" w:eastAsia="Courier New" w:hAnsi="Courier New"/>
                <w:sz w:val="12"/>
                <w:szCs w:val="12"/>
                <w:color w:val="auto"/>
              </w:rPr>
              <w:t>BROKEN FUNDING INDEMNITY</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140</w:t>
            </w:r>
          </w:p>
        </w:tc>
      </w:tr>
      <w:tr>
        <w:trPr>
          <w:trHeight w:val="142"/>
        </w:trPr>
        <w:tc>
          <w:tcPr>
            <w:tcW w:w="760" w:type="dxa"/>
            <w:vAlign w:val="bottom"/>
          </w:tcPr>
          <w:p>
            <w:pPr>
              <w:spacing w:after="0"/>
              <w:rPr>
                <w:sz w:val="20"/>
                <w:szCs w:val="20"/>
                <w:color w:val="auto"/>
              </w:rPr>
            </w:pPr>
            <w:r>
              <w:rPr>
                <w:rFonts w:ascii="Courier New" w:cs="Courier New" w:eastAsia="Courier New" w:hAnsi="Courier New"/>
                <w:sz w:val="12"/>
                <w:szCs w:val="12"/>
                <w:color w:val="auto"/>
              </w:rPr>
              <w:t>19.1.</w:t>
            </w:r>
          </w:p>
        </w:tc>
        <w:tc>
          <w:tcPr>
            <w:tcW w:w="4420" w:type="dxa"/>
            <w:vAlign w:val="bottom"/>
          </w:tcPr>
          <w:p>
            <w:pPr>
              <w:ind w:left="340"/>
              <w:spacing w:after="0"/>
              <w:rPr>
                <w:sz w:val="20"/>
                <w:szCs w:val="20"/>
                <w:color w:val="auto"/>
              </w:rPr>
            </w:pPr>
            <w:r>
              <w:rPr>
                <w:rFonts w:ascii="Courier New" w:cs="Courier New" w:eastAsia="Courier New" w:hAnsi="Courier New"/>
                <w:sz w:val="12"/>
                <w:szCs w:val="12"/>
                <w:color w:val="auto"/>
              </w:rPr>
              <w:t>Broken Funding</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140</w:t>
            </w:r>
          </w:p>
        </w:tc>
      </w:tr>
      <w:tr>
        <w:trPr>
          <w:trHeight w:val="142"/>
        </w:trPr>
        <w:tc>
          <w:tcPr>
            <w:tcW w:w="760" w:type="dxa"/>
            <w:vAlign w:val="bottom"/>
          </w:tcPr>
          <w:p>
            <w:pPr>
              <w:spacing w:after="0"/>
              <w:rPr>
                <w:sz w:val="20"/>
                <w:szCs w:val="20"/>
                <w:color w:val="auto"/>
              </w:rPr>
            </w:pPr>
            <w:r>
              <w:rPr>
                <w:rFonts w:ascii="Courier New" w:cs="Courier New" w:eastAsia="Courier New" w:hAnsi="Courier New"/>
                <w:sz w:val="12"/>
                <w:szCs w:val="12"/>
                <w:color w:val="auto"/>
              </w:rPr>
              <w:t>19.2.</w:t>
            </w:r>
          </w:p>
        </w:tc>
        <w:tc>
          <w:tcPr>
            <w:tcW w:w="4420" w:type="dxa"/>
            <w:vAlign w:val="bottom"/>
          </w:tcPr>
          <w:p>
            <w:pPr>
              <w:ind w:left="340"/>
              <w:spacing w:after="0"/>
              <w:rPr>
                <w:sz w:val="20"/>
                <w:szCs w:val="20"/>
                <w:color w:val="auto"/>
              </w:rPr>
            </w:pPr>
            <w:r>
              <w:rPr>
                <w:rFonts w:ascii="Courier New" w:cs="Courier New" w:eastAsia="Courier New" w:hAnsi="Courier New"/>
                <w:sz w:val="12"/>
                <w:szCs w:val="12"/>
                <w:color w:val="auto"/>
              </w:rPr>
              <w:t>Failure to Draw Advance</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141</w:t>
            </w:r>
          </w:p>
        </w:tc>
      </w:tr>
      <w:tr>
        <w:trPr>
          <w:trHeight w:val="283"/>
        </w:trPr>
        <w:tc>
          <w:tcPr>
            <w:tcW w:w="760" w:type="dxa"/>
            <w:vAlign w:val="bottom"/>
          </w:tcPr>
          <w:p>
            <w:pPr>
              <w:spacing w:after="0"/>
              <w:rPr>
                <w:sz w:val="20"/>
                <w:szCs w:val="20"/>
                <w:color w:val="auto"/>
              </w:rPr>
            </w:pPr>
            <w:r>
              <w:rPr>
                <w:rFonts w:ascii="Courier New" w:cs="Courier New" w:eastAsia="Courier New" w:hAnsi="Courier New"/>
                <w:sz w:val="12"/>
                <w:szCs w:val="12"/>
                <w:color w:val="auto"/>
              </w:rPr>
              <w:t>20.</w:t>
            </w:r>
          </w:p>
        </w:tc>
        <w:tc>
          <w:tcPr>
            <w:tcW w:w="4420" w:type="dxa"/>
            <w:vAlign w:val="bottom"/>
          </w:tcPr>
          <w:p>
            <w:pPr>
              <w:ind w:left="120"/>
              <w:spacing w:after="0"/>
              <w:rPr>
                <w:sz w:val="20"/>
                <w:szCs w:val="20"/>
                <w:color w:val="auto"/>
              </w:rPr>
            </w:pPr>
            <w:r>
              <w:rPr>
                <w:rFonts w:ascii="Courier New" w:cs="Courier New" w:eastAsia="Courier New" w:hAnsi="Courier New"/>
                <w:sz w:val="12"/>
                <w:szCs w:val="12"/>
                <w:color w:val="auto"/>
              </w:rPr>
              <w:t>PAYMENTS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141</w:t>
            </w:r>
          </w:p>
        </w:tc>
      </w:tr>
      <w:tr>
        <w:trPr>
          <w:trHeight w:val="142"/>
        </w:trPr>
        <w:tc>
          <w:tcPr>
            <w:tcW w:w="760" w:type="dxa"/>
            <w:vAlign w:val="bottom"/>
          </w:tcPr>
          <w:p>
            <w:pPr>
              <w:spacing w:after="0"/>
              <w:rPr>
                <w:sz w:val="20"/>
                <w:szCs w:val="20"/>
                <w:color w:val="auto"/>
              </w:rPr>
            </w:pPr>
            <w:r>
              <w:rPr>
                <w:rFonts w:ascii="Courier New" w:cs="Courier New" w:eastAsia="Courier New" w:hAnsi="Courier New"/>
                <w:sz w:val="12"/>
                <w:szCs w:val="12"/>
                <w:color w:val="auto"/>
              </w:rPr>
              <w:t>20.1.</w:t>
            </w:r>
          </w:p>
        </w:tc>
        <w:tc>
          <w:tcPr>
            <w:tcW w:w="4420" w:type="dxa"/>
            <w:vAlign w:val="bottom"/>
          </w:tcPr>
          <w:p>
            <w:pPr>
              <w:ind w:left="340"/>
              <w:spacing w:after="0"/>
              <w:rPr>
                <w:sz w:val="20"/>
                <w:szCs w:val="20"/>
                <w:color w:val="auto"/>
              </w:rPr>
            </w:pPr>
            <w:r>
              <w:rPr>
                <w:rFonts w:ascii="Courier New" w:cs="Courier New" w:eastAsia="Courier New" w:hAnsi="Courier New"/>
                <w:sz w:val="12"/>
                <w:szCs w:val="12"/>
                <w:color w:val="auto"/>
              </w:rPr>
              <w:t>Payments by Borrower</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141</w:t>
            </w:r>
          </w:p>
        </w:tc>
      </w:tr>
      <w:tr>
        <w:trPr>
          <w:trHeight w:val="142"/>
        </w:trPr>
        <w:tc>
          <w:tcPr>
            <w:tcW w:w="760" w:type="dxa"/>
            <w:vAlign w:val="bottom"/>
          </w:tcPr>
          <w:p>
            <w:pPr>
              <w:spacing w:after="0"/>
              <w:rPr>
                <w:sz w:val="20"/>
                <w:szCs w:val="20"/>
                <w:color w:val="auto"/>
              </w:rPr>
            </w:pPr>
            <w:r>
              <w:rPr>
                <w:rFonts w:ascii="Courier New" w:cs="Courier New" w:eastAsia="Courier New" w:hAnsi="Courier New"/>
                <w:sz w:val="12"/>
                <w:szCs w:val="12"/>
                <w:color w:val="auto"/>
              </w:rPr>
              <w:t>20.2.</w:t>
            </w:r>
          </w:p>
        </w:tc>
        <w:tc>
          <w:tcPr>
            <w:tcW w:w="4420" w:type="dxa"/>
            <w:vAlign w:val="bottom"/>
          </w:tcPr>
          <w:p>
            <w:pPr>
              <w:ind w:left="340"/>
              <w:spacing w:after="0"/>
              <w:rPr>
                <w:sz w:val="20"/>
                <w:szCs w:val="20"/>
                <w:color w:val="auto"/>
              </w:rPr>
            </w:pPr>
            <w:r>
              <w:rPr>
                <w:rFonts w:ascii="Courier New" w:cs="Courier New" w:eastAsia="Courier New" w:hAnsi="Courier New"/>
                <w:sz w:val="12"/>
                <w:szCs w:val="12"/>
                <w:color w:val="auto"/>
              </w:rPr>
              <w:t>Payments by Banks to Borrower</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141</w:t>
            </w:r>
          </w:p>
        </w:tc>
      </w:tr>
      <w:tr>
        <w:trPr>
          <w:trHeight w:val="283"/>
        </w:trPr>
        <w:tc>
          <w:tcPr>
            <w:tcW w:w="760" w:type="dxa"/>
            <w:vAlign w:val="bottom"/>
          </w:tcPr>
          <w:p>
            <w:pPr>
              <w:spacing w:after="0"/>
              <w:rPr>
                <w:sz w:val="20"/>
                <w:szCs w:val="20"/>
                <w:color w:val="auto"/>
              </w:rPr>
            </w:pPr>
            <w:r>
              <w:rPr>
                <w:rFonts w:ascii="Courier New" w:cs="Courier New" w:eastAsia="Courier New" w:hAnsi="Courier New"/>
                <w:sz w:val="12"/>
                <w:szCs w:val="12"/>
                <w:color w:val="auto"/>
              </w:rPr>
              <w:t>21.</w:t>
            </w:r>
          </w:p>
        </w:tc>
        <w:tc>
          <w:tcPr>
            <w:tcW w:w="4420" w:type="dxa"/>
            <w:vAlign w:val="bottom"/>
          </w:tcPr>
          <w:p>
            <w:pPr>
              <w:ind w:left="120"/>
              <w:spacing w:after="0"/>
              <w:rPr>
                <w:sz w:val="20"/>
                <w:szCs w:val="20"/>
                <w:color w:val="auto"/>
              </w:rPr>
            </w:pPr>
            <w:r>
              <w:rPr>
                <w:rFonts w:ascii="Courier New" w:cs="Courier New" w:eastAsia="Courier New" w:hAnsi="Courier New"/>
                <w:sz w:val="12"/>
                <w:szCs w:val="12"/>
                <w:color w:val="auto"/>
              </w:rPr>
              <w:t>SET-OFF</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142</w:t>
            </w:r>
          </w:p>
        </w:tc>
      </w:tr>
      <w:tr>
        <w:trPr>
          <w:trHeight w:val="142"/>
        </w:trPr>
        <w:tc>
          <w:tcPr>
            <w:tcW w:w="760" w:type="dxa"/>
            <w:vAlign w:val="bottom"/>
          </w:tcPr>
          <w:p>
            <w:pPr>
              <w:spacing w:after="0"/>
              <w:rPr>
                <w:sz w:val="20"/>
                <w:szCs w:val="20"/>
                <w:color w:val="auto"/>
              </w:rPr>
            </w:pPr>
            <w:r>
              <w:rPr>
                <w:rFonts w:ascii="Courier New" w:cs="Courier New" w:eastAsia="Courier New" w:hAnsi="Courier New"/>
                <w:sz w:val="12"/>
                <w:szCs w:val="12"/>
                <w:color w:val="auto"/>
              </w:rPr>
              <w:t>21.1.</w:t>
            </w:r>
          </w:p>
        </w:tc>
        <w:tc>
          <w:tcPr>
            <w:tcW w:w="4420" w:type="dxa"/>
            <w:vAlign w:val="bottom"/>
          </w:tcPr>
          <w:p>
            <w:pPr>
              <w:ind w:left="340"/>
              <w:spacing w:after="0"/>
              <w:rPr>
                <w:sz w:val="20"/>
                <w:szCs w:val="20"/>
                <w:color w:val="auto"/>
              </w:rPr>
            </w:pPr>
            <w:r>
              <w:rPr>
                <w:rFonts w:ascii="Courier New" w:cs="Courier New" w:eastAsia="Courier New" w:hAnsi="Courier New"/>
                <w:sz w:val="12"/>
                <w:szCs w:val="12"/>
                <w:color w:val="auto"/>
              </w:rPr>
              <w:t>Conditions for Set-Off</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142</w:t>
            </w:r>
          </w:p>
        </w:tc>
      </w:tr>
      <w:tr>
        <w:trPr>
          <w:trHeight w:val="142"/>
        </w:trPr>
        <w:tc>
          <w:tcPr>
            <w:tcW w:w="760" w:type="dxa"/>
            <w:vAlign w:val="bottom"/>
          </w:tcPr>
          <w:p>
            <w:pPr>
              <w:spacing w:after="0"/>
              <w:rPr>
                <w:sz w:val="20"/>
                <w:szCs w:val="20"/>
                <w:color w:val="auto"/>
              </w:rPr>
            </w:pPr>
            <w:r>
              <w:rPr>
                <w:rFonts w:ascii="Courier New" w:cs="Courier New" w:eastAsia="Courier New" w:hAnsi="Courier New"/>
                <w:sz w:val="12"/>
                <w:szCs w:val="12"/>
                <w:color w:val="auto"/>
              </w:rPr>
              <w:t>21.2.</w:t>
            </w:r>
          </w:p>
        </w:tc>
        <w:tc>
          <w:tcPr>
            <w:tcW w:w="4420" w:type="dxa"/>
            <w:vAlign w:val="bottom"/>
          </w:tcPr>
          <w:p>
            <w:pPr>
              <w:ind w:left="340"/>
              <w:spacing w:after="0"/>
              <w:rPr>
                <w:sz w:val="20"/>
                <w:szCs w:val="20"/>
                <w:color w:val="auto"/>
              </w:rPr>
            </w:pPr>
            <w:r>
              <w:rPr>
                <w:rFonts w:ascii="Courier New" w:cs="Courier New" w:eastAsia="Courier New" w:hAnsi="Courier New"/>
                <w:sz w:val="12"/>
                <w:szCs w:val="12"/>
                <w:color w:val="auto"/>
              </w:rPr>
              <w:t>Debit or Credit of Accounts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142</w:t>
            </w:r>
          </w:p>
        </w:tc>
      </w:tr>
      <w:tr>
        <w:trPr>
          <w:trHeight w:val="283"/>
        </w:trPr>
        <w:tc>
          <w:tcPr>
            <w:tcW w:w="760" w:type="dxa"/>
            <w:vAlign w:val="bottom"/>
          </w:tcPr>
          <w:p>
            <w:pPr>
              <w:spacing w:after="0"/>
              <w:rPr>
                <w:sz w:val="20"/>
                <w:szCs w:val="20"/>
                <w:color w:val="auto"/>
              </w:rPr>
            </w:pPr>
            <w:r>
              <w:rPr>
                <w:rFonts w:ascii="Courier New" w:cs="Courier New" w:eastAsia="Courier New" w:hAnsi="Courier New"/>
                <w:sz w:val="12"/>
                <w:szCs w:val="12"/>
                <w:color w:val="auto"/>
              </w:rPr>
              <w:t>22.</w:t>
            </w:r>
          </w:p>
        </w:tc>
        <w:tc>
          <w:tcPr>
            <w:tcW w:w="4420" w:type="dxa"/>
            <w:vAlign w:val="bottom"/>
          </w:tcPr>
          <w:p>
            <w:pPr>
              <w:ind w:left="120"/>
              <w:spacing w:after="0"/>
              <w:rPr>
                <w:sz w:val="20"/>
                <w:szCs w:val="20"/>
                <w:color w:val="auto"/>
              </w:rPr>
            </w:pPr>
            <w:r>
              <w:rPr>
                <w:rFonts w:ascii="Courier New" w:cs="Courier New" w:eastAsia="Courier New" w:hAnsi="Courier New"/>
                <w:sz w:val="12"/>
                <w:szCs w:val="12"/>
                <w:color w:val="auto"/>
              </w:rPr>
              <w:t>APPLICATION OF PAYMENTS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142</w:t>
            </w:r>
          </w:p>
        </w:tc>
      </w:tr>
      <w:tr>
        <w:trPr>
          <w:trHeight w:val="142"/>
        </w:trPr>
        <w:tc>
          <w:tcPr>
            <w:tcW w:w="760" w:type="dxa"/>
            <w:vAlign w:val="bottom"/>
          </w:tcPr>
          <w:p>
            <w:pPr>
              <w:spacing w:after="0"/>
              <w:rPr>
                <w:sz w:val="20"/>
                <w:szCs w:val="20"/>
                <w:color w:val="auto"/>
              </w:rPr>
            </w:pPr>
            <w:r>
              <w:rPr>
                <w:rFonts w:ascii="Courier New" w:cs="Courier New" w:eastAsia="Courier New" w:hAnsi="Courier New"/>
                <w:sz w:val="12"/>
                <w:szCs w:val="12"/>
                <w:color w:val="auto"/>
              </w:rPr>
              <w:t>22.1.</w:t>
            </w:r>
          </w:p>
        </w:tc>
        <w:tc>
          <w:tcPr>
            <w:tcW w:w="4420" w:type="dxa"/>
            <w:vAlign w:val="bottom"/>
          </w:tcPr>
          <w:p>
            <w:pPr>
              <w:ind w:left="340"/>
              <w:spacing w:after="0"/>
              <w:rPr>
                <w:sz w:val="20"/>
                <w:szCs w:val="20"/>
                <w:color w:val="auto"/>
              </w:rPr>
            </w:pPr>
            <w:r>
              <w:rPr>
                <w:rFonts w:ascii="Courier New" w:cs="Courier New" w:eastAsia="Courier New" w:hAnsi="Courier New"/>
                <w:sz w:val="12"/>
                <w:szCs w:val="12"/>
                <w:color w:val="auto"/>
              </w:rPr>
              <w:t>Insufficient Payment</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142</w:t>
            </w:r>
          </w:p>
        </w:tc>
      </w:tr>
      <w:tr>
        <w:trPr>
          <w:trHeight w:val="142"/>
        </w:trPr>
        <w:tc>
          <w:tcPr>
            <w:tcW w:w="760" w:type="dxa"/>
            <w:vAlign w:val="bottom"/>
          </w:tcPr>
          <w:p>
            <w:pPr>
              <w:spacing w:after="0"/>
              <w:rPr>
                <w:sz w:val="20"/>
                <w:szCs w:val="20"/>
                <w:color w:val="auto"/>
              </w:rPr>
            </w:pPr>
            <w:r>
              <w:rPr>
                <w:rFonts w:ascii="Courier New" w:cs="Courier New" w:eastAsia="Courier New" w:hAnsi="Courier New"/>
                <w:sz w:val="12"/>
                <w:szCs w:val="12"/>
                <w:color w:val="auto"/>
              </w:rPr>
              <w:t>22.2.</w:t>
            </w:r>
          </w:p>
        </w:tc>
        <w:tc>
          <w:tcPr>
            <w:tcW w:w="4420" w:type="dxa"/>
            <w:vAlign w:val="bottom"/>
          </w:tcPr>
          <w:p>
            <w:pPr>
              <w:ind w:left="340"/>
              <w:spacing w:after="0"/>
              <w:rPr>
                <w:sz w:val="20"/>
                <w:szCs w:val="20"/>
                <w:color w:val="auto"/>
              </w:rPr>
            </w:pPr>
            <w:r>
              <w:rPr>
                <w:rFonts w:ascii="Courier New" w:cs="Courier New" w:eastAsia="Courier New" w:hAnsi="Courier New"/>
                <w:sz w:val="12"/>
                <w:szCs w:val="12"/>
                <w:color w:val="auto"/>
              </w:rPr>
              <w:t>Currency Conversion</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143</w:t>
            </w:r>
          </w:p>
        </w:tc>
      </w:tr>
      <w:tr>
        <w:trPr>
          <w:trHeight w:val="283"/>
        </w:trPr>
        <w:tc>
          <w:tcPr>
            <w:tcW w:w="760" w:type="dxa"/>
            <w:vAlign w:val="bottom"/>
          </w:tcPr>
          <w:p>
            <w:pPr>
              <w:spacing w:after="0"/>
              <w:rPr>
                <w:sz w:val="20"/>
                <w:szCs w:val="20"/>
                <w:color w:val="auto"/>
              </w:rPr>
            </w:pPr>
            <w:r>
              <w:rPr>
                <w:rFonts w:ascii="Courier New" w:cs="Courier New" w:eastAsia="Courier New" w:hAnsi="Courier New"/>
                <w:sz w:val="12"/>
                <w:szCs w:val="12"/>
                <w:color w:val="auto"/>
              </w:rPr>
              <w:t>23.</w:t>
            </w:r>
          </w:p>
        </w:tc>
        <w:tc>
          <w:tcPr>
            <w:tcW w:w="4420" w:type="dxa"/>
            <w:vAlign w:val="bottom"/>
          </w:tcPr>
          <w:p>
            <w:pPr>
              <w:ind w:left="120"/>
              <w:spacing w:after="0"/>
              <w:rPr>
                <w:sz w:val="20"/>
                <w:szCs w:val="20"/>
                <w:color w:val="auto"/>
              </w:rPr>
            </w:pPr>
            <w:r>
              <w:rPr>
                <w:rFonts w:ascii="Courier New" w:cs="Courier New" w:eastAsia="Courier New" w:hAnsi="Courier New"/>
                <w:sz w:val="12"/>
                <w:szCs w:val="12"/>
                <w:color w:val="auto"/>
              </w:rPr>
              <w:t>CALCULATIONS AND EVIDENCE OF DEBT</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143</w:t>
            </w:r>
          </w:p>
        </w:tc>
      </w:tr>
      <w:tr>
        <w:trPr>
          <w:trHeight w:val="283"/>
        </w:trPr>
        <w:tc>
          <w:tcPr>
            <w:tcW w:w="760" w:type="dxa"/>
            <w:vAlign w:val="bottom"/>
          </w:tcPr>
          <w:p>
            <w:pPr>
              <w:spacing w:after="0"/>
              <w:rPr>
                <w:sz w:val="20"/>
                <w:szCs w:val="20"/>
                <w:color w:val="auto"/>
              </w:rPr>
            </w:pPr>
            <w:r>
              <w:rPr>
                <w:rFonts w:ascii="Courier New" w:cs="Courier New" w:eastAsia="Courier New" w:hAnsi="Courier New"/>
                <w:sz w:val="12"/>
                <w:szCs w:val="12"/>
                <w:color w:val="auto"/>
              </w:rPr>
              <w:t>24.</w:t>
            </w:r>
          </w:p>
        </w:tc>
        <w:tc>
          <w:tcPr>
            <w:tcW w:w="4420" w:type="dxa"/>
            <w:vAlign w:val="bottom"/>
          </w:tcPr>
          <w:p>
            <w:pPr>
              <w:ind w:left="120"/>
              <w:spacing w:after="0"/>
              <w:rPr>
                <w:sz w:val="20"/>
                <w:szCs w:val="20"/>
                <w:color w:val="auto"/>
              </w:rPr>
            </w:pPr>
            <w:r>
              <w:rPr>
                <w:rFonts w:ascii="Courier New" w:cs="Courier New" w:eastAsia="Courier New" w:hAnsi="Courier New"/>
                <w:sz w:val="12"/>
                <w:szCs w:val="12"/>
                <w:color w:val="auto"/>
              </w:rPr>
              <w:t>SHARING BETWEEN BANKS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144</w:t>
            </w:r>
          </w:p>
        </w:tc>
      </w:tr>
      <w:tr>
        <w:trPr>
          <w:trHeight w:val="283"/>
        </w:trPr>
        <w:tc>
          <w:tcPr>
            <w:tcW w:w="760" w:type="dxa"/>
            <w:vAlign w:val="bottom"/>
          </w:tcPr>
          <w:p>
            <w:pPr>
              <w:spacing w:after="0"/>
              <w:rPr>
                <w:sz w:val="20"/>
                <w:szCs w:val="20"/>
                <w:color w:val="auto"/>
              </w:rPr>
            </w:pPr>
            <w:r>
              <w:rPr>
                <w:rFonts w:ascii="Courier New" w:cs="Courier New" w:eastAsia="Courier New" w:hAnsi="Courier New"/>
                <w:sz w:val="12"/>
                <w:szCs w:val="12"/>
                <w:color w:val="auto"/>
              </w:rPr>
              <w:t>25.</w:t>
            </w:r>
          </w:p>
        </w:tc>
        <w:tc>
          <w:tcPr>
            <w:tcW w:w="4420" w:type="dxa"/>
            <w:vAlign w:val="bottom"/>
          </w:tcPr>
          <w:p>
            <w:pPr>
              <w:ind w:left="120"/>
              <w:spacing w:after="0"/>
              <w:rPr>
                <w:sz w:val="20"/>
                <w:szCs w:val="20"/>
                <w:color w:val="auto"/>
              </w:rPr>
            </w:pPr>
            <w:r>
              <w:rPr>
                <w:rFonts w:ascii="Courier New" w:cs="Courier New" w:eastAsia="Courier New" w:hAnsi="Courier New"/>
                <w:sz w:val="12"/>
                <w:szCs w:val="12"/>
                <w:color w:val="auto"/>
              </w:rPr>
              <w:t>ASSIGNMENTS AND TRANSFERS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144</w:t>
            </w:r>
          </w:p>
        </w:tc>
      </w:tr>
      <w:tr>
        <w:trPr>
          <w:trHeight w:val="283"/>
        </w:trPr>
        <w:tc>
          <w:tcPr>
            <w:tcW w:w="760" w:type="dxa"/>
            <w:vAlign w:val="bottom"/>
          </w:tcPr>
          <w:p>
            <w:pPr>
              <w:spacing w:after="0"/>
              <w:rPr>
                <w:sz w:val="20"/>
                <w:szCs w:val="20"/>
                <w:color w:val="auto"/>
              </w:rPr>
            </w:pPr>
            <w:r>
              <w:rPr>
                <w:rFonts w:ascii="Courier New" w:cs="Courier New" w:eastAsia="Courier New" w:hAnsi="Courier New"/>
                <w:sz w:val="12"/>
                <w:szCs w:val="12"/>
                <w:color w:val="auto"/>
              </w:rPr>
              <w:t>26.</w:t>
            </w:r>
          </w:p>
        </w:tc>
        <w:tc>
          <w:tcPr>
            <w:tcW w:w="4420" w:type="dxa"/>
            <w:vAlign w:val="bottom"/>
          </w:tcPr>
          <w:p>
            <w:pPr>
              <w:ind w:left="120"/>
              <w:spacing w:after="0"/>
              <w:rPr>
                <w:sz w:val="20"/>
                <w:szCs w:val="20"/>
                <w:color w:val="auto"/>
              </w:rPr>
            </w:pPr>
            <w:r>
              <w:rPr>
                <w:rFonts w:ascii="Courier New" w:cs="Courier New" w:eastAsia="Courier New" w:hAnsi="Courier New"/>
                <w:sz w:val="12"/>
                <w:szCs w:val="12"/>
                <w:color w:val="auto"/>
              </w:rPr>
              <w:t>REMEDIES AND WAIVERS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146</w:t>
            </w:r>
          </w:p>
        </w:tc>
      </w:tr>
      <w:tr>
        <w:trPr>
          <w:trHeight w:val="283"/>
        </w:trPr>
        <w:tc>
          <w:tcPr>
            <w:tcW w:w="760" w:type="dxa"/>
            <w:vAlign w:val="bottom"/>
          </w:tcPr>
          <w:p>
            <w:pPr>
              <w:spacing w:after="0"/>
              <w:rPr>
                <w:sz w:val="20"/>
                <w:szCs w:val="20"/>
                <w:color w:val="auto"/>
              </w:rPr>
            </w:pPr>
            <w:r>
              <w:rPr>
                <w:rFonts w:ascii="Courier New" w:cs="Courier New" w:eastAsia="Courier New" w:hAnsi="Courier New"/>
                <w:sz w:val="12"/>
                <w:szCs w:val="12"/>
                <w:color w:val="auto"/>
              </w:rPr>
              <w:t>27.</w:t>
            </w:r>
          </w:p>
        </w:tc>
        <w:tc>
          <w:tcPr>
            <w:tcW w:w="4420" w:type="dxa"/>
            <w:vAlign w:val="bottom"/>
          </w:tcPr>
          <w:p>
            <w:pPr>
              <w:ind w:left="120"/>
              <w:spacing w:after="0"/>
              <w:rPr>
                <w:sz w:val="20"/>
                <w:szCs w:val="20"/>
                <w:color w:val="auto"/>
              </w:rPr>
            </w:pPr>
            <w:r>
              <w:rPr>
                <w:rFonts w:ascii="Courier New" w:cs="Courier New" w:eastAsia="Courier New" w:hAnsi="Courier New"/>
                <w:sz w:val="12"/>
                <w:szCs w:val="12"/>
                <w:color w:val="auto"/>
              </w:rPr>
              <w:t>NOTICES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146</w:t>
            </w:r>
          </w:p>
        </w:tc>
      </w:tr>
      <w:tr>
        <w:trPr>
          <w:trHeight w:val="142"/>
        </w:trPr>
        <w:tc>
          <w:tcPr>
            <w:tcW w:w="760" w:type="dxa"/>
            <w:vAlign w:val="bottom"/>
          </w:tcPr>
          <w:p>
            <w:pPr>
              <w:spacing w:after="0"/>
              <w:rPr>
                <w:sz w:val="20"/>
                <w:szCs w:val="20"/>
                <w:color w:val="auto"/>
              </w:rPr>
            </w:pPr>
            <w:r>
              <w:rPr>
                <w:rFonts w:ascii="Courier New" w:cs="Courier New" w:eastAsia="Courier New" w:hAnsi="Courier New"/>
                <w:sz w:val="12"/>
                <w:szCs w:val="12"/>
                <w:color w:val="auto"/>
              </w:rPr>
              <w:t>27.1.</w:t>
            </w:r>
          </w:p>
        </w:tc>
        <w:tc>
          <w:tcPr>
            <w:tcW w:w="4420" w:type="dxa"/>
            <w:vAlign w:val="bottom"/>
          </w:tcPr>
          <w:p>
            <w:pPr>
              <w:ind w:left="340"/>
              <w:spacing w:after="0"/>
              <w:rPr>
                <w:sz w:val="20"/>
                <w:szCs w:val="20"/>
                <w:color w:val="auto"/>
              </w:rPr>
            </w:pPr>
            <w:r>
              <w:rPr>
                <w:rFonts w:ascii="Courier New" w:cs="Courier New" w:eastAsia="Courier New" w:hAnsi="Courier New"/>
                <w:sz w:val="12"/>
                <w:szCs w:val="12"/>
                <w:color w:val="auto"/>
              </w:rPr>
              <w:t>Notices in Writing</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146</w:t>
            </w:r>
          </w:p>
        </w:tc>
      </w:tr>
      <w:tr>
        <w:trPr>
          <w:trHeight w:val="142"/>
        </w:trPr>
        <w:tc>
          <w:tcPr>
            <w:tcW w:w="760" w:type="dxa"/>
            <w:vAlign w:val="bottom"/>
          </w:tcPr>
          <w:p>
            <w:pPr>
              <w:spacing w:after="0"/>
              <w:rPr>
                <w:sz w:val="20"/>
                <w:szCs w:val="20"/>
                <w:color w:val="auto"/>
              </w:rPr>
            </w:pPr>
            <w:r>
              <w:rPr>
                <w:rFonts w:ascii="Courier New" w:cs="Courier New" w:eastAsia="Courier New" w:hAnsi="Courier New"/>
                <w:sz w:val="12"/>
                <w:szCs w:val="12"/>
                <w:color w:val="auto"/>
              </w:rPr>
              <w:t>27.2.</w:t>
            </w:r>
          </w:p>
        </w:tc>
        <w:tc>
          <w:tcPr>
            <w:tcW w:w="4420" w:type="dxa"/>
            <w:vAlign w:val="bottom"/>
          </w:tcPr>
          <w:p>
            <w:pPr>
              <w:ind w:left="340"/>
              <w:spacing w:after="0"/>
              <w:rPr>
                <w:sz w:val="20"/>
                <w:szCs w:val="20"/>
                <w:color w:val="auto"/>
              </w:rPr>
            </w:pPr>
            <w:r>
              <w:rPr>
                <w:rFonts w:ascii="Courier New" w:cs="Courier New" w:eastAsia="Courier New" w:hAnsi="Courier New"/>
                <w:sz w:val="12"/>
                <w:szCs w:val="12"/>
                <w:color w:val="auto"/>
              </w:rPr>
              <w:t>Addresses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146</w:t>
            </w:r>
          </w:p>
        </w:tc>
      </w:tr>
      <w:tr>
        <w:trPr>
          <w:trHeight w:val="283"/>
        </w:trPr>
        <w:tc>
          <w:tcPr>
            <w:tcW w:w="760" w:type="dxa"/>
            <w:vAlign w:val="bottom"/>
          </w:tcPr>
          <w:p>
            <w:pPr>
              <w:spacing w:after="0"/>
              <w:rPr>
                <w:sz w:val="20"/>
                <w:szCs w:val="20"/>
                <w:color w:val="auto"/>
              </w:rPr>
            </w:pPr>
            <w:r>
              <w:rPr>
                <w:rFonts w:ascii="Courier New" w:cs="Courier New" w:eastAsia="Courier New" w:hAnsi="Courier New"/>
                <w:sz w:val="12"/>
                <w:szCs w:val="12"/>
                <w:color w:val="auto"/>
              </w:rPr>
              <w:t>28.</w:t>
            </w:r>
          </w:p>
        </w:tc>
        <w:tc>
          <w:tcPr>
            <w:tcW w:w="4420" w:type="dxa"/>
            <w:vAlign w:val="bottom"/>
          </w:tcPr>
          <w:p>
            <w:pPr>
              <w:ind w:left="120"/>
              <w:spacing w:after="0"/>
              <w:rPr>
                <w:sz w:val="20"/>
                <w:szCs w:val="20"/>
                <w:color w:val="auto"/>
              </w:rPr>
            </w:pPr>
            <w:r>
              <w:rPr>
                <w:rFonts w:ascii="Courier New" w:cs="Courier New" w:eastAsia="Courier New" w:hAnsi="Courier New"/>
                <w:sz w:val="12"/>
                <w:szCs w:val="12"/>
                <w:color w:val="auto"/>
              </w:rPr>
              <w:t>AMENDMENTS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147</w:t>
            </w:r>
          </w:p>
        </w:tc>
      </w:tr>
      <w:tr>
        <w:trPr>
          <w:trHeight w:val="283"/>
        </w:trPr>
        <w:tc>
          <w:tcPr>
            <w:tcW w:w="760" w:type="dxa"/>
            <w:vAlign w:val="bottom"/>
          </w:tcPr>
          <w:p>
            <w:pPr>
              <w:spacing w:after="0"/>
              <w:rPr>
                <w:sz w:val="20"/>
                <w:szCs w:val="20"/>
                <w:color w:val="auto"/>
              </w:rPr>
            </w:pPr>
            <w:r>
              <w:rPr>
                <w:rFonts w:ascii="Courier New" w:cs="Courier New" w:eastAsia="Courier New" w:hAnsi="Courier New"/>
                <w:sz w:val="12"/>
                <w:szCs w:val="12"/>
                <w:color w:val="auto"/>
              </w:rPr>
              <w:t>29.</w:t>
            </w:r>
          </w:p>
        </w:tc>
        <w:tc>
          <w:tcPr>
            <w:tcW w:w="4420" w:type="dxa"/>
            <w:vAlign w:val="bottom"/>
          </w:tcPr>
          <w:p>
            <w:pPr>
              <w:ind w:left="120"/>
              <w:spacing w:after="0"/>
              <w:rPr>
                <w:sz w:val="20"/>
                <w:szCs w:val="20"/>
                <w:color w:val="auto"/>
              </w:rPr>
            </w:pPr>
            <w:r>
              <w:rPr>
                <w:rFonts w:ascii="Courier New" w:cs="Courier New" w:eastAsia="Courier New" w:hAnsi="Courier New"/>
                <w:sz w:val="12"/>
                <w:szCs w:val="12"/>
                <w:color w:val="auto"/>
              </w:rPr>
              <w:t>COUNTERPARTS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147</w:t>
            </w:r>
          </w:p>
        </w:tc>
      </w:tr>
      <w:tr>
        <w:trPr>
          <w:trHeight w:val="283"/>
        </w:trPr>
        <w:tc>
          <w:tcPr>
            <w:tcW w:w="760" w:type="dxa"/>
            <w:vAlign w:val="bottom"/>
          </w:tcPr>
          <w:p>
            <w:pPr>
              <w:spacing w:after="0"/>
              <w:rPr>
                <w:sz w:val="20"/>
                <w:szCs w:val="20"/>
                <w:color w:val="auto"/>
              </w:rPr>
            </w:pPr>
            <w:r>
              <w:rPr>
                <w:rFonts w:ascii="Courier New" w:cs="Courier New" w:eastAsia="Courier New" w:hAnsi="Courier New"/>
                <w:sz w:val="12"/>
                <w:szCs w:val="12"/>
                <w:color w:val="auto"/>
              </w:rPr>
              <w:t>30.</w:t>
            </w:r>
          </w:p>
        </w:tc>
        <w:tc>
          <w:tcPr>
            <w:tcW w:w="4420" w:type="dxa"/>
            <w:vAlign w:val="bottom"/>
          </w:tcPr>
          <w:p>
            <w:pPr>
              <w:ind w:left="120"/>
              <w:spacing w:after="0"/>
              <w:rPr>
                <w:sz w:val="20"/>
                <w:szCs w:val="20"/>
                <w:color w:val="auto"/>
              </w:rPr>
            </w:pPr>
            <w:r>
              <w:rPr>
                <w:rFonts w:ascii="Courier New" w:cs="Courier New" w:eastAsia="Courier New" w:hAnsi="Courier New"/>
                <w:sz w:val="12"/>
                <w:szCs w:val="12"/>
                <w:color w:val="auto"/>
              </w:rPr>
              <w:t>GOVERNING LAW AND JURISDICTION</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148</w:t>
            </w:r>
          </w:p>
        </w:tc>
      </w:tr>
      <w:tr>
        <w:trPr>
          <w:trHeight w:val="283"/>
        </w:trPr>
        <w:tc>
          <w:tcPr>
            <w:tcW w:w="760" w:type="dxa"/>
            <w:vAlign w:val="bottom"/>
          </w:tcPr>
          <w:p>
            <w:pPr>
              <w:spacing w:after="0"/>
              <w:rPr>
                <w:sz w:val="20"/>
                <w:szCs w:val="20"/>
                <w:color w:val="auto"/>
              </w:rPr>
            </w:pPr>
            <w:r>
              <w:rPr>
                <w:rFonts w:ascii="Courier New" w:cs="Courier New" w:eastAsia="Courier New" w:hAnsi="Courier New"/>
                <w:sz w:val="12"/>
                <w:szCs w:val="12"/>
                <w:color w:val="auto"/>
              </w:rPr>
              <w:t>31.</w:t>
            </w:r>
          </w:p>
        </w:tc>
        <w:tc>
          <w:tcPr>
            <w:tcW w:w="4420" w:type="dxa"/>
            <w:vAlign w:val="bottom"/>
          </w:tcPr>
          <w:p>
            <w:pPr>
              <w:ind w:left="120"/>
              <w:spacing w:after="0"/>
              <w:rPr>
                <w:sz w:val="20"/>
                <w:szCs w:val="20"/>
                <w:color w:val="auto"/>
              </w:rPr>
            </w:pPr>
            <w:r>
              <w:rPr>
                <w:rFonts w:ascii="Courier New" w:cs="Courier New" w:eastAsia="Courier New" w:hAnsi="Courier New"/>
                <w:sz w:val="12"/>
                <w:szCs w:val="12"/>
                <w:color w:val="auto"/>
              </w:rPr>
              <w:t>ENTIRE AGREEMENT</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148</w:t>
            </w:r>
          </w:p>
        </w:tc>
      </w:tr>
      <w:tr>
        <w:trPr>
          <w:trHeight w:val="283"/>
        </w:trPr>
        <w:tc>
          <w:tcPr>
            <w:tcW w:w="760" w:type="dxa"/>
            <w:vAlign w:val="bottom"/>
          </w:tcPr>
          <w:p>
            <w:pPr>
              <w:spacing w:after="0"/>
              <w:rPr>
                <w:sz w:val="20"/>
                <w:szCs w:val="20"/>
                <w:color w:val="auto"/>
              </w:rPr>
            </w:pPr>
            <w:r>
              <w:rPr>
                <w:rFonts w:ascii="Courier New" w:cs="Courier New" w:eastAsia="Courier New" w:hAnsi="Courier New"/>
                <w:sz w:val="12"/>
                <w:szCs w:val="12"/>
                <w:color w:val="auto"/>
              </w:rPr>
              <w:t>32.</w:t>
            </w:r>
          </w:p>
        </w:tc>
        <w:tc>
          <w:tcPr>
            <w:tcW w:w="4420" w:type="dxa"/>
            <w:vAlign w:val="bottom"/>
          </w:tcPr>
          <w:p>
            <w:pPr>
              <w:ind w:left="120"/>
              <w:spacing w:after="0"/>
              <w:rPr>
                <w:sz w:val="20"/>
                <w:szCs w:val="20"/>
                <w:color w:val="auto"/>
              </w:rPr>
            </w:pPr>
            <w:r>
              <w:rPr>
                <w:rFonts w:ascii="Courier New" w:cs="Courier New" w:eastAsia="Courier New" w:hAnsi="Courier New"/>
                <w:sz w:val="12"/>
                <w:szCs w:val="12"/>
                <w:color w:val="auto"/>
              </w:rPr>
              <w:t>CONFIDENTIALITY</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148</w:t>
            </w:r>
          </w:p>
        </w:tc>
      </w:tr>
      <w:tr>
        <w:trPr>
          <w:trHeight w:val="283"/>
        </w:trPr>
        <w:tc>
          <w:tcPr>
            <w:tcW w:w="760" w:type="dxa"/>
            <w:vAlign w:val="bottom"/>
          </w:tcPr>
          <w:p>
            <w:pPr>
              <w:spacing w:after="0"/>
              <w:rPr>
                <w:sz w:val="20"/>
                <w:szCs w:val="20"/>
                <w:color w:val="auto"/>
              </w:rPr>
            </w:pPr>
            <w:r>
              <w:rPr>
                <w:rFonts w:ascii="Courier New" w:cs="Courier New" w:eastAsia="Courier New" w:hAnsi="Courier New"/>
                <w:sz w:val="12"/>
                <w:szCs w:val="12"/>
                <w:color w:val="auto"/>
              </w:rPr>
              <w:t>33.</w:t>
            </w:r>
          </w:p>
        </w:tc>
        <w:tc>
          <w:tcPr>
            <w:tcW w:w="4420" w:type="dxa"/>
            <w:vAlign w:val="bottom"/>
          </w:tcPr>
          <w:p>
            <w:pPr>
              <w:ind w:left="120"/>
              <w:spacing w:after="0"/>
              <w:rPr>
                <w:sz w:val="20"/>
                <w:szCs w:val="20"/>
                <w:color w:val="auto"/>
              </w:rPr>
            </w:pPr>
            <w:r>
              <w:rPr>
                <w:rFonts w:ascii="Courier New" w:cs="Courier New" w:eastAsia="Courier New" w:hAnsi="Courier New"/>
                <w:sz w:val="12"/>
                <w:szCs w:val="12"/>
                <w:color w:val="auto"/>
              </w:rPr>
              <w:t>BANKS REPRESENTATION</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149</w:t>
            </w:r>
          </w:p>
        </w:tc>
      </w:tr>
      <w:tr>
        <w:trPr>
          <w:trHeight w:val="425"/>
        </w:trPr>
        <w:tc>
          <w:tcPr>
            <w:tcW w:w="76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Courier New" w:cs="Courier New" w:eastAsia="Courier New" w:hAnsi="Courier New"/>
                <w:sz w:val="12"/>
                <w:szCs w:val="12"/>
                <w:color w:val="auto"/>
              </w:rPr>
              <w:t>(v)</w:t>
            </w:r>
          </w:p>
        </w:tc>
        <w:tc>
          <w:tcPr>
            <w:tcW w:w="1800" w:type="dxa"/>
            <w:vAlign w:val="bottom"/>
          </w:tcPr>
          <w:p>
            <w:pPr>
              <w:spacing w:after="0"/>
              <w:rPr>
                <w:sz w:val="24"/>
                <w:szCs w:val="24"/>
                <w:color w:val="auto"/>
              </w:rPr>
            </w:pPr>
          </w:p>
        </w:tc>
      </w:tr>
      <w:tr>
        <w:trPr>
          <w:trHeight w:val="689"/>
        </w:trPr>
        <w:tc>
          <w:tcPr>
            <w:tcW w:w="76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Courier New" w:cs="Courier New" w:eastAsia="Courier New" w:hAnsi="Courier New"/>
                <w:sz w:val="12"/>
                <w:szCs w:val="12"/>
                <w:color w:val="auto"/>
              </w:rPr>
              <w:t>TABLE OF CONTENTS</w:t>
            </w:r>
          </w:p>
        </w:tc>
        <w:tc>
          <w:tcPr>
            <w:tcW w:w="1800" w:type="dxa"/>
            <w:vAlign w:val="bottom"/>
          </w:tcPr>
          <w:p>
            <w:pPr>
              <w:spacing w:after="0"/>
              <w:rPr>
                <w:sz w:val="24"/>
                <w:szCs w:val="24"/>
                <w:color w:val="auto"/>
              </w:rPr>
            </w:pPr>
          </w:p>
        </w:tc>
      </w:tr>
      <w:tr>
        <w:trPr>
          <w:trHeight w:val="142"/>
        </w:trPr>
        <w:tc>
          <w:tcPr>
            <w:tcW w:w="760" w:type="dxa"/>
            <w:vAlign w:val="bottom"/>
          </w:tcPr>
          <w:p>
            <w:pPr>
              <w:spacing w:after="0"/>
              <w:rPr>
                <w:sz w:val="12"/>
                <w:szCs w:val="12"/>
                <w:color w:val="auto"/>
              </w:rPr>
            </w:pPr>
          </w:p>
        </w:tc>
        <w:tc>
          <w:tcPr>
            <w:tcW w:w="4420" w:type="dxa"/>
            <w:vAlign w:val="bottom"/>
          </w:tcPr>
          <w:p>
            <w:pPr>
              <w:jc w:val="center"/>
              <w:spacing w:after="0"/>
              <w:rPr>
                <w:sz w:val="20"/>
                <w:szCs w:val="20"/>
                <w:color w:val="auto"/>
              </w:rPr>
            </w:pPr>
            <w:r>
              <w:rPr>
                <w:rFonts w:ascii="Courier New" w:cs="Courier New" w:eastAsia="Courier New" w:hAnsi="Courier New"/>
                <w:sz w:val="12"/>
                <w:szCs w:val="12"/>
                <w:color w:val="auto"/>
              </w:rPr>
              <w:t>(CONTINUED)</w:t>
            </w:r>
          </w:p>
        </w:tc>
        <w:tc>
          <w:tcPr>
            <w:tcW w:w="1800" w:type="dxa"/>
            <w:vAlign w:val="bottom"/>
          </w:tcPr>
          <w:p>
            <w:pPr>
              <w:spacing w:after="0"/>
              <w:rPr>
                <w:sz w:val="12"/>
                <w:szCs w:val="12"/>
                <w:color w:val="auto"/>
              </w:rPr>
            </w:pPr>
          </w:p>
        </w:tc>
      </w:tr>
      <w:tr>
        <w:trPr>
          <w:trHeight w:val="283"/>
        </w:trPr>
        <w:tc>
          <w:tcPr>
            <w:tcW w:w="760" w:type="dxa"/>
            <w:vAlign w:val="bottom"/>
          </w:tcPr>
          <w:p>
            <w:pPr>
              <w:spacing w:after="0"/>
              <w:rPr>
                <w:sz w:val="20"/>
                <w:szCs w:val="20"/>
                <w:color w:val="auto"/>
              </w:rPr>
            </w:pPr>
            <w:r>
              <w:rPr>
                <w:rFonts w:ascii="Courier New" w:cs="Courier New" w:eastAsia="Courier New" w:hAnsi="Courier New"/>
                <w:sz w:val="12"/>
                <w:szCs w:val="12"/>
                <w:color w:val="auto"/>
              </w:rPr>
              <w:t>SCHEDULES</w:t>
            </w:r>
          </w:p>
        </w:tc>
        <w:tc>
          <w:tcPr>
            <w:tcW w:w="4420" w:type="dxa"/>
            <w:vAlign w:val="bottom"/>
          </w:tcPr>
          <w:p>
            <w:pPr>
              <w:ind w:left="700"/>
              <w:spacing w:after="0"/>
              <w:rPr>
                <w:sz w:val="20"/>
                <w:szCs w:val="20"/>
                <w:color w:val="auto"/>
              </w:rPr>
            </w:pPr>
            <w:r>
              <w:rPr>
                <w:rFonts w:ascii="Courier New" w:cs="Courier New" w:eastAsia="Courier New" w:hAnsi="Courier New"/>
                <w:sz w:val="12"/>
                <w:szCs w:val="12"/>
                <w:color w:val="auto"/>
              </w:rPr>
              <w:t>DESCRIPTION</w:t>
            </w:r>
          </w:p>
        </w:tc>
        <w:tc>
          <w:tcPr>
            <w:tcW w:w="1800" w:type="dxa"/>
            <w:vAlign w:val="bottom"/>
          </w:tcPr>
          <w:p>
            <w:pPr>
              <w:spacing w:after="0"/>
              <w:rPr>
                <w:sz w:val="24"/>
                <w:szCs w:val="24"/>
                <w:color w:val="auto"/>
              </w:rPr>
            </w:pPr>
          </w:p>
        </w:tc>
      </w:tr>
    </w:tbl>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ectPr>
          <w:pgSz w:w="11900" w:h="16862" w:orient="portrait"/>
          <w:cols w:equalWidth="0" w:num="1">
            <w:col w:w="10239"/>
          </w:cols>
          <w:pgMar w:left="220" w:top="141" w:right="1440" w:bottom="0" w:gutter="0" w:footer="0" w:header="0"/>
        </w:sectPr>
      </w:pP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SCHEDULE 1.1.2</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Accounts of the Borrower</w:t>
      </w:r>
    </w:p>
    <w:p>
      <w:pPr>
        <w:spacing w:after="0" w:line="147" w:lineRule="exact"/>
        <w:rPr>
          <w:sz w:val="20"/>
          <w:szCs w:val="20"/>
          <w:color w:val="auto"/>
        </w:rPr>
      </w:pPr>
    </w:p>
    <w:p>
      <w:pPr>
        <w:sectPr>
          <w:pgSz w:w="11900" w:h="16862" w:orient="portrait"/>
          <w:cols w:equalWidth="0" w:num="2">
            <w:col w:w="1020" w:space="440"/>
            <w:col w:w="877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SCHEDULE 1.1.16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Business Plan</w:t>
      </w:r>
    </w:p>
    <w:p>
      <w:pPr>
        <w:spacing w:after="0" w:line="147" w:lineRule="exact"/>
        <w:rPr>
          <w:sz w:val="20"/>
          <w:szCs w:val="20"/>
          <w:color w:val="auto"/>
        </w:rPr>
      </w:pPr>
    </w:p>
    <w:p>
      <w:pPr>
        <w:sectPr>
          <w:pgSz w:w="11900" w:h="16862" w:orient="portrait"/>
          <w:cols w:equalWidth="0" w:num="2">
            <w:col w:w="1100" w:space="360"/>
            <w:col w:w="877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SCHEDULE 1.1.36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Form of Debenture</w:t>
      </w:r>
    </w:p>
    <w:p>
      <w:pPr>
        <w:spacing w:after="0" w:line="147" w:lineRule="exact"/>
        <w:rPr>
          <w:sz w:val="20"/>
          <w:szCs w:val="20"/>
          <w:color w:val="auto"/>
        </w:rPr>
      </w:pPr>
    </w:p>
    <w:p>
      <w:pPr>
        <w:sectPr>
          <w:pgSz w:w="11900" w:h="16862" w:orient="portrait"/>
          <w:cols w:equalWidth="0" w:num="2">
            <w:col w:w="1100" w:space="360"/>
            <w:col w:w="877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SCHEDULE 1.1.53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Floating Charge securing Grants made by the Investment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Centre in respect of Fab 1</w:t>
      </w:r>
    </w:p>
    <w:p>
      <w:pPr>
        <w:spacing w:after="0" w:line="147" w:lineRule="exact"/>
        <w:rPr>
          <w:sz w:val="20"/>
          <w:szCs w:val="20"/>
          <w:color w:val="auto"/>
        </w:rPr>
      </w:pPr>
    </w:p>
    <w:p>
      <w:pPr>
        <w:sectPr>
          <w:pgSz w:w="11900" w:h="16862" w:orient="portrait"/>
          <w:cols w:equalWidth="0" w:num="2">
            <w:col w:w="1100" w:space="360"/>
            <w:col w:w="877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SCHEDULE 1.1.64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DELETED</w:t>
      </w:r>
    </w:p>
    <w:p>
      <w:pPr>
        <w:spacing w:after="0" w:line="147" w:lineRule="exact"/>
        <w:rPr>
          <w:sz w:val="20"/>
          <w:szCs w:val="20"/>
          <w:color w:val="auto"/>
        </w:rPr>
      </w:pPr>
    </w:p>
    <w:p>
      <w:pPr>
        <w:sectPr>
          <w:pgSz w:w="11900" w:h="16862" w:orient="portrait"/>
          <w:cols w:equalWidth="0" w:num="2">
            <w:col w:w="1100" w:space="360"/>
            <w:col w:w="877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SCHEDULE 1.1.79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List of Intellectual Property Assets</w:t>
      </w:r>
    </w:p>
    <w:p>
      <w:pPr>
        <w:spacing w:after="0" w:line="147" w:lineRule="exact"/>
        <w:rPr>
          <w:sz w:val="20"/>
          <w:szCs w:val="20"/>
          <w:color w:val="auto"/>
        </w:rPr>
      </w:pPr>
    </w:p>
    <w:p>
      <w:pPr>
        <w:sectPr>
          <w:pgSz w:w="11900" w:h="16862" w:orient="portrait"/>
          <w:cols w:equalWidth="0" w:num="2">
            <w:col w:w="1100" w:space="360"/>
            <w:col w:w="877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SCHEDULE 1.1.101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List of Material Contracts</w:t>
      </w:r>
    </w:p>
    <w:p>
      <w:pPr>
        <w:spacing w:after="0" w:line="147" w:lineRule="exact"/>
        <w:rPr>
          <w:sz w:val="20"/>
          <w:szCs w:val="20"/>
          <w:color w:val="auto"/>
        </w:rPr>
      </w:pPr>
    </w:p>
    <w:p>
      <w:pPr>
        <w:sectPr>
          <w:pgSz w:w="11900" w:h="16862" w:orient="portrait"/>
          <w:cols w:equalWidth="0" w:num="2">
            <w:col w:w="1180" w:space="280"/>
            <w:col w:w="877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SCHEDULE 1.1.104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DELETED</w:t>
      </w:r>
    </w:p>
    <w:p>
      <w:pPr>
        <w:spacing w:after="0" w:line="147" w:lineRule="exact"/>
        <w:rPr>
          <w:sz w:val="20"/>
          <w:szCs w:val="20"/>
          <w:color w:val="auto"/>
        </w:rPr>
      </w:pPr>
    </w:p>
    <w:p>
      <w:pPr>
        <w:sectPr>
          <w:pgSz w:w="11900" w:h="16862" w:orient="portrait"/>
          <w:cols w:equalWidth="0" w:num="2">
            <w:col w:w="1180" w:space="280"/>
            <w:col w:w="877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SCHEDULE 1.1.105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List of Named Directors and Officers</w:t>
      </w:r>
    </w:p>
    <w:p>
      <w:pPr>
        <w:spacing w:after="0" w:line="147" w:lineRule="exact"/>
        <w:rPr>
          <w:sz w:val="20"/>
          <w:szCs w:val="20"/>
          <w:color w:val="auto"/>
        </w:rPr>
      </w:pPr>
    </w:p>
    <w:p>
      <w:pPr>
        <w:sectPr>
          <w:pgSz w:w="11900" w:h="16862" w:orient="portrait"/>
          <w:cols w:equalWidth="0" w:num="2">
            <w:col w:w="1180" w:space="280"/>
            <w:col w:w="877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SCHEDULE 1.1.106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Net Cash Flow of the Borrower</w:t>
      </w:r>
    </w:p>
    <w:p>
      <w:pPr>
        <w:spacing w:after="0" w:line="147" w:lineRule="exact"/>
        <w:rPr>
          <w:sz w:val="20"/>
          <w:szCs w:val="20"/>
          <w:color w:val="auto"/>
        </w:rPr>
      </w:pPr>
    </w:p>
    <w:p>
      <w:pPr>
        <w:sectPr>
          <w:pgSz w:w="11900" w:h="16862" w:orient="portrait"/>
          <w:cols w:equalWidth="0" w:num="2">
            <w:col w:w="1180" w:space="280"/>
            <w:col w:w="877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SCHEDULE 1.1.114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Details of equipment and other assets subject to certain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Permitted Encumbrances</w:t>
      </w:r>
    </w:p>
    <w:p>
      <w:pPr>
        <w:sectPr>
          <w:pgSz w:w="11900" w:h="16862" w:orient="portrait"/>
          <w:cols w:equalWidth="0" w:num="2">
            <w:col w:w="1180" w:space="280"/>
            <w:col w:w="8779"/>
          </w:cols>
          <w:pgMar w:left="220" w:top="141" w:right="1440" w:bottom="0" w:gutter="0" w:footer="0" w:header="0"/>
          <w:type w:val="continuous"/>
        </w:sectPr>
      </w:pPr>
    </w:p>
    <w:bookmarkStart w:id="73" w:name="page74"/>
    <w:bookmarkEnd w:id="73"/>
    <w:p>
      <w:pPr>
        <w:ind w:left="1464" w:right="4359" w:hanging="1471"/>
        <w:spacing w:after="0" w:line="253" w:lineRule="auto"/>
        <w:rPr>
          <w:sz w:val="20"/>
          <w:szCs w:val="20"/>
          <w:color w:val="auto"/>
        </w:rPr>
      </w:pPr>
      <w:r>
        <w:rPr>
          <w:rFonts w:ascii="Courier New" w:cs="Courier New" w:eastAsia="Courier New" w:hAnsi="Courier New"/>
          <w:sz w:val="12"/>
          <w:szCs w:val="12"/>
          <w:color w:val="auto"/>
        </w:rPr>
        <w:t>SCHEDULE 1.1.115(C) Description of Financial Indebtedness of the Group in excess of US $22,500,000</w:t>
      </w:r>
    </w:p>
    <w:p>
      <w:pPr>
        <w:spacing w:after="0" w:line="138"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SCHEDULE 1.1.115(k) Other permitted Financial Indebtedness</w:t>
      </w:r>
    </w:p>
    <w:p>
      <w:pPr>
        <w:sectPr>
          <w:pgSz w:w="11900" w:h="16838" w:orient="portrait"/>
          <w:cols w:equalWidth="0" w:num="1">
            <w:col w:w="10244"/>
          </w:cols>
          <w:pgMar w:left="216" w:top="283" w:right="1440" w:bottom="0" w:gutter="0" w:footer="0" w:header="0"/>
        </w:sectPr>
      </w:pPr>
    </w:p>
    <w:p>
      <w:pPr>
        <w:spacing w:after="0" w:line="147"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SCHEDULE 1.1.147</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List of Warrants issued by the Borrower to the Banks</w:t>
      </w:r>
    </w:p>
    <w:p>
      <w:pPr>
        <w:spacing w:after="0" w:line="147" w:lineRule="exact"/>
        <w:rPr>
          <w:sz w:val="20"/>
          <w:szCs w:val="20"/>
          <w:color w:val="auto"/>
        </w:rPr>
      </w:pPr>
    </w:p>
    <w:p>
      <w:pPr>
        <w:sectPr>
          <w:pgSz w:w="11900" w:h="16838" w:orient="portrait"/>
          <w:cols w:equalWidth="0" w:num="2">
            <w:col w:w="1184" w:space="280"/>
            <w:col w:w="8779"/>
          </w:cols>
          <w:pgMar w:left="216" w:top="283" w:right="1440" w:bottom="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SCHEDULE 15.2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DELETED</w:t>
      </w:r>
    </w:p>
    <w:p>
      <w:pPr>
        <w:spacing w:after="0" w:line="147" w:lineRule="exact"/>
        <w:rPr>
          <w:sz w:val="20"/>
          <w:szCs w:val="20"/>
          <w:color w:val="auto"/>
        </w:rPr>
      </w:pPr>
    </w:p>
    <w:p>
      <w:pPr>
        <w:sectPr>
          <w:pgSz w:w="11900" w:h="16838" w:orient="portrait"/>
          <w:cols w:equalWidth="0" w:num="2">
            <w:col w:w="964" w:space="500"/>
            <w:col w:w="8779"/>
          </w:cols>
          <w:pgMar w:left="216" w:top="283" w:right="1440" w:bottom="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SCHEDULE 15.4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Non-conflict</w:t>
      </w:r>
    </w:p>
    <w:p>
      <w:pPr>
        <w:spacing w:after="0" w:line="147" w:lineRule="exact"/>
        <w:rPr>
          <w:sz w:val="20"/>
          <w:szCs w:val="20"/>
          <w:color w:val="auto"/>
        </w:rPr>
      </w:pPr>
    </w:p>
    <w:p>
      <w:pPr>
        <w:sectPr>
          <w:pgSz w:w="11900" w:h="16838" w:orient="portrait"/>
          <w:cols w:equalWidth="0" w:num="2">
            <w:col w:w="964" w:space="500"/>
            <w:col w:w="8779"/>
          </w:cols>
          <w:pgMar w:left="216" w:top="283" w:right="1440" w:bottom="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SCHEDULE 15.6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Consents required to be obtained from any person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Governmental Body</w:t>
      </w:r>
    </w:p>
    <w:p>
      <w:pPr>
        <w:spacing w:after="0" w:line="147" w:lineRule="exact"/>
        <w:rPr>
          <w:sz w:val="20"/>
          <w:szCs w:val="20"/>
          <w:color w:val="auto"/>
        </w:rPr>
      </w:pPr>
    </w:p>
    <w:p>
      <w:pPr>
        <w:sectPr>
          <w:pgSz w:w="11900" w:h="16838" w:orient="portrait"/>
          <w:cols w:equalWidth="0" w:num="2">
            <w:col w:w="964" w:space="500"/>
            <w:col w:w="8779"/>
          </w:cols>
          <w:pgMar w:left="216" w:top="283" w:right="1440" w:bottom="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SCHEDULE 15.7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Information as to five per cent holders and options,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warrants and convertible debentures</w:t>
      </w:r>
    </w:p>
    <w:p>
      <w:pPr>
        <w:spacing w:after="0" w:line="147" w:lineRule="exact"/>
        <w:rPr>
          <w:sz w:val="20"/>
          <w:szCs w:val="20"/>
          <w:color w:val="auto"/>
        </w:rPr>
      </w:pPr>
    </w:p>
    <w:p>
      <w:pPr>
        <w:sectPr>
          <w:pgSz w:w="11900" w:h="16838" w:orient="portrait"/>
          <w:cols w:equalWidth="0" w:num="2">
            <w:col w:w="964" w:space="500"/>
            <w:col w:w="8779"/>
          </w:cols>
          <w:pgMar w:left="216" w:top="283" w:right="1440" w:bottom="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SCHEDULE 15.10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Exceptions to representations as to good and marketable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title to assets and rights</w:t>
      </w:r>
    </w:p>
    <w:p>
      <w:pPr>
        <w:spacing w:after="0" w:line="147" w:lineRule="exact"/>
        <w:rPr>
          <w:sz w:val="20"/>
          <w:szCs w:val="20"/>
          <w:color w:val="auto"/>
        </w:rPr>
      </w:pPr>
    </w:p>
    <w:p>
      <w:pPr>
        <w:sectPr>
          <w:pgSz w:w="11900" w:h="16838" w:orient="portrait"/>
          <w:cols w:equalWidth="0" w:num="2">
            <w:col w:w="1024" w:space="440"/>
            <w:col w:w="8779"/>
          </w:cols>
          <w:pgMar w:left="216" w:top="283" w:right="1440" w:bottom="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SCHEDULE 15.11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DELETED</w:t>
      </w:r>
    </w:p>
    <w:p>
      <w:pPr>
        <w:spacing w:after="0" w:line="147" w:lineRule="exact"/>
        <w:rPr>
          <w:sz w:val="20"/>
          <w:szCs w:val="20"/>
          <w:color w:val="auto"/>
        </w:rPr>
      </w:pPr>
    </w:p>
    <w:p>
      <w:pPr>
        <w:sectPr>
          <w:pgSz w:w="11900" w:h="16838" w:orient="portrait"/>
          <w:cols w:equalWidth="0" w:num="2">
            <w:col w:w="1024" w:space="440"/>
            <w:col w:w="8779"/>
          </w:cols>
          <w:pgMar w:left="216" w:top="283" w:right="1440" w:bottom="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SCHEDULE 15.12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DELETED</w:t>
      </w:r>
    </w:p>
    <w:p>
      <w:pPr>
        <w:spacing w:after="0" w:line="147" w:lineRule="exact"/>
        <w:rPr>
          <w:sz w:val="20"/>
          <w:szCs w:val="20"/>
          <w:color w:val="auto"/>
        </w:rPr>
      </w:pPr>
    </w:p>
    <w:p>
      <w:pPr>
        <w:sectPr>
          <w:pgSz w:w="11900" w:h="16838" w:orient="portrait"/>
          <w:cols w:equalWidth="0" w:num="2">
            <w:col w:w="1024" w:space="440"/>
            <w:col w:w="8779"/>
          </w:cols>
          <w:pgMar w:left="216" w:top="283" w:right="1440" w:bottom="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SCHEDULE 15.13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Listed details and copies of all trust deeds, indentures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other instruments reflecting the terms and conditions of all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existing Permitted Subordinated Debt</w:t>
      </w:r>
    </w:p>
    <w:p>
      <w:pPr>
        <w:spacing w:after="0" w:line="147" w:lineRule="exact"/>
        <w:rPr>
          <w:sz w:val="20"/>
          <w:szCs w:val="20"/>
          <w:color w:val="auto"/>
        </w:rPr>
      </w:pPr>
    </w:p>
    <w:p>
      <w:pPr>
        <w:sectPr>
          <w:pgSz w:w="11900" w:h="16838" w:orient="portrait"/>
          <w:cols w:equalWidth="0" w:num="2">
            <w:col w:w="1024" w:space="440"/>
            <w:col w:w="8779"/>
          </w:cols>
          <w:pgMar w:left="216" w:top="283" w:right="1440" w:bottom="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SCHEDULE 15.15.1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DELETED</w:t>
      </w:r>
    </w:p>
    <w:p>
      <w:pPr>
        <w:spacing w:after="0" w:line="147" w:lineRule="exact"/>
        <w:rPr>
          <w:sz w:val="20"/>
          <w:szCs w:val="20"/>
          <w:color w:val="auto"/>
        </w:rPr>
      </w:pPr>
    </w:p>
    <w:p>
      <w:pPr>
        <w:sectPr>
          <w:pgSz w:w="11900" w:h="16838" w:orient="portrait"/>
          <w:cols w:equalWidth="0" w:num="2">
            <w:col w:w="1184" w:space="280"/>
            <w:col w:w="8779"/>
          </w:cols>
          <w:pgMar w:left="216" w:top="283" w:right="1440" w:bottom="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SCHEDULE 15.17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Exceptions to compliance with law representation</w:t>
      </w:r>
    </w:p>
    <w:p>
      <w:pPr>
        <w:spacing w:after="0" w:line="200" w:lineRule="exact"/>
        <w:rPr>
          <w:sz w:val="20"/>
          <w:szCs w:val="20"/>
          <w:color w:val="auto"/>
        </w:rPr>
      </w:pPr>
    </w:p>
    <w:p>
      <w:pPr>
        <w:sectPr>
          <w:pgSz w:w="11900" w:h="16838" w:orient="portrait"/>
          <w:cols w:equalWidth="0" w:num="2">
            <w:col w:w="1024" w:space="440"/>
            <w:col w:w="8779"/>
          </w:cols>
          <w:pgMar w:left="216" w:top="283" w:right="1440" w:bottom="0" w:gutter="0" w:footer="0" w:header="0"/>
          <w:type w:val="continuous"/>
        </w:sectPr>
      </w:pPr>
    </w:p>
    <w:p>
      <w:pPr>
        <w:spacing w:after="0" w:line="89" w:lineRule="exact"/>
        <w:rPr>
          <w:sz w:val="20"/>
          <w:szCs w:val="20"/>
          <w:color w:val="auto"/>
        </w:rPr>
      </w:pPr>
    </w:p>
    <w:p>
      <w:pPr>
        <w:ind w:left="2804"/>
        <w:spacing w:after="0"/>
        <w:rPr>
          <w:sz w:val="20"/>
          <w:szCs w:val="20"/>
          <w:color w:val="auto"/>
        </w:rPr>
      </w:pPr>
      <w:r>
        <w:rPr>
          <w:rFonts w:ascii="Courier New" w:cs="Courier New" w:eastAsia="Courier New" w:hAnsi="Courier New"/>
          <w:sz w:val="12"/>
          <w:szCs w:val="12"/>
          <w:color w:val="auto"/>
        </w:rPr>
        <w:t>(vi)</w:t>
      </w:r>
    </w:p>
    <w:p>
      <w:pPr>
        <w:spacing w:after="0" w:line="200" w:lineRule="exact"/>
        <w:rPr>
          <w:sz w:val="20"/>
          <w:szCs w:val="20"/>
          <w:color w:val="auto"/>
        </w:rPr>
      </w:pPr>
    </w:p>
    <w:p>
      <w:pPr>
        <w:spacing w:after="0" w:line="353" w:lineRule="exact"/>
        <w:rPr>
          <w:sz w:val="20"/>
          <w:szCs w:val="20"/>
          <w:color w:val="auto"/>
        </w:rPr>
      </w:pPr>
    </w:p>
    <w:p>
      <w:pPr>
        <w:jc w:val="center"/>
        <w:ind w:right="4275"/>
        <w:spacing w:after="0"/>
        <w:rPr>
          <w:sz w:val="20"/>
          <w:szCs w:val="20"/>
          <w:color w:val="auto"/>
        </w:rPr>
      </w:pPr>
      <w:r>
        <w:rPr>
          <w:rFonts w:ascii="Courier New" w:cs="Courier New" w:eastAsia="Courier New" w:hAnsi="Courier New"/>
          <w:sz w:val="12"/>
          <w:szCs w:val="12"/>
          <w:color w:val="auto"/>
        </w:rPr>
        <w:t>TABLE OF CONTENTS</w:t>
      </w:r>
    </w:p>
    <w:p>
      <w:pPr>
        <w:spacing w:after="0" w:line="6" w:lineRule="exact"/>
        <w:rPr>
          <w:sz w:val="20"/>
          <w:szCs w:val="20"/>
          <w:color w:val="auto"/>
        </w:rPr>
      </w:pPr>
    </w:p>
    <w:p>
      <w:pPr>
        <w:jc w:val="center"/>
        <w:ind w:right="4275"/>
        <w:spacing w:after="0"/>
        <w:rPr>
          <w:sz w:val="20"/>
          <w:szCs w:val="20"/>
          <w:color w:val="auto"/>
        </w:rPr>
      </w:pPr>
      <w:r>
        <w:rPr>
          <w:rFonts w:ascii="Courier New" w:cs="Courier New" w:eastAsia="Courier New" w:hAnsi="Courier New"/>
          <w:sz w:val="12"/>
          <w:szCs w:val="12"/>
          <w:color w:val="auto"/>
        </w:rPr>
        <w:t>(CONTINUED)</w:t>
      </w:r>
    </w:p>
    <w:p>
      <w:pPr>
        <w:sectPr>
          <w:pgSz w:w="11900" w:h="16838" w:orient="portrait"/>
          <w:cols w:equalWidth="0" w:num="1">
            <w:col w:w="10244"/>
          </w:cols>
          <w:pgMar w:left="216" w:top="283" w:right="1440" w:bottom="0" w:gutter="0" w:footer="0" w:header="0"/>
          <w:type w:val="continuous"/>
        </w:sectPr>
      </w:pPr>
    </w:p>
    <w:p>
      <w:pPr>
        <w:spacing w:after="0" w:line="147"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SCHEDULES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DESCRIPTION</w:t>
      </w:r>
    </w:p>
    <w:p>
      <w:pPr>
        <w:spacing w:after="0" w:line="147" w:lineRule="exact"/>
        <w:rPr>
          <w:sz w:val="20"/>
          <w:szCs w:val="20"/>
          <w:color w:val="auto"/>
        </w:rPr>
      </w:pPr>
    </w:p>
    <w:p>
      <w:pPr>
        <w:sectPr>
          <w:pgSz w:w="11900" w:h="16838" w:orient="portrait"/>
          <w:cols w:equalWidth="0" w:num="2">
            <w:col w:w="744" w:space="720"/>
            <w:col w:w="8779"/>
          </w:cols>
          <w:pgMar w:left="216" w:top="283" w:right="1440" w:bottom="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w:t>
      </w:r>
    </w:p>
    <w:p>
      <w:pPr>
        <w:sectPr>
          <w:pgSz w:w="11900" w:h="16838" w:orient="portrait"/>
          <w:cols w:equalWidth="0" w:num="1">
            <w:col w:w="10244"/>
          </w:cols>
          <w:pgMar w:left="216" w:top="283" w:right="1440" w:bottom="0" w:gutter="0" w:footer="0" w:header="0"/>
          <w:type w:val="continuous"/>
        </w:sectPr>
      </w:pPr>
    </w:p>
    <w:p>
      <w:pPr>
        <w:spacing w:after="0" w:line="147"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SCHEDULE 15.18</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Description of Proceedings pending against the Borrower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any Subsidiary</w:t>
      </w:r>
    </w:p>
    <w:p>
      <w:pPr>
        <w:spacing w:after="0" w:line="147" w:lineRule="exact"/>
        <w:rPr>
          <w:sz w:val="20"/>
          <w:szCs w:val="20"/>
          <w:color w:val="auto"/>
        </w:rPr>
      </w:pPr>
    </w:p>
    <w:p>
      <w:pPr>
        <w:sectPr>
          <w:pgSz w:w="11900" w:h="16838" w:orient="portrait"/>
          <w:cols w:equalWidth="0" w:num="2">
            <w:col w:w="1024" w:space="440"/>
            <w:col w:w="8779"/>
          </w:cols>
          <w:pgMar w:left="216" w:top="283" w:right="1440" w:bottom="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SCHEDULE 15.19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DELETED</w:t>
      </w:r>
    </w:p>
    <w:p>
      <w:pPr>
        <w:spacing w:after="0" w:line="147" w:lineRule="exact"/>
        <w:rPr>
          <w:sz w:val="20"/>
          <w:szCs w:val="20"/>
          <w:color w:val="auto"/>
        </w:rPr>
      </w:pPr>
    </w:p>
    <w:p>
      <w:pPr>
        <w:sectPr>
          <w:pgSz w:w="11900" w:h="16838" w:orient="portrait"/>
          <w:cols w:equalWidth="0" w:num="2">
            <w:col w:w="1024" w:space="440"/>
            <w:col w:w="8779"/>
          </w:cols>
          <w:pgMar w:left="216" w:top="283" w:right="1440" w:bottom="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SCHEDULE 15.20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DELETED</w:t>
      </w:r>
    </w:p>
    <w:p>
      <w:pPr>
        <w:spacing w:after="0" w:line="147" w:lineRule="exact"/>
        <w:rPr>
          <w:sz w:val="20"/>
          <w:szCs w:val="20"/>
          <w:color w:val="auto"/>
        </w:rPr>
      </w:pPr>
    </w:p>
    <w:p>
      <w:pPr>
        <w:sectPr>
          <w:pgSz w:w="11900" w:h="16838" w:orient="portrait"/>
          <w:cols w:equalWidth="0" w:num="2">
            <w:col w:w="1024" w:space="440"/>
            <w:col w:w="8779"/>
          </w:cols>
          <w:pgMar w:left="216" w:top="283" w:right="1440" w:bottom="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SCHEDULE 15.22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DELETED</w:t>
      </w:r>
    </w:p>
    <w:p>
      <w:pPr>
        <w:spacing w:after="0" w:line="147" w:lineRule="exact"/>
        <w:rPr>
          <w:sz w:val="20"/>
          <w:szCs w:val="20"/>
          <w:color w:val="auto"/>
        </w:rPr>
      </w:pPr>
    </w:p>
    <w:p>
      <w:pPr>
        <w:sectPr>
          <w:pgSz w:w="11900" w:h="16838" w:orient="portrait"/>
          <w:cols w:equalWidth="0" w:num="2">
            <w:col w:w="1024" w:space="440"/>
            <w:col w:w="8779"/>
          </w:cols>
          <w:pgMar w:left="216" w:top="283" w:right="1440" w:bottom="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SCHEDULE 15.23.2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DELETED</w:t>
      </w:r>
    </w:p>
    <w:p>
      <w:pPr>
        <w:spacing w:after="0" w:line="147" w:lineRule="exact"/>
        <w:rPr>
          <w:sz w:val="20"/>
          <w:szCs w:val="20"/>
          <w:color w:val="auto"/>
        </w:rPr>
      </w:pPr>
    </w:p>
    <w:p>
      <w:pPr>
        <w:sectPr>
          <w:pgSz w:w="11900" w:h="16838" w:orient="portrait"/>
          <w:cols w:equalWidth="0" w:num="2">
            <w:col w:w="1184" w:space="280"/>
            <w:col w:w="8779"/>
          </w:cols>
          <w:pgMar w:left="216" w:top="283" w:right="1440" w:bottom="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SCHEDULE 15.23.3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DELETED</w:t>
      </w:r>
    </w:p>
    <w:p>
      <w:pPr>
        <w:spacing w:after="0" w:line="147" w:lineRule="exact"/>
        <w:rPr>
          <w:sz w:val="20"/>
          <w:szCs w:val="20"/>
          <w:color w:val="auto"/>
        </w:rPr>
      </w:pPr>
    </w:p>
    <w:p>
      <w:pPr>
        <w:sectPr>
          <w:pgSz w:w="11900" w:h="16838" w:orient="portrait"/>
          <w:cols w:equalWidth="0" w:num="2">
            <w:col w:w="1184" w:space="280"/>
            <w:col w:w="8779"/>
          </w:cols>
          <w:pgMar w:left="216" w:top="283" w:right="1440" w:bottom="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SCHEDULE 15.23.5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DELETED</w:t>
      </w:r>
    </w:p>
    <w:p>
      <w:pPr>
        <w:spacing w:after="0" w:line="147" w:lineRule="exact"/>
        <w:rPr>
          <w:sz w:val="20"/>
          <w:szCs w:val="20"/>
          <w:color w:val="auto"/>
        </w:rPr>
      </w:pPr>
    </w:p>
    <w:p>
      <w:pPr>
        <w:sectPr>
          <w:pgSz w:w="11900" w:h="16838" w:orient="portrait"/>
          <w:cols w:equalWidth="0" w:num="2">
            <w:col w:w="1184" w:space="280"/>
            <w:col w:w="8779"/>
          </w:cols>
          <w:pgMar w:left="216" w:top="283" w:right="1440" w:bottom="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SCHEDULE 15.24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DELETED</w:t>
      </w:r>
    </w:p>
    <w:p>
      <w:pPr>
        <w:spacing w:after="0" w:line="147" w:lineRule="exact"/>
        <w:rPr>
          <w:sz w:val="20"/>
          <w:szCs w:val="20"/>
          <w:color w:val="auto"/>
        </w:rPr>
      </w:pPr>
    </w:p>
    <w:p>
      <w:pPr>
        <w:sectPr>
          <w:pgSz w:w="11900" w:h="16838" w:orient="portrait"/>
          <w:cols w:equalWidth="0" w:num="2">
            <w:col w:w="1024" w:space="440"/>
            <w:col w:w="8779"/>
          </w:cols>
          <w:pgMar w:left="216" w:top="283" w:right="1440" w:bottom="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SCHEDULE 15.26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DELETED</w:t>
      </w:r>
    </w:p>
    <w:p>
      <w:pPr>
        <w:spacing w:after="0" w:line="147" w:lineRule="exact"/>
        <w:rPr>
          <w:sz w:val="20"/>
          <w:szCs w:val="20"/>
          <w:color w:val="auto"/>
        </w:rPr>
      </w:pPr>
    </w:p>
    <w:p>
      <w:pPr>
        <w:sectPr>
          <w:pgSz w:w="11900" w:h="16838" w:orient="portrait"/>
          <w:cols w:equalWidth="0" w:num="2">
            <w:col w:w="1024" w:space="440"/>
            <w:col w:w="8779"/>
          </w:cols>
          <w:pgMar w:left="216" w:top="283" w:right="1440" w:bottom="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SCHEDULE 15.29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DELETED</w:t>
      </w:r>
    </w:p>
    <w:p>
      <w:pPr>
        <w:spacing w:after="0" w:line="147" w:lineRule="exact"/>
        <w:rPr>
          <w:sz w:val="20"/>
          <w:szCs w:val="20"/>
          <w:color w:val="auto"/>
        </w:rPr>
      </w:pPr>
    </w:p>
    <w:p>
      <w:pPr>
        <w:sectPr>
          <w:pgSz w:w="11900" w:h="16838" w:orient="portrait"/>
          <w:cols w:equalWidth="0" w:num="2">
            <w:col w:w="1024" w:space="440"/>
            <w:col w:w="8779"/>
          </w:cols>
          <w:pgMar w:left="216" w:top="283" w:right="1440" w:bottom="0" w:gutter="0" w:footer="0" w:header="0"/>
          <w:type w:val="continuous"/>
        </w:sectPr>
      </w:pPr>
    </w:p>
    <w:p>
      <w:pPr>
        <w:jc w:val="center"/>
        <w:ind w:right="4575"/>
        <w:spacing w:after="0"/>
        <w:rPr>
          <w:sz w:val="20"/>
          <w:szCs w:val="20"/>
          <w:color w:val="auto"/>
        </w:rPr>
      </w:pPr>
      <w:r>
        <w:rPr>
          <w:rFonts w:ascii="Courier New" w:cs="Courier New" w:eastAsia="Courier New" w:hAnsi="Courier New"/>
          <w:sz w:val="12"/>
          <w:szCs w:val="12"/>
          <w:color w:val="auto"/>
        </w:rPr>
        <w:t>SCHEDULE 16.1.1(iv) Form of report setting out a comparison of actual results</w:t>
      </w:r>
    </w:p>
    <w:p>
      <w:pPr>
        <w:spacing w:after="0" w:line="6" w:lineRule="exact"/>
        <w:rPr>
          <w:sz w:val="20"/>
          <w:szCs w:val="20"/>
          <w:color w:val="auto"/>
        </w:rPr>
      </w:pPr>
    </w:p>
    <w:p>
      <w:pPr>
        <w:jc w:val="center"/>
        <w:ind w:right="4495"/>
        <w:spacing w:after="0"/>
        <w:rPr>
          <w:sz w:val="20"/>
          <w:szCs w:val="20"/>
          <w:color w:val="auto"/>
        </w:rPr>
      </w:pPr>
      <w:r>
        <w:rPr>
          <w:rFonts w:ascii="Courier New" w:cs="Courier New" w:eastAsia="Courier New" w:hAnsi="Courier New"/>
          <w:sz w:val="12"/>
          <w:szCs w:val="12"/>
          <w:color w:val="auto"/>
        </w:rPr>
        <w:t>with projected results of the Borrower</w:t>
      </w:r>
    </w:p>
    <w:p>
      <w:pPr>
        <w:spacing w:after="0" w:line="147" w:lineRule="exact"/>
        <w:rPr>
          <w:sz w:val="20"/>
          <w:szCs w:val="20"/>
          <w:color w:val="auto"/>
        </w:rPr>
      </w:pPr>
    </w:p>
    <w:p>
      <w:pPr>
        <w:ind w:left="1464" w:right="4499" w:hanging="1471"/>
        <w:spacing w:after="0" w:line="251" w:lineRule="auto"/>
        <w:rPr>
          <w:sz w:val="20"/>
          <w:szCs w:val="20"/>
          <w:color w:val="auto"/>
        </w:rPr>
      </w:pPr>
      <w:r>
        <w:rPr>
          <w:rFonts w:ascii="Courier New" w:cs="Courier New" w:eastAsia="Courier New" w:hAnsi="Courier New"/>
          <w:sz w:val="12"/>
          <w:szCs w:val="12"/>
          <w:color w:val="auto"/>
        </w:rPr>
        <w:t>SCHEDULE 16.1.1(v)A Form of certificate of the Auditors setting out payments with respect to the Project during the relevant Quarter or Fiscal Year (as the case may be)</w:t>
      </w:r>
    </w:p>
    <w:p>
      <w:pPr>
        <w:spacing w:after="0" w:line="140" w:lineRule="exact"/>
        <w:rPr>
          <w:sz w:val="20"/>
          <w:szCs w:val="20"/>
          <w:color w:val="auto"/>
        </w:rPr>
      </w:pPr>
    </w:p>
    <w:p>
      <w:pPr>
        <w:ind w:left="1464" w:right="4419" w:hanging="1471"/>
        <w:spacing w:after="0" w:line="253" w:lineRule="auto"/>
        <w:rPr>
          <w:sz w:val="20"/>
          <w:szCs w:val="20"/>
          <w:color w:val="auto"/>
        </w:rPr>
      </w:pPr>
      <w:r>
        <w:rPr>
          <w:rFonts w:ascii="Courier New" w:cs="Courier New" w:eastAsia="Courier New" w:hAnsi="Courier New"/>
          <w:sz w:val="12"/>
          <w:szCs w:val="12"/>
          <w:color w:val="auto"/>
        </w:rPr>
        <w:t>SCHEDULE 16.1.1(v)B Form of certificate of the Auditors setting out the amounts invested in the relevant Quarter in Paid-in Equity</w:t>
      </w:r>
    </w:p>
    <w:p>
      <w:pPr>
        <w:spacing w:after="0" w:line="138" w:lineRule="exact"/>
        <w:rPr>
          <w:sz w:val="20"/>
          <w:szCs w:val="20"/>
          <w:color w:val="auto"/>
        </w:rPr>
      </w:pPr>
    </w:p>
    <w:p>
      <w:pPr>
        <w:jc w:val="both"/>
        <w:ind w:left="1464" w:right="4639" w:hanging="1471"/>
        <w:spacing w:after="0" w:line="251" w:lineRule="auto"/>
        <w:rPr>
          <w:sz w:val="20"/>
          <w:szCs w:val="20"/>
          <w:color w:val="auto"/>
        </w:rPr>
      </w:pPr>
      <w:r>
        <w:rPr>
          <w:rFonts w:ascii="Courier New" w:cs="Courier New" w:eastAsia="Courier New" w:hAnsi="Courier New"/>
          <w:sz w:val="12"/>
          <w:szCs w:val="12"/>
          <w:color w:val="auto"/>
        </w:rPr>
        <w:t>SCHEDULE 16.1.1(v)C Form of certificate of the Auditors setting out amounts received under the Investment Centre Fab 2 Grants in the relevant Quarter</w:t>
      </w:r>
    </w:p>
    <w:p>
      <w:pPr>
        <w:spacing w:after="0" w:line="140" w:lineRule="exact"/>
        <w:rPr>
          <w:sz w:val="20"/>
          <w:szCs w:val="20"/>
          <w:color w:val="auto"/>
        </w:rPr>
      </w:pPr>
    </w:p>
    <w:p>
      <w:pPr>
        <w:ind w:left="1464" w:right="4579" w:hanging="1471"/>
        <w:spacing w:after="0" w:line="253" w:lineRule="auto"/>
        <w:rPr>
          <w:sz w:val="20"/>
          <w:szCs w:val="20"/>
          <w:color w:val="auto"/>
        </w:rPr>
      </w:pPr>
      <w:r>
        <w:rPr>
          <w:rFonts w:ascii="Courier New" w:cs="Courier New" w:eastAsia="Courier New" w:hAnsi="Courier New"/>
          <w:sz w:val="12"/>
          <w:szCs w:val="12"/>
          <w:color w:val="auto"/>
        </w:rPr>
        <w:t>SCHEDULE 16.1.1(v)D Form of certificate of the Auditors confirming that there has been no breach of the financial covenants</w:t>
      </w:r>
    </w:p>
    <w:p>
      <w:pPr>
        <w:spacing w:after="0" w:line="138" w:lineRule="exact"/>
        <w:rPr>
          <w:sz w:val="20"/>
          <w:szCs w:val="20"/>
          <w:color w:val="auto"/>
        </w:rPr>
      </w:pPr>
    </w:p>
    <w:p>
      <w:pPr>
        <w:ind w:left="1464" w:right="5019" w:hanging="1471"/>
        <w:spacing w:after="0" w:line="253" w:lineRule="auto"/>
        <w:rPr>
          <w:sz w:val="20"/>
          <w:szCs w:val="20"/>
          <w:color w:val="auto"/>
        </w:rPr>
      </w:pPr>
      <w:r>
        <w:rPr>
          <w:rFonts w:ascii="Courier New" w:cs="Courier New" w:eastAsia="Courier New" w:hAnsi="Courier New"/>
          <w:sz w:val="12"/>
          <w:szCs w:val="12"/>
          <w:color w:val="auto"/>
        </w:rPr>
        <w:t>SCHEDULE 16.10.6(a) Form of endorsement clause to be inserted into each Insurance Policy taken out by the Borrower</w:t>
      </w:r>
    </w:p>
    <w:p>
      <w:pPr>
        <w:spacing w:after="0" w:line="138" w:lineRule="exact"/>
        <w:rPr>
          <w:sz w:val="20"/>
          <w:szCs w:val="20"/>
          <w:color w:val="auto"/>
        </w:rPr>
      </w:pPr>
    </w:p>
    <w:p>
      <w:pPr>
        <w:jc w:val="center"/>
        <w:ind w:right="4415"/>
        <w:spacing w:after="0"/>
        <w:rPr>
          <w:sz w:val="20"/>
          <w:szCs w:val="20"/>
          <w:color w:val="auto"/>
        </w:rPr>
      </w:pPr>
      <w:r>
        <w:rPr>
          <w:rFonts w:ascii="Courier New" w:cs="Courier New" w:eastAsia="Courier New" w:hAnsi="Courier New"/>
          <w:sz w:val="12"/>
          <w:szCs w:val="12"/>
          <w:color w:val="auto"/>
        </w:rPr>
        <w:t>SCHEDULE 16.10.6(d) Types of Insurance Policies taken out by the Borrower which</w:t>
      </w:r>
    </w:p>
    <w:p>
      <w:pPr>
        <w:spacing w:after="0" w:line="6" w:lineRule="exact"/>
        <w:rPr>
          <w:sz w:val="20"/>
          <w:szCs w:val="20"/>
          <w:color w:val="auto"/>
        </w:rPr>
      </w:pPr>
    </w:p>
    <w:p>
      <w:pPr>
        <w:jc w:val="center"/>
        <w:ind w:right="4575"/>
        <w:spacing w:after="0"/>
        <w:rPr>
          <w:sz w:val="20"/>
          <w:szCs w:val="20"/>
          <w:color w:val="auto"/>
        </w:rPr>
      </w:pPr>
      <w:r>
        <w:rPr>
          <w:rFonts w:ascii="Courier New" w:cs="Courier New" w:eastAsia="Courier New" w:hAnsi="Courier New"/>
          <w:sz w:val="12"/>
          <w:szCs w:val="12"/>
          <w:color w:val="auto"/>
        </w:rPr>
        <w:t>need not be assigned by way of charge</w:t>
      </w:r>
    </w:p>
    <w:p>
      <w:pPr>
        <w:spacing w:after="0" w:line="147" w:lineRule="exact"/>
        <w:rPr>
          <w:sz w:val="20"/>
          <w:szCs w:val="20"/>
          <w:color w:val="auto"/>
        </w:rPr>
      </w:pPr>
    </w:p>
    <w:p>
      <w:pPr>
        <w:ind w:left="4"/>
        <w:spacing w:after="0"/>
        <w:tabs>
          <w:tab w:leader="none" w:pos="1444" w:val="left"/>
        </w:tabs>
        <w:rPr>
          <w:sz w:val="20"/>
          <w:szCs w:val="20"/>
          <w:color w:val="auto"/>
        </w:rPr>
      </w:pPr>
      <w:r>
        <w:rPr>
          <w:rFonts w:ascii="Courier New" w:cs="Courier New" w:eastAsia="Courier New" w:hAnsi="Courier New"/>
          <w:sz w:val="12"/>
          <w:szCs w:val="12"/>
          <w:color w:val="auto"/>
        </w:rPr>
        <w:t>SCHEDULE 16.27</w:t>
      </w:r>
      <w:r>
        <w:rPr>
          <w:sz w:val="20"/>
          <w:szCs w:val="20"/>
          <w:color w:val="auto"/>
        </w:rPr>
        <w:tab/>
      </w:r>
      <w:r>
        <w:rPr>
          <w:rFonts w:ascii="Courier New" w:cs="Courier New" w:eastAsia="Courier New" w:hAnsi="Courier New"/>
          <w:sz w:val="12"/>
          <w:szCs w:val="12"/>
          <w:color w:val="auto"/>
        </w:rPr>
        <w:t>List of Amended Qualifying Wafer Prepayment Contracts</w:t>
      </w:r>
    </w:p>
    <w:p>
      <w:pPr>
        <w:spacing w:after="0" w:line="147" w:lineRule="exact"/>
        <w:rPr>
          <w:sz w:val="20"/>
          <w:szCs w:val="20"/>
          <w:color w:val="auto"/>
        </w:rPr>
      </w:pPr>
    </w:p>
    <w:p>
      <w:pPr>
        <w:ind w:left="4"/>
        <w:spacing w:after="0"/>
        <w:tabs>
          <w:tab w:leader="none" w:pos="1444" w:val="left"/>
        </w:tabs>
        <w:rPr>
          <w:sz w:val="20"/>
          <w:szCs w:val="20"/>
          <w:color w:val="auto"/>
        </w:rPr>
      </w:pPr>
      <w:r>
        <w:rPr>
          <w:rFonts w:ascii="Courier New" w:cs="Courier New" w:eastAsia="Courier New" w:hAnsi="Courier New"/>
          <w:sz w:val="12"/>
          <w:szCs w:val="12"/>
          <w:color w:val="auto"/>
        </w:rPr>
        <w:t>SCHEDULE 16.29</w:t>
      </w:r>
      <w:r>
        <w:rPr>
          <w:sz w:val="20"/>
          <w:szCs w:val="20"/>
          <w:color w:val="auto"/>
        </w:rPr>
        <w:tab/>
      </w:r>
      <w:r>
        <w:rPr>
          <w:rFonts w:ascii="Courier New" w:cs="Courier New" w:eastAsia="Courier New" w:hAnsi="Courier New"/>
          <w:sz w:val="12"/>
          <w:szCs w:val="12"/>
          <w:color w:val="auto"/>
        </w:rPr>
        <w:t>Financial Undertakings</w:t>
      </w:r>
    </w:p>
    <w:p>
      <w:pPr>
        <w:spacing w:after="0" w:line="147" w:lineRule="exact"/>
        <w:rPr>
          <w:sz w:val="20"/>
          <w:szCs w:val="20"/>
          <w:color w:val="auto"/>
        </w:rPr>
      </w:pPr>
    </w:p>
    <w:p>
      <w:pPr>
        <w:ind w:left="4"/>
        <w:spacing w:after="0"/>
        <w:tabs>
          <w:tab w:leader="none" w:pos="1444" w:val="left"/>
        </w:tabs>
        <w:rPr>
          <w:sz w:val="20"/>
          <w:szCs w:val="20"/>
          <w:color w:val="auto"/>
        </w:rPr>
      </w:pPr>
      <w:r>
        <w:rPr>
          <w:rFonts w:ascii="Courier New" w:cs="Courier New" w:eastAsia="Courier New" w:hAnsi="Courier New"/>
          <w:sz w:val="12"/>
          <w:szCs w:val="12"/>
          <w:color w:val="auto"/>
        </w:rPr>
        <w:t>SCHEDULE 16.35.1</w:t>
      </w:r>
      <w:r>
        <w:rPr>
          <w:sz w:val="20"/>
          <w:szCs w:val="20"/>
          <w:color w:val="auto"/>
        </w:rPr>
        <w:tab/>
      </w:r>
      <w:r>
        <w:rPr>
          <w:rFonts w:ascii="Courier New" w:cs="Courier New" w:eastAsia="Courier New" w:hAnsi="Courier New"/>
          <w:sz w:val="12"/>
          <w:szCs w:val="12"/>
          <w:color w:val="auto"/>
        </w:rPr>
        <w:t>Form of Outside Investment Undertaking</w:t>
      </w:r>
    </w:p>
    <w:p>
      <w:pPr>
        <w:spacing w:after="0" w:line="289" w:lineRule="exact"/>
        <w:rPr>
          <w:sz w:val="20"/>
          <w:szCs w:val="20"/>
          <w:color w:val="auto"/>
        </w:rPr>
      </w:pPr>
    </w:p>
    <w:p>
      <w:pPr>
        <w:ind w:left="2804"/>
        <w:spacing w:after="0"/>
        <w:rPr>
          <w:sz w:val="20"/>
          <w:szCs w:val="20"/>
          <w:color w:val="auto"/>
        </w:rPr>
      </w:pPr>
      <w:r>
        <w:rPr>
          <w:rFonts w:ascii="Courier New" w:cs="Courier New" w:eastAsia="Courier New" w:hAnsi="Courier New"/>
          <w:sz w:val="12"/>
          <w:szCs w:val="12"/>
          <w:color w:val="auto"/>
        </w:rPr>
        <w:t>(vii)</w:t>
      </w:r>
    </w:p>
    <w:p>
      <w:pPr>
        <w:spacing w:after="0" w:line="200" w:lineRule="exact"/>
        <w:rPr>
          <w:sz w:val="20"/>
          <w:szCs w:val="20"/>
          <w:color w:val="auto"/>
        </w:rPr>
      </w:pPr>
    </w:p>
    <w:p>
      <w:pPr>
        <w:spacing w:after="0" w:line="353" w:lineRule="exact"/>
        <w:rPr>
          <w:sz w:val="20"/>
          <w:szCs w:val="20"/>
          <w:color w:val="auto"/>
        </w:rPr>
      </w:pPr>
    </w:p>
    <w:p>
      <w:pPr>
        <w:ind w:left="4" w:right="4939"/>
        <w:spacing w:after="0" w:line="253" w:lineRule="auto"/>
        <w:rPr>
          <w:sz w:val="20"/>
          <w:szCs w:val="20"/>
          <w:color w:val="auto"/>
        </w:rPr>
      </w:pPr>
      <w:r>
        <w:rPr>
          <w:rFonts w:ascii="Courier New" w:cs="Courier New" w:eastAsia="Courier New" w:hAnsi="Courier New"/>
          <w:sz w:val="12"/>
          <w:szCs w:val="12"/>
          <w:color w:val="auto"/>
        </w:rPr>
        <w:t>THIS AGREEMENT was made on the 18th day of January, 2001 and amended and restated by the parties through August 24, 2006,</w:t>
      </w:r>
    </w:p>
    <w:p>
      <w:pPr>
        <w:spacing w:after="0" w:line="138"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BETWEEN:</w:t>
      </w:r>
    </w:p>
    <w:p>
      <w:pPr>
        <w:spacing w:after="0" w:line="147" w:lineRule="exact"/>
        <w:rPr>
          <w:sz w:val="20"/>
          <w:szCs w:val="20"/>
          <w:color w:val="auto"/>
        </w:rPr>
      </w:pPr>
    </w:p>
    <w:p>
      <w:pPr>
        <w:ind w:left="364" w:right="4499" w:hanging="364"/>
        <w:spacing w:after="0" w:line="251" w:lineRule="auto"/>
        <w:tabs>
          <w:tab w:leader="none" w:pos="364" w:val="left"/>
        </w:tabs>
        <w:numPr>
          <w:ilvl w:val="0"/>
          <w:numId w:val="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TOWER SEMICONDUCTOR LTD., a company incorporated under the laws of Israel (company no. 52-004199-7), whose registered office is at P.O. Box 619, Industrial Area, Migdal Haemek 23105, Israel</w:t>
      </w:r>
    </w:p>
    <w:p>
      <w:pPr>
        <w:spacing w:after="0" w:line="140"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("THE BORROWER");</w:t>
      </w:r>
    </w:p>
    <w:p>
      <w:pPr>
        <w:spacing w:after="0" w:line="147"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AND</w:t>
      </w:r>
    </w:p>
    <w:p>
      <w:pPr>
        <w:spacing w:after="0" w:line="147" w:lineRule="exact"/>
        <w:rPr>
          <w:sz w:val="20"/>
          <w:szCs w:val="20"/>
          <w:color w:val="auto"/>
        </w:rPr>
      </w:pPr>
    </w:p>
    <w:p>
      <w:pPr>
        <w:ind w:left="364" w:hanging="364"/>
        <w:spacing w:after="0"/>
        <w:tabs>
          <w:tab w:leader="none" w:pos="364"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 HAPOALIM B.M. and BANK LEUMI LE-ISRAEL B.M.</w:t>
      </w:r>
    </w:p>
    <w:p>
      <w:pPr>
        <w:sectPr>
          <w:pgSz w:w="11900" w:h="16838" w:orient="portrait"/>
          <w:cols w:equalWidth="0" w:num="1">
            <w:col w:w="10244"/>
          </w:cols>
          <w:pgMar w:left="216" w:top="283" w:right="1440" w:bottom="0" w:gutter="0" w:footer="0" w:header="0"/>
          <w:type w:val="continuous"/>
        </w:sectPr>
      </w:pPr>
    </w:p>
    <w:bookmarkStart w:id="74" w:name="page75"/>
    <w:bookmarkEnd w:id="74"/>
    <w:p>
      <w:pPr>
        <w:spacing w:after="0" w:line="26"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IT IS HEREBY AGREED AS FOLLOWS:</w:t>
      </w:r>
    </w:p>
    <w:p>
      <w:pPr>
        <w:spacing w:after="0" w:line="147" w:lineRule="exact"/>
        <w:rPr>
          <w:sz w:val="20"/>
          <w:szCs w:val="20"/>
          <w:color w:val="auto"/>
        </w:rPr>
      </w:pPr>
    </w:p>
    <w:p>
      <w:pPr>
        <w:ind w:left="524" w:hanging="524"/>
        <w:spacing w:after="0"/>
        <w:tabs>
          <w:tab w:leader="none" w:pos="524" w:val="left"/>
        </w:tabs>
        <w:numPr>
          <w:ilvl w:val="0"/>
          <w:numId w:val="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INTERPRETATION</w:t>
      </w:r>
    </w:p>
    <w:p>
      <w:pPr>
        <w:spacing w:after="0" w:line="147" w:lineRule="exact"/>
        <w:rPr>
          <w:sz w:val="20"/>
          <w:szCs w:val="20"/>
          <w:color w:val="auto"/>
        </w:rPr>
      </w:pPr>
    </w:p>
    <w:p>
      <w:pPr>
        <w:ind w:left="4"/>
        <w:spacing w:after="0"/>
        <w:tabs>
          <w:tab w:leader="none" w:pos="1004" w:val="left"/>
        </w:tabs>
        <w:rPr>
          <w:sz w:val="20"/>
          <w:szCs w:val="20"/>
          <w:color w:val="auto"/>
        </w:rPr>
      </w:pPr>
      <w:r>
        <w:rPr>
          <w:rFonts w:ascii="Courier New" w:cs="Courier New" w:eastAsia="Courier New" w:hAnsi="Courier New"/>
          <w:sz w:val="12"/>
          <w:szCs w:val="12"/>
          <w:color w:val="auto"/>
        </w:rPr>
        <w:t>1.1.</w:t>
      </w:r>
      <w:r>
        <w:rPr>
          <w:sz w:val="20"/>
          <w:szCs w:val="20"/>
          <w:color w:val="auto"/>
        </w:rPr>
        <w:tab/>
      </w:r>
      <w:r>
        <w:rPr>
          <w:rFonts w:ascii="Courier New" w:cs="Courier New" w:eastAsia="Courier New" w:hAnsi="Courier New"/>
          <w:sz w:val="12"/>
          <w:szCs w:val="12"/>
          <w:color w:val="auto"/>
        </w:rPr>
        <w:t>DEFINITIONS</w:t>
      </w:r>
    </w:p>
    <w:p>
      <w:pPr>
        <w:spacing w:after="0" w:line="147" w:lineRule="exact"/>
        <w:rPr>
          <w:sz w:val="20"/>
          <w:szCs w:val="20"/>
          <w:color w:val="auto"/>
        </w:rPr>
      </w:pPr>
    </w:p>
    <w:p>
      <w:pPr>
        <w:ind w:left="1024" w:right="2579"/>
        <w:spacing w:after="0" w:line="253" w:lineRule="auto"/>
        <w:rPr>
          <w:sz w:val="20"/>
          <w:szCs w:val="20"/>
          <w:color w:val="auto"/>
        </w:rPr>
      </w:pPr>
      <w:r>
        <w:rPr>
          <w:rFonts w:ascii="Courier New" w:cs="Courier New" w:eastAsia="Courier New" w:hAnsi="Courier New"/>
          <w:sz w:val="12"/>
          <w:szCs w:val="12"/>
          <w:color w:val="auto"/>
        </w:rPr>
        <w:t>In this Restated Facility Agreement ("THIS AGREEMENT"), the following terms have the meanings given to them in this clause 1.1:</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1020" w:type="dxa"/>
            <w:vAlign w:val="bottom"/>
          </w:tcPr>
          <w:p>
            <w:pPr>
              <w:spacing w:after="0"/>
              <w:rPr>
                <w:sz w:val="20"/>
                <w:szCs w:val="20"/>
                <w:color w:val="auto"/>
              </w:rPr>
            </w:pPr>
            <w:r>
              <w:rPr>
                <w:rFonts w:ascii="Courier New" w:cs="Courier New" w:eastAsia="Courier New" w:hAnsi="Courier New"/>
                <w:sz w:val="12"/>
                <w:szCs w:val="12"/>
                <w:color w:val="auto"/>
              </w:rPr>
              <w:t>1.1.1.</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"ACCOUNTING PERIOD"</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means any</w:t>
            </w:r>
          </w:p>
        </w:tc>
        <w:tc>
          <w:tcPr>
            <w:tcW w:w="60" w:type="dxa"/>
            <w:vAlign w:val="bottom"/>
          </w:tcPr>
          <w:p>
            <w:pPr>
              <w:spacing w:after="0"/>
              <w:rPr>
                <w:sz w:val="12"/>
                <w:szCs w:val="12"/>
                <w:color w:val="auto"/>
              </w:rPr>
            </w:pPr>
          </w:p>
        </w:tc>
        <w:tc>
          <w:tcPr>
            <w:tcW w:w="1120" w:type="dxa"/>
            <w:vAlign w:val="bottom"/>
            <w:gridSpan w:val="5"/>
          </w:tcPr>
          <w:p>
            <w:pPr>
              <w:spacing w:after="0"/>
              <w:rPr>
                <w:sz w:val="20"/>
                <w:szCs w:val="20"/>
                <w:color w:val="auto"/>
              </w:rPr>
            </w:pPr>
            <w:r>
              <w:rPr>
                <w:rFonts w:ascii="Courier New" w:cs="Courier New" w:eastAsia="Courier New" w:hAnsi="Courier New"/>
                <w:sz w:val="12"/>
                <w:szCs w:val="12"/>
                <w:color w:val="auto"/>
              </w:rPr>
              <w:t>period of one</w:t>
            </w:r>
          </w:p>
        </w:tc>
        <w:tc>
          <w:tcPr>
            <w:tcW w:w="1400" w:type="dxa"/>
            <w:vAlign w:val="bottom"/>
            <w:gridSpan w:val="6"/>
          </w:tcPr>
          <w:p>
            <w:pPr>
              <w:spacing w:after="0"/>
              <w:rPr>
                <w:sz w:val="20"/>
                <w:szCs w:val="20"/>
                <w:color w:val="auto"/>
              </w:rPr>
            </w:pPr>
            <w:r>
              <w:rPr>
                <w:rFonts w:ascii="Courier New" w:cs="Courier New" w:eastAsia="Courier New" w:hAnsi="Courier New"/>
                <w:sz w:val="12"/>
                <w:szCs w:val="12"/>
                <w:color w:val="auto"/>
              </w:rPr>
              <w:t>Quarter or a Fiscal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60" w:type="dxa"/>
            <w:vAlign w:val="bottom"/>
            <w:gridSpan w:val="13"/>
          </w:tcPr>
          <w:p>
            <w:pPr>
              <w:ind w:left="80"/>
              <w:spacing w:after="0"/>
              <w:rPr>
                <w:sz w:val="20"/>
                <w:szCs w:val="20"/>
                <w:color w:val="auto"/>
              </w:rPr>
            </w:pPr>
            <w:r>
              <w:rPr>
                <w:rFonts w:ascii="Courier New" w:cs="Courier New" w:eastAsia="Courier New" w:hAnsi="Courier New"/>
                <w:sz w:val="12"/>
                <w:szCs w:val="12"/>
                <w:color w:val="auto"/>
              </w:rPr>
              <w:t>Year for which Accounts are prepared;</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0"/>
                <w:szCs w:val="20"/>
                <w:color w:val="auto"/>
              </w:rPr>
            </w:pPr>
            <w:r>
              <w:rPr>
                <w:rFonts w:ascii="Courier New" w:cs="Courier New" w:eastAsia="Courier New" w:hAnsi="Courier New"/>
                <w:sz w:val="12"/>
                <w:szCs w:val="12"/>
                <w:color w:val="auto"/>
              </w:rPr>
              <w:t>1.1.2.</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"ACCOUNTS"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100" w:type="dxa"/>
            <w:vAlign w:val="bottom"/>
            <w:gridSpan w:val="14"/>
          </w:tcPr>
          <w:p>
            <w:pPr>
              <w:ind w:left="80"/>
              <w:spacing w:after="0"/>
              <w:rPr>
                <w:sz w:val="20"/>
                <w:szCs w:val="20"/>
                <w:color w:val="auto"/>
              </w:rPr>
            </w:pPr>
            <w:r>
              <w:rPr>
                <w:rFonts w:ascii="Courier New" w:cs="Courier New" w:eastAsia="Courier New" w:hAnsi="Courier New"/>
                <w:sz w:val="12"/>
                <w:szCs w:val="12"/>
                <w:color w:val="auto"/>
              </w:rPr>
              <w:t>means, at any time and from time to time:</w:t>
            </w:r>
          </w:p>
        </w:tc>
        <w:tc>
          <w:tcPr>
            <w:tcW w:w="300" w:type="dxa"/>
            <w:vAlign w:val="bottom"/>
          </w:tcPr>
          <w:p>
            <w:pPr>
              <w:spacing w:after="0"/>
              <w:rPr>
                <w:sz w:val="24"/>
                <w:szCs w:val="24"/>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(a)</w:t>
            </w:r>
          </w:p>
        </w:tc>
        <w:tc>
          <w:tcPr>
            <w:tcW w:w="220" w:type="dxa"/>
            <w:vAlign w:val="bottom"/>
          </w:tcPr>
          <w:p>
            <w:pPr>
              <w:spacing w:after="0"/>
              <w:rPr>
                <w:sz w:val="24"/>
                <w:szCs w:val="24"/>
                <w:color w:val="auto"/>
              </w:rPr>
            </w:pPr>
          </w:p>
        </w:tc>
        <w:tc>
          <w:tcPr>
            <w:tcW w:w="2800" w:type="dxa"/>
            <w:vAlign w:val="bottom"/>
            <w:gridSpan w:val="13"/>
          </w:tcPr>
          <w:p>
            <w:pPr>
              <w:spacing w:after="0"/>
              <w:rPr>
                <w:sz w:val="20"/>
                <w:szCs w:val="20"/>
                <w:color w:val="auto"/>
              </w:rPr>
            </w:pPr>
            <w:r>
              <w:rPr>
                <w:rFonts w:ascii="Courier New" w:cs="Courier New" w:eastAsia="Courier New" w:hAnsi="Courier New"/>
                <w:sz w:val="12"/>
                <w:szCs w:val="12"/>
                <w:color w:val="auto"/>
              </w:rPr>
              <w:t>the  audited  non-consolidated  annual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w w:val="98"/>
              </w:rPr>
              <w:t>financial</w:t>
            </w:r>
          </w:p>
        </w:tc>
        <w:tc>
          <w:tcPr>
            <w:tcW w:w="102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statements</w:t>
            </w:r>
          </w:p>
        </w:tc>
        <w:tc>
          <w:tcPr>
            <w:tcW w:w="11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of the Borrower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5"/>
          </w:tcPr>
          <w:p>
            <w:pPr>
              <w:spacing w:after="0"/>
              <w:rPr>
                <w:sz w:val="20"/>
                <w:szCs w:val="20"/>
                <w:color w:val="auto"/>
              </w:rPr>
            </w:pPr>
            <w:r>
              <w:rPr>
                <w:rFonts w:ascii="Courier New" w:cs="Courier New" w:eastAsia="Courier New" w:hAnsi="Courier New"/>
                <w:sz w:val="12"/>
                <w:szCs w:val="12"/>
                <w:color w:val="auto"/>
              </w:rPr>
              <w:t>(including,</w:t>
            </w:r>
          </w:p>
        </w:tc>
        <w:tc>
          <w:tcPr>
            <w:tcW w:w="1840" w:type="dxa"/>
            <w:vAlign w:val="bottom"/>
            <w:gridSpan w:val="8"/>
          </w:tcPr>
          <w:p>
            <w:pPr>
              <w:spacing w:after="0"/>
              <w:rPr>
                <w:sz w:val="20"/>
                <w:szCs w:val="20"/>
                <w:color w:val="auto"/>
              </w:rPr>
            </w:pPr>
            <w:r>
              <w:rPr>
                <w:rFonts w:ascii="Courier New" w:cs="Courier New" w:eastAsia="Courier New" w:hAnsi="Courier New"/>
                <w:sz w:val="12"/>
                <w:szCs w:val="12"/>
                <w:color w:val="auto"/>
              </w:rPr>
              <w:t>for the removal of doubt: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gridSpan w:val="11"/>
          </w:tcPr>
          <w:p>
            <w:pPr>
              <w:spacing w:after="0"/>
              <w:rPr>
                <w:sz w:val="20"/>
                <w:szCs w:val="20"/>
                <w:color w:val="auto"/>
              </w:rPr>
            </w:pPr>
            <w:r>
              <w:rPr>
                <w:rFonts w:ascii="Courier New" w:cs="Courier New" w:eastAsia="Courier New" w:hAnsi="Courier New"/>
                <w:sz w:val="12"/>
                <w:szCs w:val="12"/>
                <w:color w:val="auto"/>
              </w:rPr>
              <w:t>(i) a profit and loss statement</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which</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rPr>
              <w:t>reflects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c>
          <w:tcPr>
            <w:tcW w:w="22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8"/>
              </w:rPr>
              <w:t>operating</w:t>
            </w: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profit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3"/>
          </w:tcPr>
          <w:p>
            <w:pPr>
              <w:spacing w:after="0"/>
              <w:rPr>
                <w:sz w:val="20"/>
                <w:szCs w:val="20"/>
                <w:color w:val="auto"/>
              </w:rPr>
            </w:pPr>
            <w:r>
              <w:rPr>
                <w:rFonts w:ascii="Courier New" w:cs="Courier New" w:eastAsia="Courier New" w:hAnsi="Courier New"/>
                <w:sz w:val="12"/>
                <w:szCs w:val="12"/>
                <w:color w:val="auto"/>
                <w:w w:val="94"/>
              </w:rPr>
              <w:t>loss;</w:t>
            </w:r>
          </w:p>
        </w:tc>
        <w:tc>
          <w:tcPr>
            <w:tcW w:w="300" w:type="dxa"/>
            <w:vAlign w:val="bottom"/>
          </w:tcPr>
          <w:p>
            <w:pPr>
              <w:spacing w:after="0"/>
              <w:rPr>
                <w:sz w:val="12"/>
                <w:szCs w:val="12"/>
                <w:color w:val="auto"/>
              </w:rPr>
            </w:pPr>
          </w:p>
        </w:tc>
        <w:tc>
          <w:tcPr>
            <w:tcW w:w="74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w w:val="98"/>
              </w:rPr>
              <w:t>(ii) cash</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flow</w:t>
            </w:r>
          </w:p>
        </w:tc>
        <w:tc>
          <w:tcPr>
            <w:tcW w:w="96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statement;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gridSpan w:val="12"/>
          </w:tcPr>
          <w:p>
            <w:pPr>
              <w:spacing w:after="0"/>
              <w:rPr>
                <w:sz w:val="20"/>
                <w:szCs w:val="20"/>
                <w:color w:val="auto"/>
              </w:rPr>
            </w:pPr>
            <w:r>
              <w:rPr>
                <w:rFonts w:ascii="Courier New" w:cs="Courier New" w:eastAsia="Courier New" w:hAnsi="Courier New"/>
                <w:sz w:val="12"/>
                <w:szCs w:val="12"/>
                <w:color w:val="auto"/>
              </w:rPr>
              <w:t>(iii) sources and uses statement;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rPr>
              <w:t>(iv) a</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balance</w:t>
            </w:r>
          </w:p>
        </w:tc>
        <w:tc>
          <w:tcPr>
            <w:tcW w:w="22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sheet</w:t>
            </w:r>
          </w:p>
        </w:tc>
        <w:tc>
          <w:tcPr>
            <w:tcW w:w="96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reflecting</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rPr>
              <w:t>current</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assets,</w:t>
            </w: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current</w:t>
            </w:r>
          </w:p>
        </w:tc>
        <w:tc>
          <w:tcPr>
            <w:tcW w:w="96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liabilities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7"/>
          </w:tcPr>
          <w:p>
            <w:pPr>
              <w:spacing w:after="0"/>
              <w:rPr>
                <w:sz w:val="20"/>
                <w:szCs w:val="20"/>
                <w:color w:val="auto"/>
              </w:rPr>
            </w:pPr>
            <w:r>
              <w:rPr>
                <w:rFonts w:ascii="Courier New" w:cs="Courier New" w:eastAsia="Courier New" w:hAnsi="Courier New"/>
                <w:sz w:val="12"/>
                <w:szCs w:val="12"/>
                <w:color w:val="auto"/>
              </w:rPr>
              <w:t>and fixed assets);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25"/>
        </w:trPr>
        <w:tc>
          <w:tcPr>
            <w:tcW w:w="1020" w:type="dxa"/>
            <w:vAlign w:val="bottom"/>
          </w:tcPr>
          <w:p>
            <w:pPr>
              <w:spacing w:after="0"/>
              <w:rPr>
                <w:sz w:val="24"/>
                <w:szCs w:val="24"/>
                <w:color w:val="auto"/>
              </w:rPr>
            </w:pPr>
          </w:p>
        </w:tc>
        <w:tc>
          <w:tcPr>
            <w:tcW w:w="2660" w:type="dxa"/>
            <w:vAlign w:val="bottom"/>
          </w:tcPr>
          <w:p>
            <w:pPr>
              <w:ind w:left="1700"/>
              <w:spacing w:after="0"/>
              <w:rPr>
                <w:sz w:val="20"/>
                <w:szCs w:val="20"/>
                <w:color w:val="auto"/>
              </w:rPr>
            </w:pPr>
            <w:r>
              <w:rPr>
                <w:rFonts w:ascii="Courier New" w:cs="Courier New" w:eastAsia="Courier New" w:hAnsi="Courier New"/>
                <w:sz w:val="12"/>
                <w:szCs w:val="12"/>
                <w:color w:val="auto"/>
              </w:rPr>
              <w:t>- 1 -</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(b)</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reviewed</w:t>
            </w:r>
          </w:p>
        </w:tc>
        <w:tc>
          <w:tcPr>
            <w:tcW w:w="220" w:type="dxa"/>
            <w:vAlign w:val="bottom"/>
          </w:tcPr>
          <w:p>
            <w:pPr>
              <w:spacing w:after="0"/>
              <w:rPr>
                <w:sz w:val="24"/>
                <w:szCs w:val="24"/>
                <w:color w:val="auto"/>
              </w:rPr>
            </w:pPr>
          </w:p>
        </w:tc>
        <w:tc>
          <w:tcPr>
            <w:tcW w:w="140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non-consolidated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7"/>
          </w:tcPr>
          <w:p>
            <w:pPr>
              <w:spacing w:after="0"/>
              <w:rPr>
                <w:sz w:val="20"/>
                <w:szCs w:val="20"/>
                <w:color w:val="auto"/>
              </w:rPr>
            </w:pPr>
            <w:r>
              <w:rPr>
                <w:rFonts w:ascii="Courier New" w:cs="Courier New" w:eastAsia="Courier New" w:hAnsi="Courier New"/>
                <w:sz w:val="12"/>
                <w:szCs w:val="12"/>
                <w:color w:val="auto"/>
              </w:rPr>
              <w:t>quarterly financial</w:t>
            </w:r>
          </w:p>
        </w:tc>
        <w:tc>
          <w:tcPr>
            <w:tcW w:w="140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statements of 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rPr>
              <w:t>Borrower</w:t>
            </w:r>
          </w:p>
        </w:tc>
        <w:tc>
          <w:tcPr>
            <w:tcW w:w="1020" w:type="dxa"/>
            <w:vAlign w:val="bottom"/>
            <w:gridSpan w:val="4"/>
          </w:tcPr>
          <w:p>
            <w:pPr>
              <w:jc w:val="right"/>
              <w:ind w:right="79"/>
              <w:spacing w:after="0"/>
              <w:rPr>
                <w:sz w:val="20"/>
                <w:szCs w:val="20"/>
                <w:color w:val="auto"/>
              </w:rPr>
            </w:pPr>
            <w:r>
              <w:rPr>
                <w:rFonts w:ascii="Courier New" w:cs="Courier New" w:eastAsia="Courier New" w:hAnsi="Courier New"/>
                <w:sz w:val="12"/>
                <w:szCs w:val="12"/>
                <w:color w:val="auto"/>
              </w:rPr>
              <w:t>(including,</w:t>
            </w:r>
          </w:p>
        </w:tc>
        <w:tc>
          <w:tcPr>
            <w:tcW w:w="11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for the removal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of</w:t>
            </w:r>
          </w:p>
        </w:tc>
        <w:tc>
          <w:tcPr>
            <w:tcW w:w="6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Courier New" w:cs="Courier New" w:eastAsia="Courier New" w:hAnsi="Courier New"/>
                <w:sz w:val="12"/>
                <w:szCs w:val="12"/>
                <w:color w:val="auto"/>
              </w:rPr>
              <w:t>doubt:</w:t>
            </w:r>
          </w:p>
        </w:tc>
        <w:tc>
          <w:tcPr>
            <w:tcW w:w="4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w w:val="94"/>
              </w:rPr>
              <w:t>(i) a</w:t>
            </w:r>
          </w:p>
        </w:tc>
        <w:tc>
          <w:tcPr>
            <w:tcW w:w="72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rPr>
              <w:t>profit</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c>
          <w:tcPr>
            <w:tcW w:w="1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loss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w w:val="98"/>
              </w:rPr>
              <w:t>statement</w:t>
            </w:r>
          </w:p>
        </w:tc>
        <w:tc>
          <w:tcPr>
            <w:tcW w:w="30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which</w:t>
            </w:r>
          </w:p>
        </w:tc>
        <w:tc>
          <w:tcPr>
            <w:tcW w:w="280" w:type="dxa"/>
            <w:vAlign w:val="bottom"/>
          </w:tcPr>
          <w:p>
            <w:pPr>
              <w:spacing w:after="0"/>
              <w:rPr>
                <w:sz w:val="12"/>
                <w:szCs w:val="12"/>
                <w:color w:val="auto"/>
              </w:rPr>
            </w:pPr>
          </w:p>
        </w:tc>
        <w:tc>
          <w:tcPr>
            <w:tcW w:w="68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reflects</w:t>
            </w:r>
          </w:p>
        </w:tc>
        <w:tc>
          <w:tcPr>
            <w:tcW w:w="1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w w:val="98"/>
              </w:rPr>
              <w:t>operating</w:t>
            </w:r>
          </w:p>
        </w:tc>
        <w:tc>
          <w:tcPr>
            <w:tcW w:w="74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profit</w:t>
            </w:r>
          </w:p>
        </w:tc>
        <w:tc>
          <w:tcPr>
            <w:tcW w:w="720" w:type="dxa"/>
            <w:vAlign w:val="bottom"/>
            <w:gridSpan w:val="3"/>
          </w:tcPr>
          <w:p>
            <w:pPr>
              <w:spacing w:after="0"/>
              <w:rPr>
                <w:sz w:val="20"/>
                <w:szCs w:val="20"/>
                <w:color w:val="auto"/>
              </w:rPr>
            </w:pPr>
            <w:r>
              <w:rPr>
                <w:rFonts w:ascii="Courier New" w:cs="Courier New" w:eastAsia="Courier New" w:hAnsi="Courier New"/>
                <w:sz w:val="12"/>
                <w:szCs w:val="12"/>
                <w:color w:val="auto"/>
              </w:rPr>
              <w:t>or loss;</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(ii) cash</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w w:val="90"/>
              </w:rPr>
              <w:t>flow</w:t>
            </w:r>
          </w:p>
        </w:tc>
        <w:tc>
          <w:tcPr>
            <w:tcW w:w="80" w:type="dxa"/>
            <w:vAlign w:val="bottom"/>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statement;</w:t>
            </w:r>
          </w:p>
        </w:tc>
        <w:tc>
          <w:tcPr>
            <w:tcW w:w="220" w:type="dxa"/>
            <w:vAlign w:val="bottom"/>
          </w:tcPr>
          <w:p>
            <w:pPr>
              <w:spacing w:after="0"/>
              <w:rPr>
                <w:sz w:val="12"/>
                <w:szCs w:val="12"/>
                <w:color w:val="auto"/>
              </w:rPr>
            </w:pPr>
          </w:p>
        </w:tc>
        <w:tc>
          <w:tcPr>
            <w:tcW w:w="960" w:type="dxa"/>
            <w:vAlign w:val="bottom"/>
            <w:gridSpan w:val="4"/>
          </w:tcPr>
          <w:p>
            <w:pPr>
              <w:spacing w:after="0"/>
              <w:rPr>
                <w:sz w:val="20"/>
                <w:szCs w:val="20"/>
                <w:color w:val="auto"/>
              </w:rPr>
            </w:pPr>
            <w:r>
              <w:rPr>
                <w:rFonts w:ascii="Courier New" w:cs="Courier New" w:eastAsia="Courier New" w:hAnsi="Courier New"/>
                <w:sz w:val="12"/>
                <w:szCs w:val="12"/>
                <w:color w:val="auto"/>
              </w:rPr>
              <w:t>(iii) sources</w:t>
            </w:r>
          </w:p>
        </w:tc>
        <w:tc>
          <w:tcPr>
            <w:tcW w:w="1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gridSpan w:val="13"/>
          </w:tcPr>
          <w:p>
            <w:pPr>
              <w:spacing w:after="0"/>
              <w:rPr>
                <w:sz w:val="20"/>
                <w:szCs w:val="20"/>
                <w:color w:val="auto"/>
              </w:rPr>
            </w:pPr>
            <w:r>
              <w:rPr>
                <w:rFonts w:ascii="Courier New" w:cs="Courier New" w:eastAsia="Courier New" w:hAnsi="Courier New"/>
                <w:sz w:val="12"/>
                <w:szCs w:val="12"/>
                <w:color w:val="auto"/>
              </w:rPr>
              <w:t>uses  statement;  and  (iv) a  balance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3"/>
          </w:tcPr>
          <w:p>
            <w:pPr>
              <w:spacing w:after="0"/>
              <w:rPr>
                <w:sz w:val="20"/>
                <w:szCs w:val="20"/>
                <w:color w:val="auto"/>
              </w:rPr>
            </w:pPr>
            <w:r>
              <w:rPr>
                <w:rFonts w:ascii="Courier New" w:cs="Courier New" w:eastAsia="Courier New" w:hAnsi="Courier New"/>
                <w:sz w:val="12"/>
                <w:szCs w:val="12"/>
                <w:color w:val="auto"/>
                <w:w w:val="94"/>
              </w:rPr>
              <w:t>sheet</w:t>
            </w:r>
          </w:p>
        </w:tc>
        <w:tc>
          <w:tcPr>
            <w:tcW w:w="104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reflecting</w:t>
            </w:r>
          </w:p>
        </w:tc>
        <w:tc>
          <w:tcPr>
            <w:tcW w:w="72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current</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assets,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gridSpan w:val="13"/>
          </w:tcPr>
          <w:p>
            <w:pPr>
              <w:spacing w:after="0"/>
              <w:rPr>
                <w:sz w:val="20"/>
                <w:szCs w:val="20"/>
                <w:color w:val="auto"/>
              </w:rPr>
            </w:pPr>
            <w:r>
              <w:rPr>
                <w:rFonts w:ascii="Courier New" w:cs="Courier New" w:eastAsia="Courier New" w:hAnsi="Courier New"/>
                <w:sz w:val="12"/>
                <w:szCs w:val="12"/>
                <w:color w:val="auto"/>
              </w:rPr>
              <w:t>current liabilities and fixed assets);</w:t>
            </w: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(c)</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audited</w:t>
            </w:r>
          </w:p>
        </w:tc>
        <w:tc>
          <w:tcPr>
            <w:tcW w:w="220" w:type="dxa"/>
            <w:vAlign w:val="bottom"/>
          </w:tcPr>
          <w:p>
            <w:pPr>
              <w:spacing w:after="0"/>
              <w:rPr>
                <w:sz w:val="24"/>
                <w:szCs w:val="24"/>
                <w:color w:val="auto"/>
              </w:rPr>
            </w:pPr>
          </w:p>
        </w:tc>
        <w:tc>
          <w:tcPr>
            <w:tcW w:w="9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consolidated</w:t>
            </w:r>
          </w:p>
        </w:tc>
        <w:tc>
          <w:tcPr>
            <w:tcW w:w="24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annual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w w:val="98"/>
              </w:rPr>
              <w:t>financial</w:t>
            </w:r>
          </w:p>
        </w:tc>
        <w:tc>
          <w:tcPr>
            <w:tcW w:w="2140" w:type="dxa"/>
            <w:vAlign w:val="bottom"/>
            <w:gridSpan w:val="9"/>
          </w:tcPr>
          <w:p>
            <w:pPr>
              <w:ind w:left="140"/>
              <w:spacing w:after="0"/>
              <w:rPr>
                <w:sz w:val="20"/>
                <w:szCs w:val="20"/>
                <w:color w:val="auto"/>
              </w:rPr>
            </w:pPr>
            <w:r>
              <w:rPr>
                <w:rFonts w:ascii="Courier New" w:cs="Courier New" w:eastAsia="Courier New" w:hAnsi="Courier New"/>
                <w:sz w:val="12"/>
                <w:szCs w:val="12"/>
                <w:color w:val="auto"/>
              </w:rPr>
              <w:t>statements of the Borrower;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(d)</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2580" w:type="dxa"/>
            <w:vAlign w:val="bottom"/>
            <w:gridSpan w:val="12"/>
          </w:tcPr>
          <w:p>
            <w:pPr>
              <w:jc w:val="right"/>
              <w:spacing w:after="0"/>
              <w:rPr>
                <w:sz w:val="20"/>
                <w:szCs w:val="20"/>
                <w:color w:val="auto"/>
              </w:rPr>
            </w:pPr>
            <w:r>
              <w:rPr>
                <w:rFonts w:ascii="Courier New" w:cs="Courier New" w:eastAsia="Courier New" w:hAnsi="Courier New"/>
                <w:sz w:val="12"/>
                <w:szCs w:val="12"/>
                <w:color w:val="auto"/>
              </w:rPr>
              <w:t>reviewed  consolidated  quarterly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gridSpan w:val="13"/>
          </w:tcPr>
          <w:p>
            <w:pPr>
              <w:spacing w:after="0"/>
              <w:rPr>
                <w:sz w:val="20"/>
                <w:szCs w:val="20"/>
                <w:color w:val="auto"/>
              </w:rPr>
            </w:pPr>
            <w:r>
              <w:rPr>
                <w:rFonts w:ascii="Courier New" w:cs="Courier New" w:eastAsia="Courier New" w:hAnsi="Courier New"/>
                <w:sz w:val="12"/>
                <w:szCs w:val="12"/>
                <w:color w:val="auto"/>
              </w:rPr>
              <w:t>financial statements of the Borrower,</w:t>
            </w: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(e)</w:t>
            </w:r>
          </w:p>
        </w:tc>
        <w:tc>
          <w:tcPr>
            <w:tcW w:w="220" w:type="dxa"/>
            <w:vAlign w:val="bottom"/>
          </w:tcPr>
          <w:p>
            <w:pPr>
              <w:spacing w:after="0"/>
              <w:rPr>
                <w:sz w:val="24"/>
                <w:szCs w:val="24"/>
                <w:color w:val="auto"/>
              </w:rPr>
            </w:pPr>
          </w:p>
        </w:tc>
        <w:tc>
          <w:tcPr>
            <w:tcW w:w="1680" w:type="dxa"/>
            <w:vAlign w:val="bottom"/>
            <w:gridSpan w:val="8"/>
          </w:tcPr>
          <w:p>
            <w:pPr>
              <w:spacing w:after="0"/>
              <w:rPr>
                <w:sz w:val="20"/>
                <w:szCs w:val="20"/>
                <w:color w:val="auto"/>
              </w:rPr>
            </w:pPr>
            <w:r>
              <w:rPr>
                <w:rFonts w:ascii="Courier New" w:cs="Courier New" w:eastAsia="Courier New" w:hAnsi="Courier New"/>
                <w:sz w:val="12"/>
                <w:szCs w:val="12"/>
                <w:color w:val="auto"/>
              </w:rPr>
              <w:t>[INTENTIONALLY DELETED]</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all</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of</w:t>
            </w:r>
          </w:p>
        </w:tc>
        <w:tc>
          <w:tcPr>
            <w:tcW w:w="6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rPr>
              <w:t>the</w:t>
            </w:r>
          </w:p>
        </w:tc>
        <w:tc>
          <w:tcPr>
            <w:tcW w:w="74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Accounts</w:t>
            </w:r>
          </w:p>
        </w:tc>
        <w:tc>
          <w:tcPr>
            <w:tcW w:w="7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referred</w:t>
            </w: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to</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paragraphs (a)-(d)</w:t>
            </w: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rPr>
              <w:t>(inclusive)</w:t>
            </w:r>
          </w:p>
        </w:tc>
        <w:tc>
          <w:tcPr>
            <w:tcW w:w="5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above</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to be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in</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96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respective</w:t>
            </w:r>
          </w:p>
        </w:tc>
        <w:tc>
          <w:tcPr>
            <w:tcW w:w="72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formats</w:t>
            </w:r>
          </w:p>
        </w:tc>
        <w:tc>
          <w:tcPr>
            <w:tcW w:w="16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8"/>
              </w:rPr>
              <w:t>specified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SCHEDULE 1.1.2 hereto.</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For the</w:t>
            </w:r>
          </w:p>
        </w:tc>
        <w:tc>
          <w:tcPr>
            <w:tcW w:w="1400" w:type="dxa"/>
            <w:vAlign w:val="bottom"/>
            <w:gridSpan w:val="7"/>
          </w:tcPr>
          <w:p>
            <w:pPr>
              <w:ind w:left="140"/>
              <w:spacing w:after="0"/>
              <w:rPr>
                <w:sz w:val="20"/>
                <w:szCs w:val="20"/>
                <w:color w:val="auto"/>
              </w:rPr>
            </w:pPr>
            <w:r>
              <w:rPr>
                <w:rFonts w:ascii="Courier New" w:cs="Courier New" w:eastAsia="Courier New" w:hAnsi="Courier New"/>
                <w:sz w:val="12"/>
                <w:szCs w:val="12"/>
                <w:color w:val="auto"/>
              </w:rPr>
              <w:t>removal of doubt,</w:t>
            </w:r>
          </w:p>
        </w:tc>
        <w:tc>
          <w:tcPr>
            <w:tcW w:w="140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should any of 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statements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99"/>
              <w:spacing w:after="0"/>
              <w:rPr>
                <w:sz w:val="20"/>
                <w:szCs w:val="20"/>
                <w:color w:val="auto"/>
              </w:rPr>
            </w:pPr>
            <w:r>
              <w:rPr>
                <w:rFonts w:ascii="Courier New" w:cs="Courier New" w:eastAsia="Courier New" w:hAnsi="Courier New"/>
                <w:sz w:val="12"/>
                <w:szCs w:val="12"/>
                <w:color w:val="auto"/>
              </w:rPr>
              <w:t>referred</w:t>
            </w:r>
          </w:p>
        </w:tc>
        <w:tc>
          <w:tcPr>
            <w:tcW w:w="2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to</w:t>
            </w:r>
          </w:p>
        </w:tc>
        <w:tc>
          <w:tcPr>
            <w:tcW w:w="280" w:type="dxa"/>
            <w:vAlign w:val="bottom"/>
          </w:tcPr>
          <w:p>
            <w:pPr>
              <w:ind w:left="60"/>
              <w:spacing w:after="0"/>
              <w:rPr>
                <w:sz w:val="20"/>
                <w:szCs w:val="20"/>
                <w:color w:val="auto"/>
              </w:rPr>
            </w:pPr>
            <w:r>
              <w:rPr>
                <w:rFonts w:ascii="Courier New" w:cs="Courier New" w:eastAsia="Courier New" w:hAnsi="Courier New"/>
                <w:sz w:val="12"/>
                <w:szCs w:val="12"/>
                <w:color w:val="auto"/>
              </w:rPr>
              <w:t>in</w:t>
            </w:r>
          </w:p>
        </w:tc>
        <w:tc>
          <w:tcPr>
            <w:tcW w:w="11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paragraphs (a)</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and (b) 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this</w:t>
            </w:r>
          </w:p>
        </w:tc>
        <w:tc>
          <w:tcPr>
            <w:tcW w:w="102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9"/>
              </w:rPr>
              <w:t>clause 1.1.2</w:t>
            </w:r>
          </w:p>
        </w:tc>
        <w:tc>
          <w:tcPr>
            <w:tcW w:w="160" w:type="dxa"/>
            <w:vAlign w:val="bottom"/>
          </w:tcPr>
          <w:p>
            <w:pPr>
              <w:spacing w:after="0"/>
              <w:rPr>
                <w:sz w:val="12"/>
                <w:szCs w:val="12"/>
                <w:color w:val="auto"/>
              </w:rPr>
            </w:pPr>
          </w:p>
        </w:tc>
        <w:tc>
          <w:tcPr>
            <w:tcW w:w="52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w w:val="94"/>
              </w:rPr>
              <w:t>above</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not be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5"/>
          </w:tcPr>
          <w:p>
            <w:pPr>
              <w:ind w:left="80"/>
              <w:spacing w:after="0"/>
              <w:rPr>
                <w:sz w:val="20"/>
                <w:szCs w:val="20"/>
                <w:color w:val="auto"/>
              </w:rPr>
            </w:pPr>
            <w:r>
              <w:rPr>
                <w:rFonts w:ascii="Courier New" w:cs="Courier New" w:eastAsia="Courier New" w:hAnsi="Courier New"/>
                <w:sz w:val="12"/>
                <w:szCs w:val="12"/>
                <w:color w:val="auto"/>
              </w:rPr>
              <w:t>required  by  GAAP,  any  reference  in  this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Agreement</w:t>
            </w:r>
          </w:p>
        </w:tc>
        <w:tc>
          <w:tcPr>
            <w:tcW w:w="60" w:type="dxa"/>
            <w:vAlign w:val="bottom"/>
          </w:tcPr>
          <w:p>
            <w:pPr>
              <w:spacing w:after="0"/>
              <w:rPr>
                <w:sz w:val="12"/>
                <w:szCs w:val="12"/>
                <w:color w:val="auto"/>
              </w:rPr>
            </w:pPr>
          </w:p>
        </w:tc>
        <w:tc>
          <w:tcPr>
            <w:tcW w:w="1840" w:type="dxa"/>
            <w:vAlign w:val="bottom"/>
            <w:gridSpan w:val="8"/>
          </w:tcPr>
          <w:p>
            <w:pPr>
              <w:spacing w:after="0"/>
              <w:rPr>
                <w:sz w:val="20"/>
                <w:szCs w:val="20"/>
                <w:color w:val="auto"/>
              </w:rPr>
            </w:pPr>
            <w:r>
              <w:rPr>
                <w:rFonts w:ascii="Courier New" w:cs="Courier New" w:eastAsia="Courier New" w:hAnsi="Courier New"/>
                <w:sz w:val="12"/>
                <w:szCs w:val="12"/>
                <w:color w:val="auto"/>
              </w:rPr>
              <w:t>to the  delivery of such</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Accounts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shall</w:t>
            </w:r>
          </w:p>
        </w:tc>
        <w:tc>
          <w:tcPr>
            <w:tcW w:w="360" w:type="dxa"/>
            <w:vAlign w:val="bottom"/>
            <w:gridSpan w:val="3"/>
          </w:tcPr>
          <w:p>
            <w:pPr>
              <w:ind w:left="60"/>
              <w:spacing w:after="0"/>
              <w:rPr>
                <w:sz w:val="20"/>
                <w:szCs w:val="20"/>
                <w:color w:val="auto"/>
              </w:rPr>
            </w:pPr>
            <w:r>
              <w:rPr>
                <w:rFonts w:ascii="Courier New" w:cs="Courier New" w:eastAsia="Courier New" w:hAnsi="Courier New"/>
                <w:sz w:val="12"/>
                <w:szCs w:val="12"/>
                <w:color w:val="auto"/>
                <w:w w:val="97"/>
              </w:rPr>
              <w:t>also</w:t>
            </w:r>
          </w:p>
        </w:tc>
        <w:tc>
          <w:tcPr>
            <w:tcW w:w="30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include</w:t>
            </w:r>
          </w:p>
        </w:tc>
        <w:tc>
          <w:tcPr>
            <w:tcW w:w="22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Courier New" w:cs="Courier New" w:eastAsia="Courier New" w:hAnsi="Courier New"/>
                <w:sz w:val="12"/>
                <w:szCs w:val="12"/>
                <w:color w:val="auto"/>
              </w:rPr>
              <w:t>the</w:t>
            </w:r>
          </w:p>
        </w:tc>
        <w:tc>
          <w:tcPr>
            <w:tcW w:w="160" w:type="dxa"/>
            <w:vAlign w:val="bottom"/>
          </w:tcPr>
          <w:p>
            <w:pPr>
              <w:spacing w:after="0"/>
              <w:rPr>
                <w:sz w:val="12"/>
                <w:szCs w:val="12"/>
                <w:color w:val="auto"/>
              </w:rPr>
            </w:pPr>
          </w:p>
        </w:tc>
        <w:tc>
          <w:tcPr>
            <w:tcW w:w="96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supplemental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8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delivery of such statements;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0"/>
                <w:szCs w:val="20"/>
                <w:color w:val="auto"/>
              </w:rPr>
            </w:pPr>
            <w:r>
              <w:rPr>
                <w:rFonts w:ascii="Courier New" w:cs="Courier New" w:eastAsia="Courier New" w:hAnsi="Courier New"/>
                <w:sz w:val="12"/>
                <w:szCs w:val="12"/>
                <w:color w:val="auto"/>
              </w:rPr>
              <w:t>1.1.3.</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"ACQUISITION"</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28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92"/>
              </w:rPr>
              <w:t>the</w:t>
            </w:r>
          </w:p>
        </w:tc>
        <w:tc>
          <w:tcPr>
            <w:tcW w:w="80" w:type="dxa"/>
            <w:vAlign w:val="bottom"/>
          </w:tcPr>
          <w:p>
            <w:pPr>
              <w:spacing w:after="0"/>
              <w:rPr>
                <w:sz w:val="24"/>
                <w:szCs w:val="24"/>
                <w:color w:val="auto"/>
              </w:rPr>
            </w:pPr>
          </w:p>
        </w:tc>
        <w:tc>
          <w:tcPr>
            <w:tcW w:w="1320" w:type="dxa"/>
            <w:vAlign w:val="bottom"/>
            <w:gridSpan w:val="5"/>
          </w:tcPr>
          <w:p>
            <w:pPr>
              <w:jc w:val="right"/>
              <w:ind w:right="159"/>
              <w:spacing w:after="0"/>
              <w:rPr>
                <w:sz w:val="20"/>
                <w:szCs w:val="20"/>
                <w:color w:val="auto"/>
              </w:rPr>
            </w:pPr>
            <w:r>
              <w:rPr>
                <w:rFonts w:ascii="Courier New" w:cs="Courier New" w:eastAsia="Courier New" w:hAnsi="Courier New"/>
                <w:sz w:val="12"/>
                <w:szCs w:val="12"/>
                <w:color w:val="auto"/>
              </w:rPr>
              <w:t>acquisition,</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directly</w:t>
            </w:r>
          </w:p>
        </w:tc>
        <w:tc>
          <w:tcPr>
            <w:tcW w:w="1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indirectly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(whether</w:t>
            </w:r>
          </w:p>
        </w:tc>
        <w:tc>
          <w:tcPr>
            <w:tcW w:w="72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rPr>
              <w:t>by one</w:t>
            </w:r>
          </w:p>
        </w:tc>
        <w:tc>
          <w:tcPr>
            <w:tcW w:w="8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transaction</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by a series of related</w:t>
            </w:r>
          </w:p>
        </w:tc>
        <w:tc>
          <w:tcPr>
            <w:tcW w:w="1180" w:type="dxa"/>
            <w:vAlign w:val="bottom"/>
            <w:gridSpan w:val="5"/>
          </w:tcPr>
          <w:p>
            <w:pPr>
              <w:jc w:val="right"/>
              <w:ind w:right="99"/>
              <w:spacing w:after="0"/>
              <w:rPr>
                <w:sz w:val="20"/>
                <w:szCs w:val="20"/>
                <w:color w:val="auto"/>
              </w:rPr>
            </w:pPr>
            <w:r>
              <w:rPr>
                <w:rFonts w:ascii="Courier New" w:cs="Courier New" w:eastAsia="Courier New" w:hAnsi="Courier New"/>
                <w:sz w:val="12"/>
                <w:szCs w:val="12"/>
                <w:color w:val="auto"/>
              </w:rPr>
              <w:t>transactions)</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of any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interest</w:t>
            </w:r>
          </w:p>
        </w:tc>
        <w:tc>
          <w:tcPr>
            <w:tcW w:w="74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99"/>
              </w:rPr>
              <w:t>whatsoever</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in</w:t>
            </w:r>
          </w:p>
        </w:tc>
        <w:tc>
          <w:tcPr>
            <w:tcW w:w="280" w:type="dxa"/>
            <w:vAlign w:val="bottom"/>
          </w:tcPr>
          <w:p>
            <w:pPr>
              <w:spacing w:after="0"/>
              <w:rPr>
                <w:sz w:val="20"/>
                <w:szCs w:val="20"/>
                <w:color w:val="auto"/>
              </w:rPr>
            </w:pPr>
            <w:r>
              <w:rPr>
                <w:rFonts w:ascii="Courier New" w:cs="Courier New" w:eastAsia="Courier New" w:hAnsi="Courier New"/>
                <w:sz w:val="12"/>
                <w:szCs w:val="12"/>
                <w:color w:val="auto"/>
              </w:rPr>
              <w:t>the</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share</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capital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(or</w:t>
            </w:r>
          </w:p>
        </w:tc>
        <w:tc>
          <w:tcPr>
            <w:tcW w:w="220" w:type="dxa"/>
            <w:vAlign w:val="bottom"/>
          </w:tcPr>
          <w:p>
            <w:pPr>
              <w:spacing w:after="0"/>
              <w:rPr>
                <w:sz w:val="12"/>
                <w:szCs w:val="12"/>
                <w:color w:val="auto"/>
              </w:rPr>
            </w:pPr>
          </w:p>
        </w:tc>
        <w:tc>
          <w:tcPr>
            <w:tcW w:w="960" w:type="dxa"/>
            <w:vAlign w:val="bottom"/>
            <w:gridSpan w:val="5"/>
          </w:tcPr>
          <w:p>
            <w:pPr>
              <w:spacing w:after="0"/>
              <w:rPr>
                <w:sz w:val="20"/>
                <w:szCs w:val="20"/>
                <w:color w:val="auto"/>
              </w:rPr>
            </w:pPr>
            <w:r>
              <w:rPr>
                <w:rFonts w:ascii="Courier New" w:cs="Courier New" w:eastAsia="Courier New" w:hAnsi="Courier New"/>
                <w:sz w:val="12"/>
                <w:szCs w:val="12"/>
                <w:color w:val="auto"/>
              </w:rPr>
              <w:t>equivalent)</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c>
          <w:tcPr>
            <w:tcW w:w="22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Courier New" w:cs="Courier New" w:eastAsia="Courier New" w:hAnsi="Courier New"/>
                <w:sz w:val="12"/>
                <w:szCs w:val="12"/>
                <w:color w:val="auto"/>
              </w:rPr>
              <w:t>the</w:t>
            </w:r>
          </w:p>
        </w:tc>
        <w:tc>
          <w:tcPr>
            <w:tcW w:w="160" w:type="dxa"/>
            <w:vAlign w:val="bottom"/>
          </w:tcPr>
          <w:p>
            <w:pPr>
              <w:spacing w:after="0"/>
              <w:rPr>
                <w:sz w:val="12"/>
                <w:szCs w:val="12"/>
                <w:color w:val="auto"/>
              </w:rPr>
            </w:pPr>
          </w:p>
        </w:tc>
        <w:tc>
          <w:tcPr>
            <w:tcW w:w="66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w w:val="97"/>
              </w:rPr>
              <w:t>business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undertaking</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c>
          <w:tcPr>
            <w:tcW w:w="74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assets</w:t>
            </w:r>
          </w:p>
        </w:tc>
        <w:tc>
          <w:tcPr>
            <w:tcW w:w="110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constituting</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separate</w:t>
            </w:r>
          </w:p>
        </w:tc>
        <w:tc>
          <w:tcPr>
            <w:tcW w:w="6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Courier New" w:cs="Courier New" w:eastAsia="Courier New" w:hAnsi="Courier New"/>
                <w:sz w:val="12"/>
                <w:szCs w:val="12"/>
                <w:color w:val="auto"/>
              </w:rPr>
              <w:t>business</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c>
          <w:tcPr>
            <w:tcW w:w="9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undertaking</w:t>
            </w:r>
          </w:p>
        </w:tc>
        <w:tc>
          <w:tcPr>
            <w:tcW w:w="3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of</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company or other person;</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25"/>
        </w:trPr>
        <w:tc>
          <w:tcPr>
            <w:tcW w:w="1020" w:type="dxa"/>
            <w:vAlign w:val="bottom"/>
          </w:tcPr>
          <w:p>
            <w:pPr>
              <w:spacing w:after="0"/>
              <w:rPr>
                <w:sz w:val="24"/>
                <w:szCs w:val="24"/>
                <w:color w:val="auto"/>
              </w:rPr>
            </w:pPr>
          </w:p>
        </w:tc>
        <w:tc>
          <w:tcPr>
            <w:tcW w:w="2660" w:type="dxa"/>
            <w:vAlign w:val="bottom"/>
          </w:tcPr>
          <w:p>
            <w:pPr>
              <w:ind w:left="1700"/>
              <w:spacing w:after="0"/>
              <w:rPr>
                <w:sz w:val="20"/>
                <w:szCs w:val="20"/>
                <w:color w:val="auto"/>
              </w:rPr>
            </w:pPr>
            <w:r>
              <w:rPr>
                <w:rFonts w:ascii="Courier New" w:cs="Courier New" w:eastAsia="Courier New" w:hAnsi="Courier New"/>
                <w:sz w:val="12"/>
                <w:szCs w:val="12"/>
                <w:color w:val="auto"/>
              </w:rPr>
              <w:t>- 2 -</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020" w:type="dxa"/>
            <w:vAlign w:val="bottom"/>
          </w:tcPr>
          <w:p>
            <w:pPr>
              <w:spacing w:after="0"/>
              <w:rPr>
                <w:sz w:val="20"/>
                <w:szCs w:val="20"/>
                <w:color w:val="auto"/>
              </w:rPr>
            </w:pPr>
            <w:r>
              <w:rPr>
                <w:rFonts w:ascii="Courier New" w:cs="Courier New" w:eastAsia="Courier New" w:hAnsi="Courier New"/>
                <w:sz w:val="12"/>
                <w:szCs w:val="12"/>
                <w:color w:val="auto"/>
              </w:rPr>
              <w:t>1.1.3A.</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spacing w:after="0"/>
              <w:rPr>
                <w:sz w:val="20"/>
                <w:szCs w:val="20"/>
                <w:color w:val="auto"/>
              </w:rPr>
            </w:pPr>
            <w:r>
              <w:rPr>
                <w:rFonts w:ascii="Courier New" w:cs="Courier New" w:eastAsia="Courier New" w:hAnsi="Courier New"/>
                <w:sz w:val="12"/>
                <w:szCs w:val="12"/>
                <w:color w:val="auto"/>
              </w:rPr>
              <w:t>1.1.3B.</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spacing w:after="0"/>
              <w:rPr>
                <w:sz w:val="20"/>
                <w:szCs w:val="20"/>
                <w:color w:val="auto"/>
              </w:rPr>
            </w:pPr>
            <w:r>
              <w:rPr>
                <w:rFonts w:ascii="Courier New" w:cs="Courier New" w:eastAsia="Courier New" w:hAnsi="Courier New"/>
                <w:sz w:val="12"/>
                <w:szCs w:val="12"/>
                <w:color w:val="auto"/>
              </w:rPr>
              <w:t>1.1.3C.</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spacing w:after="0"/>
              <w:rPr>
                <w:sz w:val="20"/>
                <w:szCs w:val="20"/>
                <w:color w:val="auto"/>
              </w:rPr>
            </w:pPr>
            <w:r>
              <w:rPr>
                <w:rFonts w:ascii="Courier New" w:cs="Courier New" w:eastAsia="Courier New" w:hAnsi="Courier New"/>
                <w:sz w:val="12"/>
                <w:szCs w:val="12"/>
                <w:color w:val="auto"/>
              </w:rPr>
              <w:t>1.1.3D.</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spacing w:after="0"/>
              <w:rPr>
                <w:sz w:val="20"/>
                <w:szCs w:val="20"/>
                <w:color w:val="auto"/>
              </w:rPr>
            </w:pPr>
            <w:r>
              <w:rPr>
                <w:rFonts w:ascii="Courier New" w:cs="Courier New" w:eastAsia="Courier New" w:hAnsi="Courier New"/>
                <w:sz w:val="12"/>
                <w:szCs w:val="12"/>
                <w:color w:val="auto"/>
              </w:rPr>
              <w:t>1.1.4.</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spacing w:after="0"/>
              <w:rPr>
                <w:sz w:val="20"/>
                <w:szCs w:val="20"/>
                <w:color w:val="auto"/>
              </w:rPr>
            </w:pPr>
            <w:r>
              <w:rPr>
                <w:rFonts w:ascii="Courier New" w:cs="Courier New" w:eastAsia="Courier New" w:hAnsi="Courier New"/>
                <w:sz w:val="12"/>
                <w:szCs w:val="12"/>
                <w:color w:val="auto"/>
              </w:rPr>
              <w:t>1.1.5.</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"ALLIANCE"</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228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means Alliance Semiconductor</w:t>
            </w:r>
          </w:p>
        </w:tc>
        <w:tc>
          <w:tcPr>
            <w:tcW w:w="11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Corporation,  a</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corporation</w:t>
            </w:r>
          </w:p>
        </w:tc>
        <w:tc>
          <w:tcPr>
            <w:tcW w:w="80" w:type="dxa"/>
            <w:vAlign w:val="bottom"/>
          </w:tcPr>
          <w:p>
            <w:pPr>
              <w:spacing w:after="0"/>
              <w:rPr>
                <w:sz w:val="12"/>
                <w:szCs w:val="12"/>
                <w:color w:val="auto"/>
              </w:rPr>
            </w:pPr>
          </w:p>
        </w:tc>
        <w:tc>
          <w:tcPr>
            <w:tcW w:w="104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incorporated</w:t>
            </w:r>
          </w:p>
        </w:tc>
        <w:tc>
          <w:tcPr>
            <w:tcW w:w="44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99"/>
              </w:rPr>
              <w:t>under</w:t>
            </w:r>
          </w:p>
        </w:tc>
        <w:tc>
          <w:tcPr>
            <w:tcW w:w="96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the laws 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Delaware, USA;</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0"/>
                <w:szCs w:val="20"/>
                <w:color w:val="auto"/>
              </w:rPr>
            </w:pPr>
            <w:r>
              <w:rPr>
                <w:rFonts w:ascii="Courier New" w:cs="Courier New" w:eastAsia="Courier New" w:hAnsi="Courier New"/>
                <w:sz w:val="12"/>
                <w:szCs w:val="12"/>
                <w:color w:val="auto"/>
              </w:rPr>
              <w:t>1.1.6.</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"AMENDMENT</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020" w:type="dxa"/>
            <w:vAlign w:val="bottom"/>
          </w:tcPr>
          <w:p>
            <w:pPr>
              <w:spacing w:after="0"/>
              <w:rPr>
                <w:sz w:val="12"/>
                <w:szCs w:val="12"/>
                <w:color w:val="auto"/>
              </w:rPr>
            </w:pP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CLOSING DATE"</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200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means September 28, 2006;</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0"/>
                <w:szCs w:val="20"/>
                <w:color w:val="auto"/>
              </w:rPr>
            </w:pPr>
            <w:r>
              <w:rPr>
                <w:rFonts w:ascii="Courier New" w:cs="Courier New" w:eastAsia="Courier New" w:hAnsi="Courier New"/>
                <w:sz w:val="12"/>
                <w:szCs w:val="12"/>
                <w:color w:val="auto"/>
              </w:rPr>
              <w:t>1.1.7.</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"AUDITORS"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1400" w:type="dxa"/>
            <w:vAlign w:val="bottom"/>
            <w:gridSpan w:val="7"/>
          </w:tcPr>
          <w:p>
            <w:pPr>
              <w:spacing w:after="0"/>
              <w:rPr>
                <w:sz w:val="20"/>
                <w:szCs w:val="20"/>
                <w:color w:val="auto"/>
              </w:rPr>
            </w:pPr>
            <w:r>
              <w:rPr>
                <w:rFonts w:ascii="Courier New" w:cs="Courier New" w:eastAsia="Courier New" w:hAnsi="Courier New"/>
                <w:sz w:val="12"/>
                <w:szCs w:val="12"/>
                <w:color w:val="auto"/>
              </w:rPr>
              <w:t>Brightman-Almagor</w:t>
            </w: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&amp; Co.,</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another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leading</w:t>
            </w:r>
          </w:p>
        </w:tc>
        <w:tc>
          <w:tcPr>
            <w:tcW w:w="220" w:type="dxa"/>
            <w:vAlign w:val="bottom"/>
          </w:tcPr>
          <w:p>
            <w:pPr>
              <w:spacing w:after="0"/>
              <w:rPr>
                <w:sz w:val="12"/>
                <w:szCs w:val="12"/>
                <w:color w:val="auto"/>
              </w:rPr>
            </w:pPr>
          </w:p>
        </w:tc>
        <w:tc>
          <w:tcPr>
            <w:tcW w:w="440" w:type="dxa"/>
            <w:vAlign w:val="bottom"/>
            <w:gridSpan w:val="3"/>
          </w:tcPr>
          <w:p>
            <w:pPr>
              <w:jc w:val="right"/>
              <w:ind w:right="99"/>
              <w:spacing w:after="0"/>
              <w:rPr>
                <w:sz w:val="20"/>
                <w:szCs w:val="20"/>
                <w:color w:val="auto"/>
              </w:rPr>
            </w:pPr>
            <w:r>
              <w:rPr>
                <w:rFonts w:ascii="Courier New" w:cs="Courier New" w:eastAsia="Courier New" w:hAnsi="Courier New"/>
                <w:sz w:val="12"/>
                <w:szCs w:val="12"/>
                <w:color w:val="auto"/>
                <w:w w:val="90"/>
              </w:rPr>
              <w:t>firm</w:t>
            </w: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of</w:t>
            </w:r>
          </w:p>
        </w:tc>
        <w:tc>
          <w:tcPr>
            <w:tcW w:w="220" w:type="dxa"/>
            <w:vAlign w:val="bottom"/>
          </w:tcPr>
          <w:p>
            <w:pPr>
              <w:spacing w:after="0"/>
              <w:rPr>
                <w:sz w:val="12"/>
                <w:szCs w:val="12"/>
                <w:color w:val="auto"/>
              </w:rPr>
            </w:pPr>
          </w:p>
        </w:tc>
        <w:tc>
          <w:tcPr>
            <w:tcW w:w="940" w:type="dxa"/>
            <w:vAlign w:val="bottom"/>
            <w:gridSpan w:val="4"/>
          </w:tcPr>
          <w:p>
            <w:pPr>
              <w:jc w:val="right"/>
              <w:ind w:right="79"/>
              <w:spacing w:after="0"/>
              <w:rPr>
                <w:sz w:val="20"/>
                <w:szCs w:val="20"/>
                <w:color w:val="auto"/>
              </w:rPr>
            </w:pPr>
            <w:r>
              <w:rPr>
                <w:rFonts w:ascii="Courier New" w:cs="Courier New" w:eastAsia="Courier New" w:hAnsi="Courier New"/>
                <w:sz w:val="12"/>
                <w:szCs w:val="12"/>
                <w:color w:val="auto"/>
                <w:w w:val="98"/>
              </w:rPr>
              <w:t>independent</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Israeli</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auditors</w:t>
            </w:r>
          </w:p>
        </w:tc>
        <w:tc>
          <w:tcPr>
            <w:tcW w:w="74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99"/>
              </w:rPr>
              <w:t>affiliated</w:t>
            </w:r>
          </w:p>
        </w:tc>
        <w:tc>
          <w:tcPr>
            <w:tcW w:w="140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to one of the big</w:t>
            </w:r>
          </w:p>
        </w:tc>
        <w:tc>
          <w:tcPr>
            <w:tcW w:w="1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four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internationally</w:t>
            </w:r>
          </w:p>
        </w:tc>
        <w:tc>
          <w:tcPr>
            <w:tcW w:w="300" w:type="dxa"/>
            <w:vAlign w:val="bottom"/>
          </w:tcPr>
          <w:p>
            <w:pPr>
              <w:spacing w:after="0"/>
              <w:rPr>
                <w:sz w:val="12"/>
                <w:szCs w:val="12"/>
                <w:color w:val="auto"/>
              </w:rPr>
            </w:pPr>
          </w:p>
        </w:tc>
        <w:tc>
          <w:tcPr>
            <w:tcW w:w="720" w:type="dxa"/>
            <w:vAlign w:val="bottom"/>
            <w:gridSpan w:val="3"/>
          </w:tcPr>
          <w:p>
            <w:pPr>
              <w:spacing w:after="0"/>
              <w:rPr>
                <w:sz w:val="20"/>
                <w:szCs w:val="20"/>
                <w:color w:val="auto"/>
              </w:rPr>
            </w:pPr>
            <w:r>
              <w:rPr>
                <w:rFonts w:ascii="Courier New" w:cs="Courier New" w:eastAsia="Courier New" w:hAnsi="Courier New"/>
                <w:sz w:val="12"/>
                <w:szCs w:val="12"/>
                <w:color w:val="auto"/>
                <w:w w:val="97"/>
              </w:rPr>
              <w:t>recognised</w:t>
            </w:r>
          </w:p>
        </w:tc>
        <w:tc>
          <w:tcPr>
            <w:tcW w:w="1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firms</w:t>
            </w:r>
          </w:p>
        </w:tc>
        <w:tc>
          <w:tcPr>
            <w:tcW w:w="1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auditors;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0"/>
                <w:szCs w:val="20"/>
                <w:color w:val="auto"/>
              </w:rPr>
            </w:pPr>
            <w:r>
              <w:rPr>
                <w:rFonts w:ascii="Courier New" w:cs="Courier New" w:eastAsia="Courier New" w:hAnsi="Courier New"/>
                <w:sz w:val="12"/>
                <w:szCs w:val="12"/>
                <w:color w:val="auto"/>
              </w:rPr>
              <w:t>1.1.8.</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spacing w:after="0"/>
              <w:rPr>
                <w:sz w:val="20"/>
                <w:szCs w:val="20"/>
                <w:color w:val="auto"/>
              </w:rPr>
            </w:pPr>
            <w:r>
              <w:rPr>
                <w:rFonts w:ascii="Courier New" w:cs="Courier New" w:eastAsia="Courier New" w:hAnsi="Courier New"/>
                <w:sz w:val="12"/>
                <w:szCs w:val="12"/>
                <w:color w:val="auto"/>
              </w:rPr>
              <w:t>1.1.9.</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spacing w:after="0"/>
              <w:rPr>
                <w:sz w:val="20"/>
                <w:szCs w:val="20"/>
                <w:color w:val="auto"/>
              </w:rPr>
            </w:pPr>
            <w:r>
              <w:rPr>
                <w:rFonts w:ascii="Courier New" w:cs="Courier New" w:eastAsia="Courier New" w:hAnsi="Courier New"/>
                <w:sz w:val="12"/>
                <w:szCs w:val="12"/>
                <w:color w:val="auto"/>
              </w:rPr>
              <w:t>1.1.9A.</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"BANK ADVISER"</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shall</w:t>
            </w: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w w:val="90"/>
              </w:rPr>
              <w:t>bear</w:t>
            </w: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c>
          <w:tcPr>
            <w:tcW w:w="74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meaning</w:t>
            </w:r>
          </w:p>
        </w:tc>
        <w:tc>
          <w:tcPr>
            <w:tcW w:w="72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assigned</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to</w:t>
            </w:r>
          </w:p>
        </w:tc>
        <w:tc>
          <w:tcPr>
            <w:tcW w:w="1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such</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8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term in clause 16.16.3 below;</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0"/>
                <w:szCs w:val="20"/>
                <w:color w:val="auto"/>
              </w:rPr>
            </w:pPr>
            <w:r>
              <w:rPr>
                <w:rFonts w:ascii="Courier New" w:cs="Courier New" w:eastAsia="Courier New" w:hAnsi="Courier New"/>
                <w:sz w:val="12"/>
                <w:szCs w:val="12"/>
                <w:color w:val="auto"/>
              </w:rPr>
              <w:t>1.1.10.</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"BANK HAPOALIM"</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200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means Bank Hapoalim B.M.;</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spacing w:after="0"/>
              <w:rPr>
                <w:sz w:val="20"/>
                <w:szCs w:val="20"/>
                <w:color w:val="auto"/>
              </w:rPr>
            </w:pPr>
            <w:r>
              <w:rPr>
                <w:rFonts w:ascii="Courier New" w:cs="Courier New" w:eastAsia="Courier New" w:hAnsi="Courier New"/>
                <w:sz w:val="12"/>
                <w:szCs w:val="12"/>
                <w:color w:val="auto"/>
              </w:rPr>
              <w:t>1.1.11.</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"BANK LEUMI"</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2440" w:type="dxa"/>
            <w:vAlign w:val="bottom"/>
            <w:gridSpan w:val="11"/>
          </w:tcPr>
          <w:p>
            <w:pPr>
              <w:ind w:left="80"/>
              <w:spacing w:after="0"/>
              <w:rPr>
                <w:sz w:val="20"/>
                <w:szCs w:val="20"/>
                <w:color w:val="auto"/>
              </w:rPr>
            </w:pPr>
            <w:r>
              <w:rPr>
                <w:rFonts w:ascii="Courier New" w:cs="Courier New" w:eastAsia="Courier New" w:hAnsi="Courier New"/>
                <w:sz w:val="12"/>
                <w:szCs w:val="12"/>
                <w:color w:val="auto"/>
              </w:rPr>
              <w:t>means Bank Leumi Le-Israel B.M.;</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spacing w:after="0"/>
              <w:rPr>
                <w:sz w:val="20"/>
                <w:szCs w:val="20"/>
                <w:color w:val="auto"/>
              </w:rPr>
            </w:pPr>
            <w:r>
              <w:rPr>
                <w:rFonts w:ascii="Courier New" w:cs="Courier New" w:eastAsia="Courier New" w:hAnsi="Courier New"/>
                <w:sz w:val="12"/>
                <w:szCs w:val="12"/>
                <w:color w:val="auto"/>
              </w:rPr>
              <w:t>1.1.12.</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"BANK" OR "BANKS"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means Bank</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99"/>
              <w:spacing w:after="0"/>
              <w:rPr>
                <w:sz w:val="20"/>
                <w:szCs w:val="20"/>
                <w:color w:val="auto"/>
              </w:rPr>
            </w:pPr>
            <w:r>
              <w:rPr>
                <w:rFonts w:ascii="Courier New" w:cs="Courier New" w:eastAsia="Courier New" w:hAnsi="Courier New"/>
                <w:sz w:val="12"/>
                <w:szCs w:val="12"/>
                <w:color w:val="auto"/>
                <w:w w:val="98"/>
              </w:rPr>
              <w:t>Hapoalim,</w:t>
            </w:r>
          </w:p>
        </w:tc>
        <w:tc>
          <w:tcPr>
            <w:tcW w:w="940" w:type="dxa"/>
            <w:vAlign w:val="bottom"/>
            <w:gridSpan w:val="4"/>
          </w:tcPr>
          <w:p>
            <w:pPr>
              <w:jc w:val="right"/>
              <w:ind w:right="79"/>
              <w:spacing w:after="0"/>
              <w:rPr>
                <w:sz w:val="20"/>
                <w:szCs w:val="20"/>
                <w:color w:val="auto"/>
              </w:rPr>
            </w:pPr>
            <w:r>
              <w:rPr>
                <w:rFonts w:ascii="Courier New" w:cs="Courier New" w:eastAsia="Courier New" w:hAnsi="Courier New"/>
                <w:sz w:val="12"/>
                <w:szCs w:val="12"/>
                <w:color w:val="auto"/>
                <w:w w:val="98"/>
              </w:rPr>
              <w:t>Bank Leumi,</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either 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w w:val="97"/>
              </w:rPr>
              <w:t>such</w:t>
            </w:r>
          </w:p>
        </w:tc>
        <w:tc>
          <w:tcPr>
            <w:tcW w:w="1620" w:type="dxa"/>
            <w:vAlign w:val="bottom"/>
            <w:gridSpan w:val="8"/>
          </w:tcPr>
          <w:p>
            <w:pPr>
              <w:jc w:val="right"/>
              <w:ind w:right="19"/>
              <w:spacing w:after="0"/>
              <w:rPr>
                <w:sz w:val="20"/>
                <w:szCs w:val="20"/>
                <w:color w:val="auto"/>
              </w:rPr>
            </w:pPr>
            <w:r>
              <w:rPr>
                <w:rFonts w:ascii="Courier New" w:cs="Courier New" w:eastAsia="Courier New" w:hAnsi="Courier New"/>
                <w:sz w:val="12"/>
                <w:szCs w:val="12"/>
                <w:color w:val="auto"/>
              </w:rPr>
              <w:t>Banks and any other</w:t>
            </w:r>
          </w:p>
        </w:tc>
        <w:tc>
          <w:tcPr>
            <w:tcW w:w="72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bank or</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financial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5"/>
          </w:tcPr>
          <w:p>
            <w:pPr>
              <w:ind w:left="80"/>
              <w:spacing w:after="0"/>
              <w:rPr>
                <w:sz w:val="20"/>
                <w:szCs w:val="20"/>
                <w:color w:val="auto"/>
              </w:rPr>
            </w:pPr>
            <w:r>
              <w:rPr>
                <w:rFonts w:ascii="Courier New" w:cs="Courier New" w:eastAsia="Courier New" w:hAnsi="Courier New"/>
                <w:sz w:val="12"/>
                <w:szCs w:val="12"/>
                <w:color w:val="auto"/>
                <w:w w:val="99"/>
              </w:rPr>
              <w:t>institution,</w:t>
            </w:r>
          </w:p>
        </w:tc>
        <w:tc>
          <w:tcPr>
            <w:tcW w:w="820" w:type="dxa"/>
            <w:vAlign w:val="bottom"/>
            <w:gridSpan w:val="3"/>
          </w:tcPr>
          <w:p>
            <w:pPr>
              <w:jc w:val="right"/>
              <w:ind w:right="99"/>
              <w:spacing w:after="0"/>
              <w:rPr>
                <w:sz w:val="20"/>
                <w:szCs w:val="20"/>
                <w:color w:val="auto"/>
              </w:rPr>
            </w:pPr>
            <w:r>
              <w:rPr>
                <w:rFonts w:ascii="Courier New" w:cs="Courier New" w:eastAsia="Courier New" w:hAnsi="Courier New"/>
                <w:sz w:val="12"/>
                <w:szCs w:val="12"/>
                <w:color w:val="auto"/>
              </w:rPr>
              <w:t>if any,</w:t>
            </w:r>
          </w:p>
        </w:tc>
        <w:tc>
          <w:tcPr>
            <w:tcW w:w="5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w w:val="94"/>
              </w:rPr>
              <w:t>which</w:t>
            </w:r>
          </w:p>
        </w:tc>
        <w:tc>
          <w:tcPr>
            <w:tcW w:w="11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becomes a party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to this</w:t>
            </w:r>
          </w:p>
        </w:tc>
        <w:tc>
          <w:tcPr>
            <w:tcW w:w="96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Agreement</w:t>
            </w:r>
          </w:p>
        </w:tc>
        <w:tc>
          <w:tcPr>
            <w:tcW w:w="72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w w:val="97"/>
              </w:rPr>
              <w:t>pursuant</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w w:val="96"/>
              </w:rPr>
              <w:t>to</w:t>
            </w:r>
          </w:p>
        </w:tc>
        <w:tc>
          <w:tcPr>
            <w:tcW w:w="96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clause 25.3</w:t>
            </w:r>
          </w:p>
        </w:tc>
      </w:tr>
    </w:tbl>
    <w:p>
      <w:pPr>
        <w:sectPr>
          <w:pgSz w:w="11900" w:h="16865" w:orient="portrait"/>
          <w:cols w:equalWidth="0" w:num="1">
            <w:col w:w="10244"/>
          </w:cols>
          <w:pgMar w:left="216" w:top="141" w:right="1440" w:bottom="0" w:gutter="0" w:footer="0" w:header="0"/>
        </w:sectPr>
      </w:pPr>
    </w:p>
    <w:bookmarkStart w:id="75" w:name="page76"/>
    <w:bookmarkEnd w:id="75"/>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w w:val="97"/>
              </w:rPr>
              <w:t>below;</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1.1.13.</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"BORROWER"</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244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means Tower Semiconductor Ltd.;</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1.1.13A.</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25"/>
        </w:trPr>
        <w:tc>
          <w:tcPr>
            <w:tcW w:w="1060" w:type="dxa"/>
            <w:vAlign w:val="bottom"/>
          </w:tcPr>
          <w:p>
            <w:pPr>
              <w:spacing w:after="0"/>
              <w:rPr>
                <w:sz w:val="24"/>
                <w:szCs w:val="24"/>
                <w:color w:val="auto"/>
              </w:rPr>
            </w:pPr>
          </w:p>
        </w:tc>
        <w:tc>
          <w:tcPr>
            <w:tcW w:w="2620" w:type="dxa"/>
            <w:vAlign w:val="bottom"/>
          </w:tcPr>
          <w:p>
            <w:pPr>
              <w:ind w:left="1660"/>
              <w:spacing w:after="0"/>
              <w:rPr>
                <w:sz w:val="20"/>
                <w:szCs w:val="20"/>
                <w:color w:val="auto"/>
              </w:rPr>
            </w:pPr>
            <w:r>
              <w:rPr>
                <w:rFonts w:ascii="Courier New" w:cs="Courier New" w:eastAsia="Courier New" w:hAnsi="Courier New"/>
                <w:sz w:val="12"/>
                <w:szCs w:val="12"/>
                <w:color w:val="auto"/>
              </w:rPr>
              <w:t>- 3 -</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1.1.14.</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"BUSINESS"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means</w:t>
            </w:r>
          </w:p>
        </w:tc>
        <w:tc>
          <w:tcPr>
            <w:tcW w:w="5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the</w:t>
            </w:r>
          </w:p>
        </w:tc>
        <w:tc>
          <w:tcPr>
            <w:tcW w:w="66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business</w:t>
            </w:r>
          </w:p>
        </w:tc>
        <w:tc>
          <w:tcPr>
            <w:tcW w:w="14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of</w:t>
            </w:r>
          </w:p>
        </w:tc>
        <w:tc>
          <w:tcPr>
            <w:tcW w:w="220" w:type="dxa"/>
            <w:vAlign w:val="bottom"/>
          </w:tcPr>
          <w:p>
            <w:pPr>
              <w:spacing w:after="0"/>
              <w:rPr>
                <w:sz w:val="20"/>
                <w:szCs w:val="20"/>
                <w:color w:val="auto"/>
              </w:rPr>
            </w:pPr>
            <w:r>
              <w:rPr>
                <w:rFonts w:ascii="Courier New" w:cs="Courier New" w:eastAsia="Courier New" w:hAnsi="Courier New"/>
                <w:sz w:val="12"/>
                <w:szCs w:val="12"/>
                <w:color w:val="auto"/>
              </w:rPr>
              <w:t>an</w:t>
            </w:r>
          </w:p>
        </w:tc>
        <w:tc>
          <w:tcPr>
            <w:tcW w:w="96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independent</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"foundry"</w:t>
            </w:r>
          </w:p>
        </w:tc>
        <w:tc>
          <w:tcPr>
            <w:tcW w:w="1020" w:type="dxa"/>
            <w:vAlign w:val="bottom"/>
            <w:gridSpan w:val="5"/>
          </w:tcPr>
          <w:p>
            <w:pPr>
              <w:ind w:left="140"/>
              <w:spacing w:after="0"/>
              <w:rPr>
                <w:sz w:val="20"/>
                <w:szCs w:val="20"/>
                <w:color w:val="auto"/>
              </w:rPr>
            </w:pPr>
            <w:r>
              <w:rPr>
                <w:rFonts w:ascii="Courier New" w:cs="Courier New" w:eastAsia="Courier New" w:hAnsi="Courier New"/>
                <w:sz w:val="12"/>
                <w:szCs w:val="12"/>
                <w:color w:val="auto"/>
                <w:w w:val="99"/>
              </w:rPr>
              <w:t>manufacturer</w:t>
            </w:r>
          </w:p>
        </w:tc>
        <w:tc>
          <w:tcPr>
            <w:tcW w:w="16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Courier New" w:cs="Courier New" w:eastAsia="Courier New" w:hAnsi="Courier New"/>
                <w:sz w:val="12"/>
                <w:szCs w:val="12"/>
                <w:color w:val="auto"/>
                <w:w w:val="96"/>
              </w:rPr>
              <w:t>of</w:t>
            </w:r>
          </w:p>
        </w:tc>
        <w:tc>
          <w:tcPr>
            <w:tcW w:w="220" w:type="dxa"/>
            <w:vAlign w:val="bottom"/>
          </w:tcPr>
          <w:p>
            <w:pPr>
              <w:spacing w:after="0"/>
              <w:rPr>
                <w:sz w:val="12"/>
                <w:szCs w:val="12"/>
                <w:color w:val="auto"/>
              </w:rPr>
            </w:pPr>
          </w:p>
        </w:tc>
        <w:tc>
          <w:tcPr>
            <w:tcW w:w="96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semiconductor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integrated</w:t>
            </w:r>
          </w:p>
        </w:tc>
        <w:tc>
          <w:tcPr>
            <w:tcW w:w="22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circuits</w:t>
            </w:r>
          </w:p>
        </w:tc>
        <w:tc>
          <w:tcPr>
            <w:tcW w:w="14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rPr>
              <w:t>and</w:t>
            </w:r>
          </w:p>
        </w:tc>
        <w:tc>
          <w:tcPr>
            <w:tcW w:w="220" w:type="dxa"/>
            <w:vAlign w:val="bottom"/>
          </w:tcPr>
          <w:p>
            <w:pPr>
              <w:spacing w:after="0"/>
              <w:rPr>
                <w:sz w:val="20"/>
                <w:szCs w:val="20"/>
                <w:color w:val="auto"/>
              </w:rPr>
            </w:pPr>
            <w:r>
              <w:rPr>
                <w:rFonts w:ascii="Courier New" w:cs="Courier New" w:eastAsia="Courier New" w:hAnsi="Courier New"/>
                <w:sz w:val="12"/>
                <w:szCs w:val="12"/>
                <w:color w:val="auto"/>
              </w:rPr>
              <w:t>a</w:t>
            </w: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w w:val="97"/>
              </w:rPr>
              <w:t>provider</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related  design</w:t>
            </w:r>
          </w:p>
        </w:tc>
        <w:tc>
          <w:tcPr>
            <w:tcW w:w="74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services,</w:t>
            </w:r>
          </w:p>
        </w:tc>
        <w:tc>
          <w:tcPr>
            <w:tcW w:w="102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as well as</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other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20" w:type="dxa"/>
            <w:vAlign w:val="bottom"/>
            <w:gridSpan w:val="13"/>
          </w:tcPr>
          <w:p>
            <w:pPr>
              <w:ind w:left="80"/>
              <w:spacing w:after="0"/>
              <w:rPr>
                <w:sz w:val="20"/>
                <w:szCs w:val="20"/>
                <w:color w:val="auto"/>
              </w:rPr>
            </w:pPr>
            <w:r>
              <w:rPr>
                <w:rFonts w:ascii="Courier New" w:cs="Courier New" w:eastAsia="Courier New" w:hAnsi="Courier New"/>
                <w:sz w:val="12"/>
                <w:szCs w:val="12"/>
                <w:color w:val="auto"/>
              </w:rPr>
              <w:t>activities ancillary to such business;</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1.1.15.</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"BUSINESS DAY"</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w w:val="97"/>
              </w:rPr>
              <w:t>means: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(a)</w:t>
            </w: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with</w:t>
            </w:r>
          </w:p>
        </w:tc>
        <w:tc>
          <w:tcPr>
            <w:tcW w:w="1400" w:type="dxa"/>
            <w:vAlign w:val="bottom"/>
            <w:gridSpan w:val="7"/>
          </w:tcPr>
          <w:p>
            <w:pPr>
              <w:spacing w:after="0"/>
              <w:rPr>
                <w:sz w:val="20"/>
                <w:szCs w:val="20"/>
                <w:color w:val="auto"/>
              </w:rPr>
            </w:pPr>
            <w:r>
              <w:rPr>
                <w:rFonts w:ascii="Courier New" w:cs="Courier New" w:eastAsia="Courier New" w:hAnsi="Courier New"/>
                <w:sz w:val="12"/>
                <w:szCs w:val="12"/>
                <w:color w:val="auto"/>
              </w:rPr>
              <w:t>respect to payment,</w:t>
            </w:r>
          </w:p>
        </w:tc>
        <w:tc>
          <w:tcPr>
            <w:tcW w:w="96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purchase or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w w:val="92"/>
              </w:rPr>
              <w:t>any</w:t>
            </w:r>
          </w:p>
        </w:tc>
        <w:tc>
          <w:tcPr>
            <w:tcW w:w="22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w w:val="94"/>
              </w:rPr>
              <w:t>other</w:t>
            </w:r>
          </w:p>
        </w:tc>
        <w:tc>
          <w:tcPr>
            <w:tcW w:w="300" w:type="dxa"/>
            <w:vAlign w:val="bottom"/>
          </w:tcPr>
          <w:p>
            <w:pPr>
              <w:spacing w:after="0"/>
              <w:rPr>
                <w:sz w:val="12"/>
                <w:szCs w:val="12"/>
                <w:color w:val="auto"/>
              </w:rPr>
            </w:pPr>
          </w:p>
        </w:tc>
        <w:tc>
          <w:tcPr>
            <w:tcW w:w="1020" w:type="dxa"/>
            <w:vAlign w:val="bottom"/>
            <w:gridSpan w:val="5"/>
          </w:tcPr>
          <w:p>
            <w:pPr>
              <w:spacing w:after="0"/>
              <w:rPr>
                <w:sz w:val="20"/>
                <w:szCs w:val="20"/>
                <w:color w:val="auto"/>
              </w:rPr>
            </w:pPr>
            <w:r>
              <w:rPr>
                <w:rFonts w:ascii="Courier New" w:cs="Courier New" w:eastAsia="Courier New" w:hAnsi="Courier New"/>
                <w:sz w:val="12"/>
                <w:szCs w:val="12"/>
                <w:color w:val="auto"/>
              </w:rPr>
              <w:t>transaction</w:t>
            </w:r>
          </w:p>
        </w:tc>
        <w:tc>
          <w:tcPr>
            <w:tcW w:w="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in,</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determination</w:t>
            </w:r>
          </w:p>
        </w:tc>
        <w:tc>
          <w:tcPr>
            <w:tcW w:w="3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of</w:t>
            </w:r>
          </w:p>
        </w:tc>
        <w:tc>
          <w:tcPr>
            <w:tcW w:w="1400" w:type="dxa"/>
            <w:vAlign w:val="bottom"/>
            <w:gridSpan w:val="7"/>
          </w:tcPr>
          <w:p>
            <w:pPr>
              <w:ind w:left="140"/>
              <w:spacing w:after="0"/>
              <w:rPr>
                <w:sz w:val="20"/>
                <w:szCs w:val="20"/>
                <w:color w:val="auto"/>
              </w:rPr>
            </w:pPr>
            <w:r>
              <w:rPr>
                <w:rFonts w:ascii="Courier New" w:cs="Courier New" w:eastAsia="Courier New" w:hAnsi="Courier New"/>
                <w:sz w:val="12"/>
                <w:szCs w:val="12"/>
                <w:color w:val="auto"/>
              </w:rPr>
              <w:t>LIBOR   for,   or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5"/>
          </w:tcPr>
          <w:p>
            <w:pPr>
              <w:ind w:left="80"/>
              <w:spacing w:after="0"/>
              <w:rPr>
                <w:sz w:val="20"/>
                <w:szCs w:val="20"/>
                <w:color w:val="auto"/>
              </w:rPr>
            </w:pPr>
            <w:r>
              <w:rPr>
                <w:rFonts w:ascii="Courier New" w:cs="Courier New" w:eastAsia="Courier New" w:hAnsi="Courier New"/>
                <w:sz w:val="12"/>
                <w:szCs w:val="12"/>
                <w:color w:val="auto"/>
                <w:w w:val="99"/>
              </w:rPr>
              <w:t>performance of,</w:t>
            </w:r>
          </w:p>
        </w:tc>
        <w:tc>
          <w:tcPr>
            <w:tcW w:w="14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w w:val="99"/>
              </w:rPr>
              <w:t>calculations</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in, sums</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denominated</w:t>
            </w:r>
          </w:p>
        </w:tc>
        <w:tc>
          <w:tcPr>
            <w:tcW w:w="300" w:type="dxa"/>
            <w:vAlign w:val="bottom"/>
          </w:tcPr>
          <w:p>
            <w:pPr>
              <w:ind w:left="160"/>
              <w:spacing w:after="0"/>
              <w:rPr>
                <w:sz w:val="20"/>
                <w:szCs w:val="20"/>
                <w:color w:val="auto"/>
              </w:rPr>
            </w:pPr>
            <w:r>
              <w:rPr>
                <w:rFonts w:ascii="Courier New" w:cs="Courier New" w:eastAsia="Courier New" w:hAnsi="Courier New"/>
                <w:sz w:val="12"/>
                <w:szCs w:val="12"/>
                <w:color w:val="auto"/>
                <w:w w:val="82"/>
              </w:rPr>
              <w:t>in</w:t>
            </w:r>
          </w:p>
        </w:tc>
        <w:tc>
          <w:tcPr>
            <w:tcW w:w="14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rPr>
              <w:t>US Dollars,</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 day on</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which:  (i) the  Banks  are</w:t>
            </w:r>
          </w:p>
        </w:tc>
        <w:tc>
          <w:tcPr>
            <w:tcW w:w="3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open</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for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trading in Israel in</w:t>
            </w:r>
          </w:p>
        </w:tc>
        <w:tc>
          <w:tcPr>
            <w:tcW w:w="800" w:type="dxa"/>
            <w:vAlign w:val="bottom"/>
            <w:gridSpan w:val="4"/>
          </w:tcPr>
          <w:p>
            <w:pPr>
              <w:spacing w:after="0"/>
              <w:rPr>
                <w:sz w:val="20"/>
                <w:szCs w:val="20"/>
                <w:color w:val="auto"/>
              </w:rPr>
            </w:pPr>
            <w:r>
              <w:rPr>
                <w:rFonts w:ascii="Courier New" w:cs="Courier New" w:eastAsia="Courier New" w:hAnsi="Courier New"/>
                <w:sz w:val="12"/>
                <w:szCs w:val="12"/>
                <w:color w:val="auto"/>
                <w:w w:val="98"/>
              </w:rPr>
              <w:t>US Dollars;</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(ii) banks</w:t>
            </w:r>
          </w:p>
        </w:tc>
        <w:tc>
          <w:tcPr>
            <w:tcW w:w="820" w:type="dxa"/>
            <w:vAlign w:val="bottom"/>
            <w:gridSpan w:val="4"/>
          </w:tcPr>
          <w:p>
            <w:pPr>
              <w:ind w:left="160"/>
              <w:spacing w:after="0"/>
              <w:rPr>
                <w:sz w:val="20"/>
                <w:szCs w:val="20"/>
                <w:color w:val="auto"/>
              </w:rPr>
            </w:pPr>
            <w:r>
              <w:rPr>
                <w:rFonts w:ascii="Courier New" w:cs="Courier New" w:eastAsia="Courier New" w:hAnsi="Courier New"/>
                <w:sz w:val="12"/>
                <w:szCs w:val="12"/>
                <w:color w:val="auto"/>
                <w:w w:val="98"/>
              </w:rPr>
              <w:t>generally</w:t>
            </w:r>
          </w:p>
        </w:tc>
        <w:tc>
          <w:tcPr>
            <w:tcW w:w="5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are</w:t>
            </w:r>
          </w:p>
        </w:tc>
        <w:tc>
          <w:tcPr>
            <w:tcW w:w="3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open</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for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trading</w:t>
            </w:r>
          </w:p>
        </w:tc>
        <w:tc>
          <w:tcPr>
            <w:tcW w:w="140" w:type="dxa"/>
            <w:vAlign w:val="bottom"/>
          </w:tcPr>
          <w:p>
            <w:pPr>
              <w:spacing w:after="0"/>
              <w:rPr>
                <w:sz w:val="20"/>
                <w:szCs w:val="20"/>
                <w:color w:val="auto"/>
              </w:rPr>
            </w:pPr>
            <w:r>
              <w:rPr>
                <w:rFonts w:ascii="Courier New" w:cs="Courier New" w:eastAsia="Courier New" w:hAnsi="Courier New"/>
                <w:sz w:val="12"/>
                <w:szCs w:val="12"/>
                <w:color w:val="auto"/>
                <w:w w:val="82"/>
              </w:rPr>
              <w:t>in</w:t>
            </w:r>
          </w:p>
        </w:tc>
        <w:tc>
          <w:tcPr>
            <w:tcW w:w="104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US Dollars</w:t>
            </w:r>
          </w:p>
        </w:tc>
        <w:tc>
          <w:tcPr>
            <w:tcW w:w="96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in London and</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New York; and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(b)</w:t>
            </w:r>
          </w:p>
        </w:tc>
        <w:tc>
          <w:tcPr>
            <w:tcW w:w="192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[INTENTIONALLY DELETED]</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(c)</w:t>
            </w:r>
          </w:p>
        </w:tc>
        <w:tc>
          <w:tcPr>
            <w:tcW w:w="192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[INTENTIONALLY DELETED]</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(d)</w:t>
            </w:r>
          </w:p>
        </w:tc>
        <w:tc>
          <w:tcPr>
            <w:tcW w:w="192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[INTENTIONALLY DELETED]</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(e)</w:t>
            </w:r>
          </w:p>
        </w:tc>
        <w:tc>
          <w:tcPr>
            <w:tcW w:w="148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in all other cases,</w:t>
            </w:r>
          </w:p>
        </w:tc>
        <w:tc>
          <w:tcPr>
            <w:tcW w:w="1400" w:type="dxa"/>
            <w:vAlign w:val="bottom"/>
            <w:gridSpan w:val="7"/>
          </w:tcPr>
          <w:p>
            <w:pPr>
              <w:ind w:left="140"/>
              <w:spacing w:after="0"/>
              <w:rPr>
                <w:sz w:val="20"/>
                <w:szCs w:val="20"/>
                <w:color w:val="auto"/>
              </w:rPr>
            </w:pPr>
            <w:r>
              <w:rPr>
                <w:rFonts w:ascii="Courier New" w:cs="Courier New" w:eastAsia="Courier New" w:hAnsi="Courier New"/>
                <w:sz w:val="12"/>
                <w:szCs w:val="12"/>
                <w:color w:val="auto"/>
              </w:rPr>
              <w:t>as a reference to</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gridSpan w:val="6"/>
          </w:tcPr>
          <w:p>
            <w:pPr>
              <w:ind w:left="80"/>
              <w:spacing w:after="0"/>
              <w:rPr>
                <w:sz w:val="20"/>
                <w:szCs w:val="20"/>
                <w:color w:val="auto"/>
              </w:rPr>
            </w:pPr>
            <w:r>
              <w:rPr>
                <w:rFonts w:ascii="Courier New" w:cs="Courier New" w:eastAsia="Courier New" w:hAnsi="Courier New"/>
                <w:sz w:val="12"/>
                <w:szCs w:val="12"/>
                <w:color w:val="auto"/>
                <w:w w:val="99"/>
              </w:rPr>
              <w:t>a day (other than</w:t>
            </w:r>
          </w:p>
        </w:tc>
        <w:tc>
          <w:tcPr>
            <w:tcW w:w="160" w:type="dxa"/>
            <w:vAlign w:val="bottom"/>
          </w:tcPr>
          <w:p>
            <w:pPr>
              <w:spacing w:after="0"/>
              <w:rPr>
                <w:sz w:val="12"/>
                <w:szCs w:val="12"/>
                <w:color w:val="auto"/>
              </w:rPr>
            </w:pPr>
          </w:p>
        </w:tc>
        <w:tc>
          <w:tcPr>
            <w:tcW w:w="720" w:type="dxa"/>
            <w:vAlign w:val="bottom"/>
            <w:gridSpan w:val="3"/>
          </w:tcPr>
          <w:p>
            <w:pPr>
              <w:spacing w:after="0"/>
              <w:rPr>
                <w:sz w:val="20"/>
                <w:szCs w:val="20"/>
                <w:color w:val="auto"/>
              </w:rPr>
            </w:pPr>
            <w:r>
              <w:rPr>
                <w:rFonts w:ascii="Courier New" w:cs="Courier New" w:eastAsia="Courier New" w:hAnsi="Courier New"/>
                <w:sz w:val="12"/>
                <w:szCs w:val="12"/>
                <w:color w:val="auto"/>
              </w:rPr>
              <w:t>Saturday)</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on which</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banks</w:t>
            </w:r>
          </w:p>
        </w:tc>
        <w:tc>
          <w:tcPr>
            <w:tcW w:w="2360" w:type="dxa"/>
            <w:vAlign w:val="bottom"/>
            <w:gridSpan w:val="12"/>
          </w:tcPr>
          <w:p>
            <w:pPr>
              <w:ind w:left="60"/>
              <w:spacing w:after="0"/>
              <w:rPr>
                <w:sz w:val="20"/>
                <w:szCs w:val="20"/>
                <w:color w:val="auto"/>
              </w:rPr>
            </w:pPr>
            <w:r>
              <w:rPr>
                <w:rFonts w:ascii="Courier New" w:cs="Courier New" w:eastAsia="Courier New" w:hAnsi="Courier New"/>
                <w:sz w:val="12"/>
                <w:szCs w:val="12"/>
                <w:color w:val="auto"/>
              </w:rPr>
              <w:t>generally are open for business</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in Israel;</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1.1.16.</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"BUSINESS PLAN"</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means</w:t>
            </w: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w w:val="92"/>
              </w:rPr>
              <w:t>the</w:t>
            </w:r>
          </w:p>
        </w:tc>
        <w:tc>
          <w:tcPr>
            <w:tcW w:w="88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business</w:t>
            </w:r>
          </w:p>
        </w:tc>
        <w:tc>
          <w:tcPr>
            <w:tcW w:w="300" w:type="dxa"/>
            <w:vAlign w:val="bottom"/>
            <w:gridSpan w:val="2"/>
          </w:tcPr>
          <w:p>
            <w:pPr>
              <w:spacing w:after="0"/>
              <w:rPr>
                <w:sz w:val="20"/>
                <w:szCs w:val="20"/>
                <w:color w:val="auto"/>
              </w:rPr>
            </w:pPr>
            <w:r>
              <w:rPr>
                <w:rFonts w:ascii="Courier New" w:cs="Courier New" w:eastAsia="Courier New" w:hAnsi="Courier New"/>
                <w:sz w:val="12"/>
                <w:szCs w:val="12"/>
                <w:color w:val="auto"/>
                <w:w w:val="97"/>
              </w:rPr>
              <w:t>plan</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of</w:t>
            </w:r>
          </w:p>
        </w:tc>
        <w:tc>
          <w:tcPr>
            <w:tcW w:w="280" w:type="dxa"/>
            <w:vAlign w:val="bottom"/>
          </w:tcPr>
          <w:p>
            <w:pPr>
              <w:spacing w:after="0"/>
              <w:rPr>
                <w:sz w:val="20"/>
                <w:szCs w:val="20"/>
                <w:color w:val="auto"/>
              </w:rPr>
            </w:pPr>
            <w:r>
              <w:rPr>
                <w:rFonts w:ascii="Courier New" w:cs="Courier New" w:eastAsia="Courier New" w:hAnsi="Courier New"/>
                <w:sz w:val="12"/>
                <w:szCs w:val="12"/>
                <w:color w:val="auto"/>
              </w:rPr>
              <w:t>the</w:t>
            </w:r>
          </w:p>
        </w:tc>
        <w:tc>
          <w:tcPr>
            <w:tcW w:w="8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Borrower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which</w:t>
            </w:r>
          </w:p>
        </w:tc>
        <w:tc>
          <w:tcPr>
            <w:tcW w:w="2880" w:type="dxa"/>
            <w:vAlign w:val="bottom"/>
            <w:gridSpan w:val="14"/>
          </w:tcPr>
          <w:p>
            <w:pPr>
              <w:ind w:left="80"/>
              <w:spacing w:after="0"/>
              <w:rPr>
                <w:sz w:val="20"/>
                <w:szCs w:val="20"/>
                <w:color w:val="auto"/>
              </w:rPr>
            </w:pPr>
            <w:r>
              <w:rPr>
                <w:rFonts w:ascii="Courier New" w:cs="Courier New" w:eastAsia="Courier New" w:hAnsi="Courier New"/>
                <w:sz w:val="12"/>
                <w:szCs w:val="12"/>
                <w:color w:val="auto"/>
              </w:rPr>
              <w:t>has  been  approved  by the  Board  of</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Directors of the</w:t>
            </w:r>
          </w:p>
        </w:tc>
        <w:tc>
          <w:tcPr>
            <w:tcW w:w="140" w:type="dxa"/>
            <w:vAlign w:val="bottom"/>
          </w:tcPr>
          <w:p>
            <w:pPr>
              <w:spacing w:after="0"/>
              <w:rPr>
                <w:sz w:val="12"/>
                <w:szCs w:val="12"/>
                <w:color w:val="auto"/>
              </w:rPr>
            </w:pPr>
          </w:p>
        </w:tc>
        <w:tc>
          <w:tcPr>
            <w:tcW w:w="1620" w:type="dxa"/>
            <w:vAlign w:val="bottom"/>
            <w:gridSpan w:val="8"/>
          </w:tcPr>
          <w:p>
            <w:pPr>
              <w:spacing w:after="0"/>
              <w:rPr>
                <w:sz w:val="20"/>
                <w:szCs w:val="20"/>
                <w:color w:val="auto"/>
              </w:rPr>
            </w:pPr>
            <w:r>
              <w:rPr>
                <w:rFonts w:ascii="Courier New" w:cs="Courier New" w:eastAsia="Courier New" w:hAnsi="Courier New"/>
                <w:sz w:val="12"/>
                <w:szCs w:val="12"/>
                <w:color w:val="auto"/>
              </w:rPr>
              <w:t>Borrower on March 31,</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2006</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and provided to the Banks,</w:t>
            </w:r>
          </w:p>
        </w:tc>
        <w:tc>
          <w:tcPr>
            <w:tcW w:w="72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as such</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business</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plan</w:t>
            </w:r>
          </w:p>
        </w:tc>
        <w:tc>
          <w:tcPr>
            <w:tcW w:w="300" w:type="dxa"/>
            <w:vAlign w:val="bottom"/>
          </w:tcPr>
          <w:p>
            <w:pPr>
              <w:spacing w:after="0"/>
              <w:rPr>
                <w:sz w:val="20"/>
                <w:szCs w:val="20"/>
                <w:color w:val="auto"/>
              </w:rPr>
            </w:pPr>
            <w:r>
              <w:rPr>
                <w:rFonts w:ascii="Courier New" w:cs="Courier New" w:eastAsia="Courier New" w:hAnsi="Courier New"/>
                <w:sz w:val="12"/>
                <w:szCs w:val="12"/>
                <w:color w:val="auto"/>
              </w:rPr>
              <w:t>may</w:t>
            </w:r>
          </w:p>
        </w:tc>
        <w:tc>
          <w:tcPr>
            <w:tcW w:w="220" w:type="dxa"/>
            <w:vAlign w:val="bottom"/>
          </w:tcPr>
          <w:p>
            <w:pPr>
              <w:ind w:left="60"/>
              <w:spacing w:after="0"/>
              <w:rPr>
                <w:sz w:val="20"/>
                <w:szCs w:val="20"/>
                <w:color w:val="auto"/>
              </w:rPr>
            </w:pPr>
            <w:r>
              <w:rPr>
                <w:rFonts w:ascii="Courier New" w:cs="Courier New" w:eastAsia="Courier New" w:hAnsi="Courier New"/>
                <w:sz w:val="12"/>
                <w:szCs w:val="12"/>
                <w:color w:val="auto"/>
                <w:w w:val="96"/>
              </w:rPr>
              <w:t>be</w:t>
            </w:r>
          </w:p>
        </w:tc>
        <w:tc>
          <w:tcPr>
            <w:tcW w:w="66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9"/>
              </w:rPr>
              <w:t>updated</w:t>
            </w:r>
          </w:p>
        </w:tc>
        <w:tc>
          <w:tcPr>
            <w:tcW w:w="140" w:type="dxa"/>
            <w:vAlign w:val="bottom"/>
          </w:tcPr>
          <w:p>
            <w:pPr>
              <w:spacing w:after="0"/>
              <w:rPr>
                <w:sz w:val="12"/>
                <w:szCs w:val="12"/>
                <w:color w:val="auto"/>
              </w:rPr>
            </w:pPr>
          </w:p>
        </w:tc>
        <w:tc>
          <w:tcPr>
            <w:tcW w:w="38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7"/>
              </w:rPr>
              <w:t>from</w:t>
            </w:r>
          </w:p>
        </w:tc>
        <w:tc>
          <w:tcPr>
            <w:tcW w:w="5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time</w:t>
            </w:r>
          </w:p>
        </w:tc>
        <w:tc>
          <w:tcPr>
            <w:tcW w:w="8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to</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time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subject to the</w:t>
            </w:r>
          </w:p>
        </w:tc>
        <w:tc>
          <w:tcPr>
            <w:tcW w:w="960" w:type="dxa"/>
            <w:vAlign w:val="bottom"/>
            <w:gridSpan w:val="5"/>
          </w:tcPr>
          <w:p>
            <w:pPr>
              <w:spacing w:after="0"/>
              <w:rPr>
                <w:sz w:val="20"/>
                <w:szCs w:val="20"/>
                <w:color w:val="auto"/>
              </w:rPr>
            </w:pPr>
            <w:r>
              <w:rPr>
                <w:rFonts w:ascii="Courier New" w:cs="Courier New" w:eastAsia="Courier New" w:hAnsi="Courier New"/>
                <w:sz w:val="12"/>
                <w:szCs w:val="12"/>
                <w:color w:val="auto"/>
              </w:rPr>
              <w:t>provisions of</w:t>
            </w:r>
          </w:p>
        </w:tc>
        <w:tc>
          <w:tcPr>
            <w:tcW w:w="1180" w:type="dxa"/>
            <w:vAlign w:val="bottom"/>
            <w:gridSpan w:val="6"/>
          </w:tcPr>
          <w:p>
            <w:pPr>
              <w:ind w:left="140"/>
              <w:spacing w:after="0"/>
              <w:rPr>
                <w:sz w:val="20"/>
                <w:szCs w:val="20"/>
                <w:color w:val="auto"/>
              </w:rPr>
            </w:pPr>
            <w:r>
              <w:rPr>
                <w:rFonts w:ascii="Courier New" w:cs="Courier New" w:eastAsia="Courier New" w:hAnsi="Courier New"/>
                <w:sz w:val="12"/>
                <w:szCs w:val="12"/>
                <w:color w:val="auto"/>
              </w:rPr>
              <w:t>clause 16.20.1</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5"/>
          </w:tcPr>
          <w:p>
            <w:pPr>
              <w:ind w:left="80"/>
              <w:spacing w:after="0"/>
              <w:rPr>
                <w:sz w:val="20"/>
                <w:szCs w:val="20"/>
                <w:color w:val="auto"/>
              </w:rPr>
            </w:pPr>
            <w:r>
              <w:rPr>
                <w:rFonts w:ascii="Courier New" w:cs="Courier New" w:eastAsia="Courier New" w:hAnsi="Courier New"/>
                <w:sz w:val="12"/>
                <w:szCs w:val="12"/>
                <w:color w:val="auto"/>
              </w:rPr>
              <w:t>below,  a copy  of  which  business  plan  is</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720" w:type="dxa"/>
            <w:vAlign w:val="bottom"/>
            <w:gridSpan w:val="11"/>
          </w:tcPr>
          <w:p>
            <w:pPr>
              <w:ind w:left="80"/>
              <w:spacing w:after="0"/>
              <w:rPr>
                <w:sz w:val="20"/>
                <w:szCs w:val="20"/>
                <w:color w:val="auto"/>
              </w:rPr>
            </w:pPr>
            <w:r>
              <w:rPr>
                <w:rFonts w:ascii="Courier New" w:cs="Courier New" w:eastAsia="Courier New" w:hAnsi="Courier New"/>
                <w:sz w:val="12"/>
                <w:szCs w:val="12"/>
                <w:color w:val="auto"/>
              </w:rPr>
              <w:t>attached hereto as SCHEDULE 1.1.16;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1.1.17.</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25"/>
        </w:trPr>
        <w:tc>
          <w:tcPr>
            <w:tcW w:w="1060" w:type="dxa"/>
            <w:vAlign w:val="bottom"/>
          </w:tcPr>
          <w:p>
            <w:pPr>
              <w:spacing w:after="0"/>
              <w:rPr>
                <w:sz w:val="24"/>
                <w:szCs w:val="24"/>
                <w:color w:val="auto"/>
              </w:rPr>
            </w:pPr>
          </w:p>
        </w:tc>
        <w:tc>
          <w:tcPr>
            <w:tcW w:w="2620" w:type="dxa"/>
            <w:vAlign w:val="bottom"/>
          </w:tcPr>
          <w:p>
            <w:pPr>
              <w:ind w:left="1660"/>
              <w:spacing w:after="0"/>
              <w:rPr>
                <w:sz w:val="20"/>
                <w:szCs w:val="20"/>
                <w:color w:val="auto"/>
              </w:rPr>
            </w:pPr>
            <w:r>
              <w:rPr>
                <w:rFonts w:ascii="Courier New" w:cs="Courier New" w:eastAsia="Courier New" w:hAnsi="Courier New"/>
                <w:sz w:val="12"/>
                <w:szCs w:val="12"/>
                <w:color w:val="auto"/>
              </w:rPr>
              <w:t>- 4 -</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1.1.18.</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"A CHANGE OF</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060" w:type="dxa"/>
            <w:vAlign w:val="bottom"/>
          </w:tcPr>
          <w:p>
            <w:pPr>
              <w:spacing w:after="0"/>
              <w:rPr>
                <w:sz w:val="12"/>
                <w:szCs w:val="12"/>
                <w:color w:val="auto"/>
              </w:rPr>
            </w:pP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OWNERSHIP"</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shall</w:t>
            </w: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occur</w:t>
            </w:r>
          </w:p>
        </w:tc>
        <w:tc>
          <w:tcPr>
            <w:tcW w:w="66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in the</w:t>
            </w: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rPr>
              <w:t>event</w:t>
            </w:r>
          </w:p>
        </w:tc>
        <w:tc>
          <w:tcPr>
            <w:tcW w:w="1180" w:type="dxa"/>
            <w:vAlign w:val="bottom"/>
            <w:gridSpan w:val="6"/>
          </w:tcPr>
          <w:p>
            <w:pPr>
              <w:spacing w:after="0"/>
              <w:rPr>
                <w:sz w:val="20"/>
                <w:szCs w:val="20"/>
                <w:color w:val="auto"/>
              </w:rPr>
            </w:pPr>
            <w:r>
              <w:rPr>
                <w:rFonts w:ascii="Courier New" w:cs="Courier New" w:eastAsia="Courier New" w:hAnsi="Courier New"/>
                <w:sz w:val="12"/>
                <w:szCs w:val="12"/>
                <w:color w:val="auto"/>
              </w:rPr>
              <w:t>that at any time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w w:val="97"/>
              </w:rPr>
              <w:t>during</w:t>
            </w:r>
          </w:p>
        </w:tc>
        <w:tc>
          <w:tcPr>
            <w:tcW w:w="5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the</w:t>
            </w:r>
          </w:p>
        </w:tc>
        <w:tc>
          <w:tcPr>
            <w:tcW w:w="6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period</w:t>
            </w:r>
          </w:p>
        </w:tc>
        <w:tc>
          <w:tcPr>
            <w:tcW w:w="14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rPr>
              <w:t>commencing</w:t>
            </w:r>
          </w:p>
        </w:tc>
        <w:tc>
          <w:tcPr>
            <w:tcW w:w="8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on</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Amendment</w:t>
            </w:r>
          </w:p>
        </w:tc>
        <w:tc>
          <w:tcPr>
            <w:tcW w:w="580" w:type="dxa"/>
            <w:vAlign w:val="bottom"/>
            <w:gridSpan w:val="3"/>
          </w:tcPr>
          <w:p>
            <w:pPr>
              <w:ind w:left="60"/>
              <w:spacing w:after="0"/>
              <w:rPr>
                <w:sz w:val="20"/>
                <w:szCs w:val="20"/>
                <w:color w:val="auto"/>
              </w:rPr>
            </w:pPr>
            <w:r>
              <w:rPr>
                <w:rFonts w:ascii="Courier New" w:cs="Courier New" w:eastAsia="Courier New" w:hAnsi="Courier New"/>
                <w:sz w:val="12"/>
                <w:szCs w:val="12"/>
                <w:color w:val="auto"/>
                <w:w w:val="99"/>
              </w:rPr>
              <w:t>Closing</w:t>
            </w:r>
          </w:p>
        </w:tc>
        <w:tc>
          <w:tcPr>
            <w:tcW w:w="1320" w:type="dxa"/>
            <w:vAlign w:val="bottom"/>
            <w:gridSpan w:val="6"/>
          </w:tcPr>
          <w:p>
            <w:pPr>
              <w:ind w:left="160"/>
              <w:spacing w:after="0"/>
              <w:rPr>
                <w:sz w:val="20"/>
                <w:szCs w:val="20"/>
                <w:color w:val="auto"/>
              </w:rPr>
            </w:pPr>
            <w:r>
              <w:rPr>
                <w:rFonts w:ascii="Courier New" w:cs="Courier New" w:eastAsia="Courier New" w:hAnsi="Courier New"/>
                <w:sz w:val="12"/>
                <w:szCs w:val="12"/>
                <w:color w:val="auto"/>
              </w:rPr>
              <w:t>Date and ending</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prior to</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0" w:type="dxa"/>
            <w:vAlign w:val="bottom"/>
            <w:gridSpan w:val="12"/>
          </w:tcPr>
          <w:p>
            <w:pPr>
              <w:ind w:left="80"/>
              <w:spacing w:after="0"/>
              <w:rPr>
                <w:sz w:val="20"/>
                <w:szCs w:val="20"/>
                <w:color w:val="auto"/>
              </w:rPr>
            </w:pPr>
            <w:r>
              <w:rPr>
                <w:rFonts w:ascii="Courier New" w:cs="Courier New" w:eastAsia="Courier New" w:hAnsi="Courier New"/>
                <w:sz w:val="12"/>
                <w:szCs w:val="12"/>
                <w:color w:val="auto"/>
              </w:rPr>
              <w:t>the date  that  all  amounts  payable</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by the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Borrower</w:t>
            </w:r>
          </w:p>
        </w:tc>
        <w:tc>
          <w:tcPr>
            <w:tcW w:w="1400" w:type="dxa"/>
            <w:vAlign w:val="bottom"/>
            <w:gridSpan w:val="7"/>
          </w:tcPr>
          <w:p>
            <w:pPr>
              <w:spacing w:after="0"/>
              <w:rPr>
                <w:sz w:val="20"/>
                <w:szCs w:val="20"/>
                <w:color w:val="auto"/>
              </w:rPr>
            </w:pPr>
            <w:r>
              <w:rPr>
                <w:rFonts w:ascii="Courier New" w:cs="Courier New" w:eastAsia="Courier New" w:hAnsi="Courier New"/>
                <w:sz w:val="12"/>
                <w:szCs w:val="12"/>
                <w:color w:val="auto"/>
              </w:rPr>
              <w:t>under the Finance</w:t>
            </w:r>
          </w:p>
        </w:tc>
        <w:tc>
          <w:tcPr>
            <w:tcW w:w="800" w:type="dxa"/>
            <w:vAlign w:val="bottom"/>
            <w:gridSpan w:val="4"/>
          </w:tcPr>
          <w:p>
            <w:pPr>
              <w:spacing w:after="0"/>
              <w:rPr>
                <w:sz w:val="20"/>
                <w:szCs w:val="20"/>
                <w:color w:val="auto"/>
              </w:rPr>
            </w:pPr>
            <w:r>
              <w:rPr>
                <w:rFonts w:ascii="Courier New" w:cs="Courier New" w:eastAsia="Courier New" w:hAnsi="Courier New"/>
                <w:sz w:val="12"/>
                <w:szCs w:val="12"/>
                <w:color w:val="auto"/>
              </w:rPr>
              <w:t>Documents</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shall</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have</w:t>
            </w:r>
          </w:p>
        </w:tc>
        <w:tc>
          <w:tcPr>
            <w:tcW w:w="220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been   paid  in   full,   any</w:t>
            </w:r>
          </w:p>
        </w:tc>
        <w:tc>
          <w:tcPr>
            <w:tcW w:w="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following occurs: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(a)</w:t>
            </w:r>
          </w:p>
        </w:tc>
        <w:tc>
          <w:tcPr>
            <w:tcW w:w="192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the Lead Investors shall,</w:t>
            </w:r>
          </w:p>
        </w:tc>
        <w:tc>
          <w:tcPr>
            <w:tcW w:w="96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directly or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indirectly</w:t>
            </w:r>
          </w:p>
        </w:tc>
        <w:tc>
          <w:tcPr>
            <w:tcW w:w="820" w:type="dxa"/>
            <w:vAlign w:val="bottom"/>
            <w:gridSpan w:val="4"/>
          </w:tcPr>
          <w:p>
            <w:pPr>
              <w:ind w:left="220"/>
              <w:spacing w:after="0"/>
              <w:rPr>
                <w:sz w:val="20"/>
                <w:szCs w:val="20"/>
                <w:color w:val="auto"/>
              </w:rPr>
            </w:pPr>
            <w:r>
              <w:rPr>
                <w:rFonts w:ascii="Courier New" w:cs="Courier New" w:eastAsia="Courier New" w:hAnsi="Courier New"/>
                <w:sz w:val="12"/>
                <w:szCs w:val="12"/>
                <w:color w:val="auto"/>
              </w:rPr>
              <w:t>through</w:t>
            </w:r>
          </w:p>
        </w:tc>
        <w:tc>
          <w:tcPr>
            <w:tcW w:w="220" w:type="dxa"/>
            <w:vAlign w:val="bottom"/>
          </w:tcPr>
          <w:p>
            <w:pPr>
              <w:spacing w:after="0"/>
              <w:rPr>
                <w:sz w:val="12"/>
                <w:szCs w:val="12"/>
                <w:color w:val="auto"/>
              </w:rPr>
            </w:pPr>
          </w:p>
        </w:tc>
        <w:tc>
          <w:tcPr>
            <w:tcW w:w="96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Subsidiaries,</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00" w:type="dxa"/>
            <w:vAlign w:val="bottom"/>
            <w:gridSpan w:val="12"/>
          </w:tcPr>
          <w:p>
            <w:pPr>
              <w:ind w:left="80"/>
              <w:spacing w:after="0"/>
              <w:rPr>
                <w:sz w:val="20"/>
                <w:szCs w:val="20"/>
                <w:color w:val="auto"/>
              </w:rPr>
            </w:pPr>
            <w:r>
              <w:rPr>
                <w:rFonts w:ascii="Courier New" w:cs="Courier New" w:eastAsia="Courier New" w:hAnsi="Courier New"/>
                <w:sz w:val="12"/>
                <w:szCs w:val="12"/>
                <w:color w:val="auto"/>
              </w:rPr>
              <w:t>cease to nominate, in aggregate,</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more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5"/>
          </w:tcPr>
          <w:p>
            <w:pPr>
              <w:ind w:left="80"/>
              <w:spacing w:after="0"/>
              <w:rPr>
                <w:sz w:val="20"/>
                <w:szCs w:val="20"/>
                <w:color w:val="auto"/>
              </w:rPr>
            </w:pPr>
            <w:r>
              <w:rPr>
                <w:rFonts w:ascii="Courier New" w:cs="Courier New" w:eastAsia="Courier New" w:hAnsi="Courier New"/>
                <w:sz w:val="12"/>
                <w:szCs w:val="12"/>
                <w:color w:val="auto"/>
                <w:w w:val="99"/>
              </w:rPr>
              <w:t>than 50% (fifty</w:t>
            </w:r>
          </w:p>
        </w:tc>
        <w:tc>
          <w:tcPr>
            <w:tcW w:w="140" w:type="dxa"/>
            <w:vAlign w:val="bottom"/>
          </w:tcPr>
          <w:p>
            <w:pPr>
              <w:spacing w:after="0"/>
              <w:rPr>
                <w:sz w:val="12"/>
                <w:szCs w:val="12"/>
                <w:color w:val="auto"/>
              </w:rPr>
            </w:pPr>
          </w:p>
        </w:tc>
        <w:tc>
          <w:tcPr>
            <w:tcW w:w="1560" w:type="dxa"/>
            <w:vAlign w:val="bottom"/>
            <w:gridSpan w:val="8"/>
          </w:tcPr>
          <w:p>
            <w:pPr>
              <w:spacing w:after="0"/>
              <w:rPr>
                <w:sz w:val="20"/>
                <w:szCs w:val="20"/>
                <w:color w:val="auto"/>
              </w:rPr>
            </w:pPr>
            <w:r>
              <w:rPr>
                <w:rFonts w:ascii="Courier New" w:cs="Courier New" w:eastAsia="Courier New" w:hAnsi="Courier New"/>
                <w:sz w:val="12"/>
                <w:szCs w:val="12"/>
                <w:color w:val="auto"/>
              </w:rPr>
              <w:t>percent) of the Board</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rPr>
              <w:t>of</w:t>
            </w:r>
          </w:p>
        </w:tc>
        <w:tc>
          <w:tcPr>
            <w:tcW w:w="22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w w:val="98"/>
              </w:rPr>
              <w:t>Directors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of</w:t>
            </w:r>
          </w:p>
        </w:tc>
        <w:tc>
          <w:tcPr>
            <w:tcW w:w="5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the</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Borrower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(excluding,</w:t>
            </w:r>
          </w:p>
        </w:tc>
        <w:tc>
          <w:tcPr>
            <w:tcW w:w="300" w:type="dxa"/>
            <w:vAlign w:val="bottom"/>
          </w:tcPr>
          <w:p>
            <w:pPr>
              <w:spacing w:after="0"/>
              <w:rPr>
                <w:sz w:val="12"/>
                <w:szCs w:val="12"/>
                <w:color w:val="auto"/>
              </w:rPr>
            </w:pPr>
          </w:p>
        </w:tc>
        <w:tc>
          <w:tcPr>
            <w:tcW w:w="300" w:type="dxa"/>
            <w:vAlign w:val="bottom"/>
            <w:gridSpan w:val="2"/>
          </w:tcPr>
          <w:p>
            <w:pPr>
              <w:spacing w:after="0"/>
              <w:rPr>
                <w:sz w:val="20"/>
                <w:szCs w:val="20"/>
                <w:color w:val="auto"/>
              </w:rPr>
            </w:pPr>
            <w:r>
              <w:rPr>
                <w:rFonts w:ascii="Courier New" w:cs="Courier New" w:eastAsia="Courier New" w:hAnsi="Courier New"/>
                <w:sz w:val="12"/>
                <w:szCs w:val="12"/>
                <w:color w:val="auto"/>
              </w:rPr>
              <w:t>for</w:t>
            </w:r>
          </w:p>
        </w:tc>
        <w:tc>
          <w:tcPr>
            <w:tcW w:w="220" w:type="dxa"/>
            <w:vAlign w:val="bottom"/>
          </w:tcPr>
          <w:p>
            <w:pPr>
              <w:spacing w:after="0"/>
              <w:rPr>
                <w:sz w:val="12"/>
                <w:szCs w:val="12"/>
                <w:color w:val="auto"/>
              </w:rPr>
            </w:pPr>
          </w:p>
        </w:tc>
        <w:tc>
          <w:tcPr>
            <w:tcW w:w="500" w:type="dxa"/>
            <w:vAlign w:val="bottom"/>
            <w:gridSpan w:val="2"/>
          </w:tcPr>
          <w:p>
            <w:pPr>
              <w:spacing w:after="0"/>
              <w:rPr>
                <w:sz w:val="20"/>
                <w:szCs w:val="20"/>
                <w:color w:val="auto"/>
              </w:rPr>
            </w:pPr>
            <w:r>
              <w:rPr>
                <w:rFonts w:ascii="Courier New" w:cs="Courier New" w:eastAsia="Courier New" w:hAnsi="Courier New"/>
                <w:sz w:val="12"/>
                <w:szCs w:val="12"/>
                <w:color w:val="auto"/>
              </w:rPr>
              <w:t>this</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purpose,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external</w:t>
            </w:r>
          </w:p>
        </w:tc>
        <w:tc>
          <w:tcPr>
            <w:tcW w:w="74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directors</w:t>
            </w:r>
          </w:p>
        </w:tc>
        <w:tc>
          <w:tcPr>
            <w:tcW w:w="72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7"/>
              </w:rPr>
              <w:t>(DAHAZ),</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1 (one)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independent</w:t>
            </w:r>
          </w:p>
        </w:tc>
        <w:tc>
          <w:tcPr>
            <w:tcW w:w="820" w:type="dxa"/>
            <w:vAlign w:val="bottom"/>
            <w:gridSpan w:val="4"/>
          </w:tcPr>
          <w:p>
            <w:pPr>
              <w:ind w:left="220"/>
              <w:spacing w:after="0"/>
              <w:rPr>
                <w:sz w:val="20"/>
                <w:szCs w:val="20"/>
                <w:color w:val="auto"/>
              </w:rPr>
            </w:pPr>
            <w:r>
              <w:rPr>
                <w:rFonts w:ascii="Courier New" w:cs="Courier New" w:eastAsia="Courier New" w:hAnsi="Courier New"/>
                <w:sz w:val="12"/>
                <w:szCs w:val="12"/>
                <w:color w:val="auto"/>
              </w:rPr>
              <w:t>director</w:t>
            </w:r>
          </w:p>
        </w:tc>
        <w:tc>
          <w:tcPr>
            <w:tcW w:w="22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w w:val="94"/>
              </w:rPr>
              <w:t>under</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Nasdaq</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80" w:type="dxa"/>
            <w:vAlign w:val="bottom"/>
            <w:gridSpan w:val="14"/>
          </w:tcPr>
          <w:p>
            <w:pPr>
              <w:ind w:left="80"/>
              <w:spacing w:after="0"/>
              <w:rPr>
                <w:sz w:val="20"/>
                <w:szCs w:val="20"/>
                <w:color w:val="auto"/>
              </w:rPr>
            </w:pPr>
            <w:r>
              <w:rPr>
                <w:rFonts w:ascii="Courier New" w:cs="Courier New" w:eastAsia="Courier New" w:hAnsi="Courier New"/>
                <w:sz w:val="12"/>
                <w:szCs w:val="12"/>
                <w:color w:val="auto"/>
              </w:rPr>
              <w:t>Marketplace  Rules,  officers  of  the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Borrower who are ex-officio</w:t>
            </w:r>
          </w:p>
        </w:tc>
        <w:tc>
          <w:tcPr>
            <w:tcW w:w="68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directors</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80" w:type="dxa"/>
            <w:vAlign w:val="bottom"/>
            <w:gridSpan w:val="14"/>
          </w:tcPr>
          <w:p>
            <w:pPr>
              <w:ind w:left="80"/>
              <w:spacing w:after="0"/>
              <w:rPr>
                <w:sz w:val="20"/>
                <w:szCs w:val="20"/>
                <w:color w:val="auto"/>
              </w:rPr>
            </w:pPr>
            <w:r>
              <w:rPr>
                <w:rFonts w:ascii="Courier New" w:cs="Courier New" w:eastAsia="Courier New" w:hAnsi="Courier New"/>
                <w:sz w:val="12"/>
                <w:szCs w:val="12"/>
                <w:color w:val="auto"/>
              </w:rPr>
              <w:t>of  the  Borrower  and  any  directors</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appointed</w:t>
            </w:r>
          </w:p>
        </w:tc>
        <w:tc>
          <w:tcPr>
            <w:tcW w:w="140" w:type="dxa"/>
            <w:vAlign w:val="bottom"/>
          </w:tcPr>
          <w:p>
            <w:pPr>
              <w:spacing w:after="0"/>
              <w:rPr>
                <w:sz w:val="12"/>
                <w:szCs w:val="12"/>
                <w:color w:val="auto"/>
              </w:rPr>
            </w:pP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rPr>
              <w:t>by</w:t>
            </w:r>
          </w:p>
        </w:tc>
        <w:tc>
          <w:tcPr>
            <w:tcW w:w="140" w:type="dxa"/>
            <w:vAlign w:val="bottom"/>
          </w:tcPr>
          <w:p>
            <w:pPr>
              <w:ind w:left="80"/>
              <w:spacing w:after="0"/>
              <w:rPr>
                <w:sz w:val="20"/>
                <w:szCs w:val="20"/>
                <w:color w:val="auto"/>
              </w:rPr>
            </w:pPr>
            <w:r>
              <w:rPr>
                <w:rFonts w:ascii="Courier New" w:cs="Courier New" w:eastAsia="Courier New" w:hAnsi="Courier New"/>
                <w:sz w:val="9"/>
                <w:szCs w:val="9"/>
                <w:color w:val="auto"/>
                <w:w w:val="73"/>
              </w:rPr>
              <w:t>a</w:t>
            </w:r>
          </w:p>
        </w:tc>
        <w:tc>
          <w:tcPr>
            <w:tcW w:w="160" w:type="dxa"/>
            <w:vAlign w:val="bottom"/>
          </w:tcPr>
          <w:p>
            <w:pPr>
              <w:spacing w:after="0"/>
              <w:rPr>
                <w:sz w:val="12"/>
                <w:szCs w:val="12"/>
                <w:color w:val="auto"/>
              </w:rPr>
            </w:pPr>
          </w:p>
        </w:tc>
        <w:tc>
          <w:tcPr>
            <w:tcW w:w="720" w:type="dxa"/>
            <w:vAlign w:val="bottom"/>
            <w:gridSpan w:val="3"/>
          </w:tcPr>
          <w:p>
            <w:pPr>
              <w:spacing w:after="0"/>
              <w:rPr>
                <w:sz w:val="20"/>
                <w:szCs w:val="20"/>
                <w:color w:val="auto"/>
              </w:rPr>
            </w:pPr>
            <w:r>
              <w:rPr>
                <w:rFonts w:ascii="Courier New" w:cs="Courier New" w:eastAsia="Courier New" w:hAnsi="Courier New"/>
                <w:sz w:val="12"/>
                <w:szCs w:val="12"/>
                <w:color w:val="auto"/>
              </w:rPr>
              <w:t>purchaser</w:t>
            </w:r>
          </w:p>
        </w:tc>
        <w:tc>
          <w:tcPr>
            <w:tcW w:w="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7"/>
              </w:rPr>
              <w:t>Banks'</w:t>
            </w:r>
          </w:p>
        </w:tc>
        <w:tc>
          <w:tcPr>
            <w:tcW w:w="80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shares),</w:t>
            </w:r>
          </w:p>
        </w:tc>
        <w:tc>
          <w:tcPr>
            <w:tcW w:w="1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it</w:t>
            </w:r>
          </w:p>
        </w:tc>
        <w:tc>
          <w:tcPr>
            <w:tcW w:w="50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being</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recorded</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that the chief</w:t>
            </w:r>
          </w:p>
        </w:tc>
        <w:tc>
          <w:tcPr>
            <w:tcW w:w="74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executive</w:t>
            </w:r>
          </w:p>
        </w:tc>
        <w:tc>
          <w:tcPr>
            <w:tcW w:w="96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officer (or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w w:val="92"/>
              </w:rPr>
              <w:t>one</w:t>
            </w: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of</w:t>
            </w:r>
          </w:p>
        </w:tc>
        <w:tc>
          <w:tcPr>
            <w:tcW w:w="14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rPr>
              <w:t>the</w:t>
            </w:r>
          </w:p>
        </w:tc>
        <w:tc>
          <w:tcPr>
            <w:tcW w:w="74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co-chief</w:t>
            </w:r>
          </w:p>
        </w:tc>
        <w:tc>
          <w:tcPr>
            <w:tcW w:w="280" w:type="dxa"/>
            <w:vAlign w:val="bottom"/>
          </w:tcPr>
          <w:p>
            <w:pPr>
              <w:spacing w:after="0"/>
              <w:rPr>
                <w:sz w:val="12"/>
                <w:szCs w:val="12"/>
                <w:color w:val="auto"/>
              </w:rPr>
            </w:pPr>
          </w:p>
        </w:tc>
        <w:tc>
          <w:tcPr>
            <w:tcW w:w="68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executive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officers,</w:t>
            </w:r>
          </w:p>
        </w:tc>
        <w:tc>
          <w:tcPr>
            <w:tcW w:w="14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as the</w:t>
            </w:r>
          </w:p>
        </w:tc>
        <w:tc>
          <w:tcPr>
            <w:tcW w:w="160" w:type="dxa"/>
            <w:vAlign w:val="bottom"/>
          </w:tcPr>
          <w:p>
            <w:pPr>
              <w:spacing w:after="0"/>
              <w:rPr>
                <w:sz w:val="12"/>
                <w:szCs w:val="12"/>
                <w:color w:val="auto"/>
              </w:rPr>
            </w:pPr>
          </w:p>
        </w:tc>
        <w:tc>
          <w:tcPr>
            <w:tcW w:w="1400" w:type="dxa"/>
            <w:vAlign w:val="bottom"/>
            <w:gridSpan w:val="7"/>
          </w:tcPr>
          <w:p>
            <w:pPr>
              <w:spacing w:after="0"/>
              <w:rPr>
                <w:sz w:val="20"/>
                <w:szCs w:val="20"/>
                <w:color w:val="auto"/>
              </w:rPr>
            </w:pPr>
            <w:r>
              <w:rPr>
                <w:rFonts w:ascii="Courier New" w:cs="Courier New" w:eastAsia="Courier New" w:hAnsi="Courier New"/>
                <w:sz w:val="12"/>
                <w:szCs w:val="12"/>
                <w:color w:val="auto"/>
              </w:rPr>
              <w:t>case may be) may at</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all times be a director; or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(b)</w:t>
            </w: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rPr>
              <w:t>at</w:t>
            </w:r>
          </w:p>
        </w:tc>
        <w:tc>
          <w:tcPr>
            <w:tcW w:w="44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any</w:t>
            </w: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time</w:t>
            </w: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rPr>
              <w:t>prior</w:t>
            </w:r>
          </w:p>
        </w:tc>
        <w:tc>
          <w:tcPr>
            <w:tcW w:w="500" w:type="dxa"/>
            <w:vAlign w:val="bottom"/>
            <w:gridSpan w:val="2"/>
          </w:tcPr>
          <w:p>
            <w:pPr>
              <w:spacing w:after="0"/>
              <w:rPr>
                <w:sz w:val="20"/>
                <w:szCs w:val="20"/>
                <w:color w:val="auto"/>
              </w:rPr>
            </w:pPr>
            <w:r>
              <w:rPr>
                <w:rFonts w:ascii="Courier New" w:cs="Courier New" w:eastAsia="Courier New" w:hAnsi="Courier New"/>
                <w:sz w:val="12"/>
                <w:szCs w:val="12"/>
                <w:color w:val="auto"/>
              </w:rPr>
              <w:t>to the</w:t>
            </w:r>
          </w:p>
        </w:tc>
        <w:tc>
          <w:tcPr>
            <w:tcW w:w="8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Courier New" w:cs="Courier New" w:eastAsia="Courier New" w:hAnsi="Courier New"/>
                <w:sz w:val="12"/>
                <w:szCs w:val="12"/>
                <w:color w:val="auto"/>
                <w:w w:val="97"/>
              </w:rPr>
              <w:t>date</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on</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which the</w:t>
            </w:r>
          </w:p>
        </w:tc>
        <w:tc>
          <w:tcPr>
            <w:tcW w:w="14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Borrower</w:t>
            </w:r>
          </w:p>
        </w:tc>
        <w:tc>
          <w:tcPr>
            <w:tcW w:w="1400" w:type="dxa"/>
            <w:vAlign w:val="bottom"/>
            <w:gridSpan w:val="7"/>
          </w:tcPr>
          <w:p>
            <w:pPr>
              <w:ind w:left="140"/>
              <w:spacing w:after="0"/>
              <w:rPr>
                <w:sz w:val="20"/>
                <w:szCs w:val="20"/>
                <w:color w:val="auto"/>
              </w:rPr>
            </w:pPr>
            <w:r>
              <w:rPr>
                <w:rFonts w:ascii="Courier New" w:cs="Courier New" w:eastAsia="Courier New" w:hAnsi="Courier New"/>
                <w:sz w:val="12"/>
                <w:szCs w:val="12"/>
                <w:color w:val="auto"/>
              </w:rPr>
              <w:t>shall have repaid</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in accordance</w:t>
            </w:r>
          </w:p>
        </w:tc>
        <w:tc>
          <w:tcPr>
            <w:tcW w:w="1700" w:type="dxa"/>
            <w:vAlign w:val="bottom"/>
            <w:gridSpan w:val="9"/>
          </w:tcPr>
          <w:p>
            <w:pPr>
              <w:spacing w:after="0"/>
              <w:rPr>
                <w:sz w:val="20"/>
                <w:szCs w:val="20"/>
                <w:color w:val="auto"/>
              </w:rPr>
            </w:pPr>
            <w:r>
              <w:rPr>
                <w:rFonts w:ascii="Courier New" w:cs="Courier New" w:eastAsia="Courier New" w:hAnsi="Courier New"/>
                <w:sz w:val="12"/>
                <w:szCs w:val="12"/>
                <w:color w:val="auto"/>
              </w:rPr>
              <w:t>with clause 6 below (or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clause 7,</w:t>
            </w:r>
          </w:p>
        </w:tc>
        <w:tc>
          <w:tcPr>
            <w:tcW w:w="140" w:type="dxa"/>
            <w:vAlign w:val="bottom"/>
          </w:tcPr>
          <w:p>
            <w:pPr>
              <w:spacing w:after="0"/>
              <w:rPr>
                <w:sz w:val="12"/>
                <w:szCs w:val="12"/>
                <w:color w:val="auto"/>
              </w:rPr>
            </w:pPr>
          </w:p>
        </w:tc>
        <w:tc>
          <w:tcPr>
            <w:tcW w:w="2000" w:type="dxa"/>
            <w:vAlign w:val="bottom"/>
            <w:gridSpan w:val="10"/>
          </w:tcPr>
          <w:p>
            <w:pPr>
              <w:spacing w:after="0"/>
              <w:rPr>
                <w:sz w:val="20"/>
                <w:szCs w:val="20"/>
                <w:color w:val="auto"/>
              </w:rPr>
            </w:pPr>
            <w:r>
              <w:rPr>
                <w:rFonts w:ascii="Courier New" w:cs="Courier New" w:eastAsia="Courier New" w:hAnsi="Courier New"/>
                <w:sz w:val="12"/>
                <w:szCs w:val="12"/>
                <w:color w:val="auto"/>
              </w:rPr>
              <w:t>if applicable) at least 50%</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7"/>
              </w:rPr>
              <w:t>(fifty</w:t>
            </w:r>
          </w:p>
        </w:tc>
        <w:tc>
          <w:tcPr>
            <w:tcW w:w="1400" w:type="dxa"/>
            <w:vAlign w:val="bottom"/>
            <w:gridSpan w:val="7"/>
          </w:tcPr>
          <w:p>
            <w:pPr>
              <w:ind w:left="140"/>
              <w:spacing w:after="0"/>
              <w:rPr>
                <w:sz w:val="20"/>
                <w:szCs w:val="20"/>
                <w:color w:val="auto"/>
              </w:rPr>
            </w:pPr>
            <w:r>
              <w:rPr>
                <w:rFonts w:ascii="Courier New" w:cs="Courier New" w:eastAsia="Courier New" w:hAnsi="Courier New"/>
                <w:sz w:val="12"/>
                <w:szCs w:val="12"/>
                <w:color w:val="auto"/>
              </w:rPr>
              <w:t>percent) of the</w:t>
            </w: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w w:val="98"/>
              </w:rPr>
              <w:t>principal</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the Loans</w:t>
            </w:r>
          </w:p>
        </w:tc>
        <w:tc>
          <w:tcPr>
            <w:tcW w:w="140" w:type="dxa"/>
            <w:vAlign w:val="bottom"/>
          </w:tcPr>
          <w:p>
            <w:pPr>
              <w:spacing w:after="0"/>
              <w:rPr>
                <w:sz w:val="12"/>
                <w:szCs w:val="12"/>
                <w:color w:val="auto"/>
              </w:rPr>
            </w:pPr>
          </w:p>
        </w:tc>
        <w:tc>
          <w:tcPr>
            <w:tcW w:w="2000" w:type="dxa"/>
            <w:vAlign w:val="bottom"/>
            <w:gridSpan w:val="10"/>
          </w:tcPr>
          <w:p>
            <w:pPr>
              <w:spacing w:after="0"/>
              <w:rPr>
                <w:sz w:val="20"/>
                <w:szCs w:val="20"/>
                <w:color w:val="auto"/>
              </w:rPr>
            </w:pPr>
            <w:r>
              <w:rPr>
                <w:rFonts w:ascii="Courier New" w:cs="Courier New" w:eastAsia="Courier New" w:hAnsi="Courier New"/>
                <w:sz w:val="12"/>
                <w:szCs w:val="12"/>
                <w:color w:val="auto"/>
              </w:rPr>
              <w:t>(together with all Interest</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gridSpan w:val="6"/>
          </w:tcPr>
          <w:p>
            <w:pPr>
              <w:ind w:left="80"/>
              <w:spacing w:after="0"/>
              <w:rPr>
                <w:sz w:val="20"/>
                <w:szCs w:val="20"/>
                <w:color w:val="auto"/>
              </w:rPr>
            </w:pPr>
            <w:r>
              <w:rPr>
                <w:rFonts w:ascii="Courier New" w:cs="Courier New" w:eastAsia="Courier New" w:hAnsi="Courier New"/>
                <w:sz w:val="12"/>
                <w:szCs w:val="12"/>
                <w:color w:val="auto"/>
                <w:w w:val="99"/>
              </w:rPr>
              <w:t>and other amounts</w:t>
            </w:r>
          </w:p>
        </w:tc>
        <w:tc>
          <w:tcPr>
            <w:tcW w:w="160" w:type="dxa"/>
            <w:vAlign w:val="bottom"/>
          </w:tcPr>
          <w:p>
            <w:pPr>
              <w:spacing w:after="0"/>
              <w:rPr>
                <w:sz w:val="12"/>
                <w:szCs w:val="12"/>
                <w:color w:val="auto"/>
              </w:rPr>
            </w:pPr>
          </w:p>
        </w:tc>
        <w:tc>
          <w:tcPr>
            <w:tcW w:w="1400" w:type="dxa"/>
            <w:vAlign w:val="bottom"/>
            <w:gridSpan w:val="7"/>
          </w:tcPr>
          <w:p>
            <w:pPr>
              <w:spacing w:after="0"/>
              <w:rPr>
                <w:sz w:val="20"/>
                <w:szCs w:val="20"/>
                <w:color w:val="auto"/>
              </w:rPr>
            </w:pPr>
            <w:r>
              <w:rPr>
                <w:rFonts w:ascii="Courier New" w:cs="Courier New" w:eastAsia="Courier New" w:hAnsi="Courier New"/>
                <w:sz w:val="12"/>
                <w:szCs w:val="12"/>
                <w:color w:val="auto"/>
              </w:rPr>
              <w:t>payable on such 50%</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7"/>
              </w:rPr>
              <w:t>(fifty</w:t>
            </w:r>
          </w:p>
        </w:tc>
        <w:tc>
          <w:tcPr>
            <w:tcW w:w="80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8"/>
              </w:rPr>
              <w:t>percent))</w:t>
            </w:r>
          </w:p>
        </w:tc>
        <w:tc>
          <w:tcPr>
            <w:tcW w:w="160" w:type="dxa"/>
            <w:vAlign w:val="bottom"/>
          </w:tcPr>
          <w:p>
            <w:pPr>
              <w:spacing w:after="0"/>
              <w:rPr>
                <w:sz w:val="12"/>
                <w:szCs w:val="12"/>
                <w:color w:val="auto"/>
              </w:rPr>
            </w:pPr>
          </w:p>
        </w:tc>
        <w:tc>
          <w:tcPr>
            <w:tcW w:w="1400" w:type="dxa"/>
            <w:vAlign w:val="bottom"/>
            <w:gridSpan w:val="7"/>
          </w:tcPr>
          <w:p>
            <w:pPr>
              <w:spacing w:after="0"/>
              <w:rPr>
                <w:sz w:val="20"/>
                <w:szCs w:val="20"/>
                <w:color w:val="auto"/>
              </w:rPr>
            </w:pPr>
            <w:r>
              <w:rPr>
                <w:rFonts w:ascii="Courier New" w:cs="Courier New" w:eastAsia="Courier New" w:hAnsi="Courier New"/>
                <w:sz w:val="12"/>
                <w:szCs w:val="12"/>
                <w:color w:val="auto"/>
              </w:rPr>
              <w:t>("THE FIFTY PERCENT</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REPAYMENT</w:t>
            </w:r>
          </w:p>
        </w:tc>
        <w:tc>
          <w:tcPr>
            <w:tcW w:w="14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DATE"),</w:t>
            </w:r>
          </w:p>
        </w:tc>
        <w:tc>
          <w:tcPr>
            <w:tcW w:w="1400" w:type="dxa"/>
            <w:vAlign w:val="bottom"/>
            <w:gridSpan w:val="7"/>
          </w:tcPr>
          <w:p>
            <w:pPr>
              <w:ind w:left="60"/>
              <w:spacing w:after="0"/>
              <w:rPr>
                <w:sz w:val="20"/>
                <w:szCs w:val="20"/>
                <w:color w:val="auto"/>
              </w:rPr>
            </w:pPr>
            <w:r>
              <w:rPr>
                <w:rFonts w:ascii="Courier New" w:cs="Courier New" w:eastAsia="Courier New" w:hAnsi="Courier New"/>
                <w:sz w:val="12"/>
                <w:szCs w:val="12"/>
                <w:color w:val="auto"/>
              </w:rPr>
              <w:t>TIC shall cease to</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hold</w:t>
            </w:r>
          </w:p>
        </w:tc>
        <w:tc>
          <w:tcPr>
            <w:tcW w:w="1680" w:type="dxa"/>
            <w:vAlign w:val="bottom"/>
            <w:gridSpan w:val="8"/>
          </w:tcPr>
          <w:p>
            <w:pPr>
              <w:spacing w:after="0"/>
              <w:rPr>
                <w:sz w:val="20"/>
                <w:szCs w:val="20"/>
                <w:color w:val="auto"/>
              </w:rPr>
            </w:pPr>
            <w:r>
              <w:rPr>
                <w:rFonts w:ascii="Courier New" w:cs="Courier New" w:eastAsia="Courier New" w:hAnsi="Courier New"/>
                <w:sz w:val="12"/>
                <w:szCs w:val="12"/>
                <w:color w:val="auto"/>
              </w:rPr>
              <w:t>(directly or indirectly</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through</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80" w:type="dxa"/>
            <w:vAlign w:val="bottom"/>
            <w:gridSpan w:val="14"/>
          </w:tcPr>
          <w:p>
            <w:pPr>
              <w:ind w:left="80"/>
              <w:spacing w:after="0"/>
              <w:rPr>
                <w:sz w:val="20"/>
                <w:szCs w:val="20"/>
                <w:color w:val="auto"/>
              </w:rPr>
            </w:pPr>
            <w:r>
              <w:rPr>
                <w:rFonts w:ascii="Courier New" w:cs="Courier New" w:eastAsia="Courier New" w:hAnsi="Courier New"/>
                <w:sz w:val="12"/>
                <w:szCs w:val="12"/>
                <w:color w:val="auto"/>
              </w:rPr>
              <w:t>Subsidiaries),  in  the  aggregate  at</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least 32,229,822</w:t>
            </w: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(thirty-two</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million</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two hundred and twenty-nine</w:t>
            </w:r>
          </w:p>
        </w:tc>
        <w:tc>
          <w:tcPr>
            <w:tcW w:w="68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thousand,</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eight</w:t>
            </w:r>
          </w:p>
        </w:tc>
        <w:tc>
          <w:tcPr>
            <w:tcW w:w="220" w:type="dxa"/>
            <w:vAlign w:val="bottom"/>
          </w:tcPr>
          <w:p>
            <w:pPr>
              <w:spacing w:after="0"/>
              <w:rPr>
                <w:sz w:val="12"/>
                <w:szCs w:val="12"/>
                <w:color w:val="auto"/>
              </w:rPr>
            </w:pP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rPr>
              <w:t>hundred</w:t>
            </w:r>
          </w:p>
        </w:tc>
        <w:tc>
          <w:tcPr>
            <w:tcW w:w="160" w:type="dxa"/>
            <w:vAlign w:val="bottom"/>
          </w:tcPr>
          <w:p>
            <w:pPr>
              <w:spacing w:after="0"/>
              <w:rPr>
                <w:sz w:val="12"/>
                <w:szCs w:val="12"/>
                <w:color w:val="auto"/>
              </w:rPr>
            </w:pPr>
          </w:p>
        </w:tc>
        <w:tc>
          <w:tcPr>
            <w:tcW w:w="44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and</w:t>
            </w:r>
          </w:p>
        </w:tc>
        <w:tc>
          <w:tcPr>
            <w:tcW w:w="96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twenty-two)</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ordinary</w:t>
            </w:r>
          </w:p>
        </w:tc>
        <w:tc>
          <w:tcPr>
            <w:tcW w:w="14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shares</w:t>
            </w:r>
          </w:p>
        </w:tc>
        <w:tc>
          <w:tcPr>
            <w:tcW w:w="16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Courier New" w:cs="Courier New" w:eastAsia="Courier New" w:hAnsi="Courier New"/>
                <w:sz w:val="12"/>
                <w:szCs w:val="12"/>
                <w:color w:val="auto"/>
                <w:w w:val="96"/>
              </w:rPr>
              <w:t>of</w:t>
            </w:r>
          </w:p>
        </w:tc>
        <w:tc>
          <w:tcPr>
            <w:tcW w:w="5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the</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Borrower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(and/or</w:t>
            </w:r>
          </w:p>
        </w:tc>
        <w:tc>
          <w:tcPr>
            <w:tcW w:w="960" w:type="dxa"/>
            <w:vAlign w:val="bottom"/>
            <w:gridSpan w:val="5"/>
          </w:tcPr>
          <w:p>
            <w:pPr>
              <w:spacing w:after="0"/>
              <w:rPr>
                <w:sz w:val="20"/>
                <w:szCs w:val="20"/>
                <w:color w:val="auto"/>
              </w:rPr>
            </w:pPr>
            <w:r>
              <w:rPr>
                <w:rFonts w:ascii="Courier New" w:cs="Courier New" w:eastAsia="Courier New" w:hAnsi="Courier New"/>
                <w:sz w:val="12"/>
                <w:szCs w:val="12"/>
                <w:color w:val="auto"/>
              </w:rPr>
              <w:t>convertible</w:t>
            </w:r>
          </w:p>
        </w:tc>
        <w:tc>
          <w:tcPr>
            <w:tcW w:w="1180" w:type="dxa"/>
            <w:vAlign w:val="bottom"/>
            <w:gridSpan w:val="6"/>
          </w:tcPr>
          <w:p>
            <w:pPr>
              <w:spacing w:after="0"/>
              <w:rPr>
                <w:sz w:val="20"/>
                <w:szCs w:val="20"/>
                <w:color w:val="auto"/>
              </w:rPr>
            </w:pPr>
            <w:r>
              <w:rPr>
                <w:rFonts w:ascii="Courier New" w:cs="Courier New" w:eastAsia="Courier New" w:hAnsi="Courier New"/>
                <w:sz w:val="12"/>
                <w:szCs w:val="12"/>
                <w:color w:val="auto"/>
              </w:rPr>
              <w:t>debentures which</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w w:val="92"/>
              </w:rPr>
              <w:t>are</w:t>
            </w:r>
          </w:p>
        </w:tc>
        <w:tc>
          <w:tcPr>
            <w:tcW w:w="102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convertible</w:t>
            </w: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into such</w:t>
            </w:r>
          </w:p>
        </w:tc>
        <w:tc>
          <w:tcPr>
            <w:tcW w:w="68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number of</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80" w:type="dxa"/>
            <w:vAlign w:val="bottom"/>
            <w:gridSpan w:val="14"/>
          </w:tcPr>
          <w:p>
            <w:pPr>
              <w:ind w:left="80"/>
              <w:spacing w:after="0"/>
              <w:rPr>
                <w:sz w:val="20"/>
                <w:szCs w:val="20"/>
                <w:color w:val="auto"/>
              </w:rPr>
            </w:pPr>
            <w:r>
              <w:rPr>
                <w:rFonts w:ascii="Courier New" w:cs="Courier New" w:eastAsia="Courier New" w:hAnsi="Courier New"/>
                <w:sz w:val="12"/>
                <w:szCs w:val="12"/>
                <w:color w:val="auto"/>
              </w:rPr>
              <w:t>ordinary shares of the Borrower); or</w:t>
            </w:r>
          </w:p>
        </w:tc>
      </w:tr>
      <w:tr>
        <w:trPr>
          <w:trHeight w:val="425"/>
        </w:trPr>
        <w:tc>
          <w:tcPr>
            <w:tcW w:w="1060" w:type="dxa"/>
            <w:vAlign w:val="bottom"/>
          </w:tcPr>
          <w:p>
            <w:pPr>
              <w:spacing w:after="0"/>
              <w:rPr>
                <w:sz w:val="24"/>
                <w:szCs w:val="24"/>
                <w:color w:val="auto"/>
              </w:rPr>
            </w:pPr>
          </w:p>
        </w:tc>
        <w:tc>
          <w:tcPr>
            <w:tcW w:w="2620" w:type="dxa"/>
            <w:vAlign w:val="bottom"/>
          </w:tcPr>
          <w:p>
            <w:pPr>
              <w:ind w:left="1660"/>
              <w:spacing w:after="0"/>
              <w:rPr>
                <w:sz w:val="20"/>
                <w:szCs w:val="20"/>
                <w:color w:val="auto"/>
              </w:rPr>
            </w:pPr>
            <w:r>
              <w:rPr>
                <w:rFonts w:ascii="Courier New" w:cs="Courier New" w:eastAsia="Courier New" w:hAnsi="Courier New"/>
                <w:sz w:val="12"/>
                <w:szCs w:val="12"/>
                <w:color w:val="auto"/>
              </w:rPr>
              <w:t>- 5 -</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(c)</w:t>
            </w: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at any time</w:t>
            </w:r>
          </w:p>
        </w:tc>
        <w:tc>
          <w:tcPr>
            <w:tcW w:w="820" w:type="dxa"/>
            <w:vAlign w:val="bottom"/>
            <w:gridSpan w:val="4"/>
          </w:tcPr>
          <w:p>
            <w:pPr>
              <w:ind w:left="160"/>
              <w:spacing w:after="0"/>
              <w:rPr>
                <w:sz w:val="20"/>
                <w:szCs w:val="20"/>
                <w:color w:val="auto"/>
              </w:rPr>
            </w:pPr>
            <w:r>
              <w:rPr>
                <w:rFonts w:ascii="Courier New" w:cs="Courier New" w:eastAsia="Courier New" w:hAnsi="Courier New"/>
                <w:sz w:val="12"/>
                <w:szCs w:val="12"/>
                <w:color w:val="auto"/>
                <w:w w:val="98"/>
              </w:rPr>
              <w:t>after the</w:t>
            </w:r>
          </w:p>
        </w:tc>
        <w:tc>
          <w:tcPr>
            <w:tcW w:w="50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4"/>
              </w:rPr>
              <w:t>Fifty</w:t>
            </w:r>
          </w:p>
        </w:tc>
        <w:tc>
          <w:tcPr>
            <w:tcW w:w="8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Percent</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Repayment</w:t>
            </w:r>
          </w:p>
        </w:tc>
        <w:tc>
          <w:tcPr>
            <w:tcW w:w="14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Date,</w:t>
            </w:r>
          </w:p>
        </w:tc>
        <w:tc>
          <w:tcPr>
            <w:tcW w:w="3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TIC</w:t>
            </w:r>
          </w:p>
        </w:tc>
        <w:tc>
          <w:tcPr>
            <w:tcW w:w="50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shall</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cease to</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hold</w:t>
            </w:r>
          </w:p>
        </w:tc>
        <w:tc>
          <w:tcPr>
            <w:tcW w:w="1680" w:type="dxa"/>
            <w:vAlign w:val="bottom"/>
            <w:gridSpan w:val="8"/>
          </w:tcPr>
          <w:p>
            <w:pPr>
              <w:spacing w:after="0"/>
              <w:rPr>
                <w:sz w:val="20"/>
                <w:szCs w:val="20"/>
                <w:color w:val="auto"/>
              </w:rPr>
            </w:pPr>
            <w:r>
              <w:rPr>
                <w:rFonts w:ascii="Courier New" w:cs="Courier New" w:eastAsia="Courier New" w:hAnsi="Courier New"/>
                <w:sz w:val="12"/>
                <w:szCs w:val="12"/>
                <w:color w:val="auto"/>
              </w:rPr>
              <w:t>(directly or indirectly</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through</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80" w:type="dxa"/>
            <w:vAlign w:val="bottom"/>
            <w:gridSpan w:val="14"/>
          </w:tcPr>
          <w:p>
            <w:pPr>
              <w:ind w:left="80"/>
              <w:spacing w:after="0"/>
              <w:rPr>
                <w:sz w:val="20"/>
                <w:szCs w:val="20"/>
                <w:color w:val="auto"/>
              </w:rPr>
            </w:pPr>
            <w:r>
              <w:rPr>
                <w:rFonts w:ascii="Courier New" w:cs="Courier New" w:eastAsia="Courier New" w:hAnsi="Courier New"/>
                <w:sz w:val="12"/>
                <w:szCs w:val="12"/>
                <w:color w:val="auto"/>
              </w:rPr>
              <w:t>Subsidiaries),  in  the  aggregate  at</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least</w:t>
            </w:r>
          </w:p>
        </w:tc>
        <w:tc>
          <w:tcPr>
            <w:tcW w:w="800" w:type="dxa"/>
            <w:vAlign w:val="bottom"/>
            <w:gridSpan w:val="4"/>
          </w:tcPr>
          <w:p>
            <w:pPr>
              <w:ind w:left="60"/>
              <w:spacing w:after="0"/>
              <w:rPr>
                <w:sz w:val="20"/>
                <w:szCs w:val="20"/>
                <w:color w:val="auto"/>
              </w:rPr>
            </w:pPr>
            <w:r>
              <w:rPr>
                <w:rFonts w:ascii="Courier New" w:cs="Courier New" w:eastAsia="Courier New" w:hAnsi="Courier New"/>
                <w:sz w:val="12"/>
                <w:szCs w:val="12"/>
                <w:color w:val="auto"/>
                <w:w w:val="99"/>
              </w:rPr>
              <w:t>14,048,004</w:t>
            </w:r>
          </w:p>
        </w:tc>
        <w:tc>
          <w:tcPr>
            <w:tcW w:w="160" w:type="dxa"/>
            <w:vAlign w:val="bottom"/>
          </w:tcPr>
          <w:p>
            <w:pPr>
              <w:spacing w:after="0"/>
              <w:rPr>
                <w:sz w:val="12"/>
                <w:szCs w:val="12"/>
                <w:color w:val="auto"/>
              </w:rPr>
            </w:pPr>
          </w:p>
        </w:tc>
        <w:tc>
          <w:tcPr>
            <w:tcW w:w="720" w:type="dxa"/>
            <w:vAlign w:val="bottom"/>
            <w:gridSpan w:val="3"/>
          </w:tcPr>
          <w:p>
            <w:pPr>
              <w:spacing w:after="0"/>
              <w:rPr>
                <w:sz w:val="20"/>
                <w:szCs w:val="20"/>
                <w:color w:val="auto"/>
              </w:rPr>
            </w:pPr>
            <w:r>
              <w:rPr>
                <w:rFonts w:ascii="Courier New" w:cs="Courier New" w:eastAsia="Courier New" w:hAnsi="Courier New"/>
                <w:sz w:val="12"/>
                <w:szCs w:val="12"/>
                <w:color w:val="auto"/>
              </w:rPr>
              <w:t>(fourteen</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million,</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forty-eight</w:t>
            </w:r>
          </w:p>
        </w:tc>
        <w:tc>
          <w:tcPr>
            <w:tcW w:w="300" w:type="dxa"/>
            <w:vAlign w:val="bottom"/>
          </w:tcPr>
          <w:p>
            <w:pPr>
              <w:spacing w:after="0"/>
              <w:rPr>
                <w:sz w:val="12"/>
                <w:szCs w:val="12"/>
                <w:color w:val="auto"/>
              </w:rPr>
            </w:pP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thousand</w:t>
            </w:r>
          </w:p>
        </w:tc>
        <w:tc>
          <w:tcPr>
            <w:tcW w:w="36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2"/>
              </w:rPr>
              <w:t>and</w:t>
            </w:r>
          </w:p>
        </w:tc>
        <w:tc>
          <w:tcPr>
            <w:tcW w:w="22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four)</w:t>
            </w:r>
          </w:p>
        </w:tc>
      </w:tr>
    </w:tbl>
    <w:p>
      <w:pPr>
        <w:sectPr>
          <w:pgSz w:w="11900" w:h="16846" w:orient="portrait"/>
          <w:cols w:equalWidth="0" w:num="1">
            <w:col w:w="10239"/>
          </w:cols>
          <w:pgMar w:left="220" w:top="141" w:right="1440" w:bottom="0" w:gutter="0" w:footer="0" w:header="0"/>
        </w:sectPr>
      </w:pPr>
    </w:p>
    <w:bookmarkStart w:id="76" w:name="page77"/>
    <w:bookmarkEnd w:id="76"/>
    <w:p>
      <w:pPr>
        <w:spacing w:after="0" w:line="24" w:lineRule="exact"/>
        <w:rPr>
          <w:sz w:val="20"/>
          <w:szCs w:val="20"/>
          <w:color w:val="auto"/>
        </w:rPr>
      </w:pPr>
    </w:p>
    <w:p>
      <w:pPr>
        <w:ind w:left="3640"/>
        <w:spacing w:after="0"/>
        <w:rPr>
          <w:sz w:val="20"/>
          <w:szCs w:val="20"/>
          <w:color w:val="auto"/>
        </w:rPr>
      </w:pPr>
      <w:r>
        <w:rPr>
          <w:rFonts w:ascii="Courier New" w:cs="Courier New" w:eastAsia="Courier New" w:hAnsi="Courier New"/>
          <w:sz w:val="12"/>
          <w:szCs w:val="12"/>
          <w:color w:val="auto"/>
        </w:rPr>
        <w:t>ordinary shares of the Borrower; or</w:t>
      </w:r>
    </w:p>
    <w:p>
      <w:pPr>
        <w:spacing w:after="0" w:line="147" w:lineRule="exact"/>
        <w:rPr>
          <w:sz w:val="20"/>
          <w:szCs w:val="20"/>
          <w:color w:val="auto"/>
        </w:rPr>
      </w:pPr>
    </w:p>
    <w:p>
      <w:pPr>
        <w:jc w:val="both"/>
        <w:ind w:left="3640" w:right="2579" w:hanging="521"/>
        <w:spacing w:after="0" w:line="249" w:lineRule="auto"/>
        <w:tabs>
          <w:tab w:leader="none" w:pos="3640" w:val="left"/>
        </w:tabs>
        <w:numPr>
          <w:ilvl w:val="0"/>
          <w:numId w:val="8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at any time, the aggregate number of shares of the Borrower held by the Lead Investors (other than TIC) shall at any time be less than 60% (sixty percent) of the aggregate number of shares in the Borrower held by the Lead Investors (other than TIC) on January 29, 2006, save for the sale of shares in the Borrower, during a period commencing on January 29, 2004, by any of the Lead Investors (other than TIC) in an aggregate amount equal to 30% (thirty percent) of the shares in the Borrower held by such Lead Investor on January 29,</w:t>
      </w:r>
    </w:p>
    <w:p>
      <w:pPr>
        <w:spacing w:after="0" w:line="8" w:lineRule="exact"/>
        <w:rPr>
          <w:rFonts w:ascii="Courier New" w:cs="Courier New" w:eastAsia="Courier New" w:hAnsi="Courier New"/>
          <w:sz w:val="12"/>
          <w:szCs w:val="12"/>
          <w:color w:val="auto"/>
        </w:rPr>
      </w:pPr>
    </w:p>
    <w:p>
      <w:pPr>
        <w:jc w:val="both"/>
        <w:ind w:left="3640" w:right="257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2004 ("THE COMMITTED MINIMUM SHAREHOLDINGS"), or, in the event only that during any Quarter during such period the average sales per month made by the Borrower of wafers produced during such Quarter in Fab 2 equals or exceeds 24,000 (twenty-four thousand), then thereafter 50% (fifty percent) of the Committed Minimum Shareholdings; provided that, in the event that for any Quarter during the period commencing on January 1, 2006 the Net Debt of the Borrower shall be less than: (i) US $250,000,000 (two hundred and fifty million United States Dollars), then, thereafter, this paragraph (d) shall read as follows:</w:t>
      </w:r>
    </w:p>
    <w:p>
      <w:pPr>
        <w:spacing w:after="0" w:line="283"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- 6 -</w:t>
      </w:r>
    </w:p>
    <w:p>
      <w:pPr>
        <w:spacing w:after="0" w:line="200" w:lineRule="exact"/>
        <w:rPr>
          <w:sz w:val="20"/>
          <w:szCs w:val="20"/>
          <w:color w:val="auto"/>
        </w:rPr>
      </w:pPr>
    </w:p>
    <w:p>
      <w:pPr>
        <w:spacing w:after="0" w:line="353" w:lineRule="exact"/>
        <w:rPr>
          <w:sz w:val="20"/>
          <w:szCs w:val="20"/>
          <w:color w:val="auto"/>
        </w:rPr>
      </w:pPr>
    </w:p>
    <w:p>
      <w:pPr>
        <w:ind w:left="3920"/>
        <w:spacing w:after="0"/>
        <w:tabs>
          <w:tab w:leader="none" w:pos="4280" w:val="left"/>
          <w:tab w:leader="none" w:pos="4640" w:val="left"/>
          <w:tab w:leader="none" w:pos="5080" w:val="left"/>
          <w:tab w:leader="none" w:pos="5520" w:val="left"/>
        </w:tabs>
        <w:rPr>
          <w:sz w:val="20"/>
          <w:szCs w:val="20"/>
          <w:color w:val="auto"/>
        </w:rPr>
      </w:pPr>
      <w:r>
        <w:rPr>
          <w:rFonts w:ascii="Courier New" w:cs="Courier New" w:eastAsia="Courier New" w:hAnsi="Courier New"/>
          <w:sz w:val="12"/>
          <w:szCs w:val="12"/>
          <w:color w:val="auto"/>
        </w:rPr>
        <w:t>"at</w:t>
        <w:tab/>
        <w:t>any</w:t>
        <w:tab/>
        <w:t>time</w:t>
        <w:tab/>
        <w:t>the</w:t>
        <w:tab/>
        <w:t>aggregate</w:t>
      </w:r>
    </w:p>
    <w:p>
      <w:pPr>
        <w:spacing w:after="0" w:line="6" w:lineRule="exact"/>
        <w:rPr>
          <w:sz w:val="20"/>
          <w:szCs w:val="20"/>
          <w:color w:val="auto"/>
        </w:rPr>
      </w:pPr>
    </w:p>
    <w:p>
      <w:pPr>
        <w:ind w:left="3920"/>
        <w:spacing w:after="0"/>
        <w:tabs>
          <w:tab w:leader="none" w:pos="4580" w:val="left"/>
          <w:tab w:leader="none" w:pos="4940" w:val="left"/>
          <w:tab w:leader="none" w:pos="5600" w:val="left"/>
          <w:tab w:leader="none" w:pos="5980" w:val="left"/>
        </w:tabs>
        <w:rPr>
          <w:sz w:val="20"/>
          <w:szCs w:val="20"/>
          <w:color w:val="auto"/>
        </w:rPr>
      </w:pPr>
      <w:r>
        <w:rPr>
          <w:rFonts w:ascii="Courier New" w:cs="Courier New" w:eastAsia="Courier New" w:hAnsi="Courier New"/>
          <w:sz w:val="12"/>
          <w:szCs w:val="12"/>
          <w:color w:val="auto"/>
        </w:rPr>
        <w:t>number</w:t>
        <w:tab/>
        <w:t>of</w:t>
        <w:tab/>
        <w:t>shares</w:t>
        <w:tab/>
        <w:t>of</w:t>
      </w:r>
      <w:r>
        <w:rPr>
          <w:sz w:val="20"/>
          <w:szCs w:val="20"/>
          <w:color w:val="auto"/>
        </w:rPr>
        <w:tab/>
      </w:r>
      <w:r>
        <w:rPr>
          <w:rFonts w:ascii="Courier New" w:cs="Courier New" w:eastAsia="Courier New" w:hAnsi="Courier New"/>
          <w:sz w:val="12"/>
          <w:szCs w:val="12"/>
          <w:color w:val="auto"/>
        </w:rPr>
        <w:t>the</w:t>
      </w:r>
    </w:p>
    <w:p>
      <w:pPr>
        <w:spacing w:after="0" w:line="6" w:lineRule="exact"/>
        <w:rPr>
          <w:sz w:val="20"/>
          <w:szCs w:val="20"/>
          <w:color w:val="auto"/>
        </w:rPr>
      </w:pPr>
    </w:p>
    <w:p>
      <w:pPr>
        <w:ind w:left="3920"/>
        <w:spacing w:after="0"/>
        <w:tabs>
          <w:tab w:leader="none" w:pos="4720" w:val="left"/>
          <w:tab w:leader="none" w:pos="5160" w:val="left"/>
          <w:tab w:leader="none" w:pos="5460" w:val="left"/>
          <w:tab w:leader="none" w:pos="5900" w:val="left"/>
        </w:tabs>
        <w:rPr>
          <w:sz w:val="20"/>
          <w:szCs w:val="20"/>
          <w:color w:val="auto"/>
        </w:rPr>
      </w:pPr>
      <w:r>
        <w:rPr>
          <w:rFonts w:ascii="Courier New" w:cs="Courier New" w:eastAsia="Courier New" w:hAnsi="Courier New"/>
          <w:sz w:val="12"/>
          <w:szCs w:val="12"/>
          <w:color w:val="auto"/>
        </w:rPr>
        <w:t>Borrower</w:t>
        <w:tab/>
        <w:t>held</w:t>
        <w:tab/>
        <w:t>by</w:t>
        <w:tab/>
        <w:t>the</w:t>
        <w:tab/>
        <w:t>Lead</w:t>
      </w:r>
    </w:p>
    <w:p>
      <w:pPr>
        <w:spacing w:after="0" w:line="6" w:lineRule="exact"/>
        <w:rPr>
          <w:sz w:val="20"/>
          <w:szCs w:val="20"/>
          <w:color w:val="auto"/>
        </w:rPr>
      </w:pPr>
    </w:p>
    <w:p>
      <w:pPr>
        <w:ind w:left="3920"/>
        <w:spacing w:after="0"/>
        <w:tabs>
          <w:tab w:leader="none" w:pos="4800" w:val="left"/>
          <w:tab w:leader="none" w:pos="5460" w:val="left"/>
          <w:tab w:leader="none" w:pos="5900" w:val="left"/>
        </w:tabs>
        <w:rPr>
          <w:sz w:val="20"/>
          <w:szCs w:val="20"/>
          <w:color w:val="auto"/>
        </w:rPr>
      </w:pPr>
      <w:r>
        <w:rPr>
          <w:rFonts w:ascii="Courier New" w:cs="Courier New" w:eastAsia="Courier New" w:hAnsi="Courier New"/>
          <w:sz w:val="12"/>
          <w:szCs w:val="12"/>
          <w:color w:val="auto"/>
        </w:rPr>
        <w:t>Investors</w:t>
        <w:tab/>
        <w:t>(other</w:t>
        <w:tab/>
        <w:t>than</w:t>
        <w:tab/>
        <w:t>TIC)</w:t>
      </w:r>
    </w:p>
    <w:p>
      <w:pPr>
        <w:spacing w:after="0" w:line="6" w:lineRule="exact"/>
        <w:rPr>
          <w:sz w:val="20"/>
          <w:szCs w:val="20"/>
          <w:color w:val="auto"/>
        </w:rPr>
      </w:pPr>
    </w:p>
    <w:p>
      <w:pPr>
        <w:ind w:left="3920"/>
        <w:spacing w:after="0"/>
        <w:tabs>
          <w:tab w:leader="none" w:pos="5900" w:val="left"/>
        </w:tabs>
        <w:rPr>
          <w:sz w:val="20"/>
          <w:szCs w:val="20"/>
          <w:color w:val="auto"/>
        </w:rPr>
      </w:pPr>
      <w:r>
        <w:rPr>
          <w:rFonts w:ascii="Courier New" w:cs="Courier New" w:eastAsia="Courier New" w:hAnsi="Courier New"/>
          <w:sz w:val="12"/>
          <w:szCs w:val="12"/>
          <w:color w:val="auto"/>
        </w:rPr>
        <w:t>shall at any time be less</w:t>
        <w:tab/>
        <w:t>than</w:t>
      </w:r>
    </w:p>
    <w:p>
      <w:pPr>
        <w:spacing w:after="0" w:line="6" w:lineRule="exact"/>
        <w:rPr>
          <w:sz w:val="20"/>
          <w:szCs w:val="20"/>
          <w:color w:val="auto"/>
        </w:rPr>
      </w:pPr>
    </w:p>
    <w:p>
      <w:pPr>
        <w:ind w:left="3920"/>
        <w:spacing w:after="0"/>
        <w:tabs>
          <w:tab w:leader="none" w:pos="4280" w:val="left"/>
          <w:tab w:leader="none" w:pos="4940" w:val="left"/>
          <w:tab w:leader="none" w:pos="5680" w:val="left"/>
          <w:tab w:leader="none" w:pos="5980" w:val="left"/>
        </w:tabs>
        <w:rPr>
          <w:sz w:val="20"/>
          <w:szCs w:val="20"/>
          <w:color w:val="auto"/>
        </w:rPr>
      </w:pPr>
      <w:r>
        <w:rPr>
          <w:rFonts w:ascii="Courier New" w:cs="Courier New" w:eastAsia="Courier New" w:hAnsi="Courier New"/>
          <w:sz w:val="12"/>
          <w:szCs w:val="12"/>
          <w:color w:val="auto"/>
        </w:rPr>
        <w:t>40%</w:t>
        <w:tab/>
        <w:t>(forty</w:t>
        <w:tab/>
        <w:t>percent)</w:t>
        <w:tab/>
        <w:t>of</w:t>
        <w:tab/>
        <w:t>the</w:t>
      </w:r>
    </w:p>
    <w:p>
      <w:pPr>
        <w:spacing w:after="0" w:line="6" w:lineRule="exact"/>
        <w:rPr>
          <w:sz w:val="20"/>
          <w:szCs w:val="20"/>
          <w:color w:val="auto"/>
        </w:rPr>
      </w:pPr>
    </w:p>
    <w:p>
      <w:pPr>
        <w:ind w:left="3920"/>
        <w:spacing w:after="0"/>
        <w:tabs>
          <w:tab w:leader="none" w:pos="4720" w:val="left"/>
          <w:tab w:leader="none" w:pos="5300" w:val="left"/>
        </w:tabs>
        <w:rPr>
          <w:sz w:val="20"/>
          <w:szCs w:val="20"/>
          <w:color w:val="auto"/>
        </w:rPr>
      </w:pPr>
      <w:r>
        <w:rPr>
          <w:rFonts w:ascii="Courier New" w:cs="Courier New" w:eastAsia="Courier New" w:hAnsi="Courier New"/>
          <w:sz w:val="12"/>
          <w:szCs w:val="12"/>
          <w:color w:val="auto"/>
        </w:rPr>
        <w:t>aggregate</w:t>
        <w:tab/>
        <w:t>number</w:t>
        <w:tab/>
        <w:t>of shares in</w:t>
      </w:r>
    </w:p>
    <w:p>
      <w:pPr>
        <w:spacing w:after="0" w:line="6" w:lineRule="exact"/>
        <w:rPr>
          <w:sz w:val="20"/>
          <w:szCs w:val="20"/>
          <w:color w:val="auto"/>
        </w:rPr>
      </w:pPr>
    </w:p>
    <w:p>
      <w:pPr>
        <w:ind w:left="3920"/>
        <w:spacing w:after="0"/>
        <w:tabs>
          <w:tab w:leader="none" w:pos="4280" w:val="left"/>
          <w:tab w:leader="none" w:pos="5020" w:val="left"/>
        </w:tabs>
        <w:rPr>
          <w:sz w:val="20"/>
          <w:szCs w:val="20"/>
          <w:color w:val="auto"/>
        </w:rPr>
      </w:pPr>
      <w:r>
        <w:rPr>
          <w:rFonts w:ascii="Courier New" w:cs="Courier New" w:eastAsia="Courier New" w:hAnsi="Courier New"/>
          <w:sz w:val="12"/>
          <w:szCs w:val="12"/>
          <w:color w:val="auto"/>
        </w:rPr>
        <w:t>the</w:t>
        <w:tab/>
        <w:t>Borrower</w:t>
        <w:tab/>
        <w:t>held by the Lead</w:t>
      </w:r>
    </w:p>
    <w:p>
      <w:pPr>
        <w:spacing w:after="0" w:line="6" w:lineRule="exact"/>
        <w:rPr>
          <w:sz w:val="20"/>
          <w:szCs w:val="20"/>
          <w:color w:val="auto"/>
        </w:rPr>
      </w:pPr>
    </w:p>
    <w:p>
      <w:pPr>
        <w:ind w:left="3920"/>
        <w:spacing w:after="0"/>
        <w:tabs>
          <w:tab w:leader="none" w:pos="4720" w:val="left"/>
          <w:tab w:leader="none" w:pos="5300" w:val="left"/>
        </w:tabs>
        <w:rPr>
          <w:sz w:val="20"/>
          <w:szCs w:val="20"/>
          <w:color w:val="auto"/>
        </w:rPr>
      </w:pPr>
      <w:r>
        <w:rPr>
          <w:rFonts w:ascii="Courier New" w:cs="Courier New" w:eastAsia="Courier New" w:hAnsi="Courier New"/>
          <w:sz w:val="12"/>
          <w:szCs w:val="12"/>
          <w:color w:val="auto"/>
        </w:rPr>
        <w:t>Investors</w:t>
        <w:tab/>
        <w:t>(other</w:t>
        <w:tab/>
        <w:t>than TIC) on</w:t>
      </w:r>
    </w:p>
    <w:p>
      <w:pPr>
        <w:spacing w:after="0" w:line="6" w:lineRule="exact"/>
        <w:rPr>
          <w:sz w:val="20"/>
          <w:szCs w:val="20"/>
          <w:color w:val="auto"/>
        </w:rPr>
      </w:pPr>
    </w:p>
    <w:p>
      <w:pPr>
        <w:ind w:left="3920"/>
        <w:spacing w:after="0"/>
        <w:tabs>
          <w:tab w:leader="none" w:pos="4860" w:val="left"/>
        </w:tabs>
        <w:rPr>
          <w:sz w:val="20"/>
          <w:szCs w:val="20"/>
          <w:color w:val="auto"/>
        </w:rPr>
      </w:pPr>
      <w:r>
        <w:rPr>
          <w:rFonts w:ascii="Courier New" w:cs="Courier New" w:eastAsia="Courier New" w:hAnsi="Courier New"/>
          <w:sz w:val="12"/>
          <w:szCs w:val="12"/>
          <w:color w:val="auto"/>
        </w:rPr>
        <w:t>January 29,</w:t>
        <w:tab/>
        <w:t>2006, save for the</w:t>
      </w:r>
    </w:p>
    <w:p>
      <w:pPr>
        <w:spacing w:after="0" w:line="6" w:lineRule="exact"/>
        <w:rPr>
          <w:sz w:val="20"/>
          <w:szCs w:val="20"/>
          <w:color w:val="auto"/>
        </w:rPr>
      </w:pPr>
    </w:p>
    <w:p>
      <w:pPr>
        <w:ind w:left="3920"/>
        <w:spacing w:after="0"/>
        <w:tabs>
          <w:tab w:leader="none" w:pos="4420" w:val="left"/>
          <w:tab w:leader="none" w:pos="4860" w:val="left"/>
          <w:tab w:leader="none" w:pos="5600" w:val="left"/>
          <w:tab w:leader="none" w:pos="5980" w:val="left"/>
        </w:tabs>
        <w:rPr>
          <w:sz w:val="20"/>
          <w:szCs w:val="20"/>
          <w:color w:val="auto"/>
        </w:rPr>
      </w:pPr>
      <w:r>
        <w:rPr>
          <w:rFonts w:ascii="Courier New" w:cs="Courier New" w:eastAsia="Courier New" w:hAnsi="Courier New"/>
          <w:sz w:val="12"/>
          <w:szCs w:val="12"/>
          <w:color w:val="auto"/>
        </w:rPr>
        <w:t>sale</w:t>
        <w:tab/>
        <w:t>of</w:t>
      </w:r>
      <w:r>
        <w:rPr>
          <w:sz w:val="20"/>
          <w:szCs w:val="20"/>
          <w:color w:val="auto"/>
        </w:rPr>
        <w:tab/>
      </w:r>
      <w:r>
        <w:rPr>
          <w:rFonts w:ascii="Courier New" w:cs="Courier New" w:eastAsia="Courier New" w:hAnsi="Courier New"/>
          <w:sz w:val="12"/>
          <w:szCs w:val="12"/>
          <w:color w:val="auto"/>
        </w:rPr>
        <w:t>shares</w:t>
      </w:r>
      <w:r>
        <w:rPr>
          <w:sz w:val="20"/>
          <w:szCs w:val="20"/>
          <w:color w:val="auto"/>
        </w:rPr>
        <w:tab/>
      </w:r>
      <w:r>
        <w:rPr>
          <w:rFonts w:ascii="Courier New" w:cs="Courier New" w:eastAsia="Courier New" w:hAnsi="Courier New"/>
          <w:sz w:val="12"/>
          <w:szCs w:val="12"/>
          <w:color w:val="auto"/>
        </w:rPr>
        <w:t>in</w:t>
      </w:r>
      <w:r>
        <w:rPr>
          <w:sz w:val="20"/>
          <w:szCs w:val="20"/>
          <w:color w:val="auto"/>
        </w:rPr>
        <w:tab/>
      </w:r>
      <w:r>
        <w:rPr>
          <w:rFonts w:ascii="Courier New" w:cs="Courier New" w:eastAsia="Courier New" w:hAnsi="Courier New"/>
          <w:sz w:val="12"/>
          <w:szCs w:val="12"/>
          <w:color w:val="auto"/>
        </w:rPr>
        <w:t>the</w:t>
      </w:r>
    </w:p>
    <w:p>
      <w:pPr>
        <w:spacing w:after="0" w:line="6" w:lineRule="exact"/>
        <w:rPr>
          <w:sz w:val="20"/>
          <w:szCs w:val="20"/>
          <w:color w:val="auto"/>
        </w:rPr>
      </w:pPr>
    </w:p>
    <w:p>
      <w:pPr>
        <w:ind w:left="3920"/>
        <w:spacing w:after="0"/>
        <w:tabs>
          <w:tab w:leader="none" w:pos="4800" w:val="left"/>
          <w:tab w:leader="none" w:pos="5460" w:val="left"/>
          <w:tab w:leader="none" w:pos="5740" w:val="left"/>
        </w:tabs>
        <w:rPr>
          <w:sz w:val="20"/>
          <w:szCs w:val="20"/>
          <w:color w:val="auto"/>
        </w:rPr>
      </w:pPr>
      <w:r>
        <w:rPr>
          <w:rFonts w:ascii="Courier New" w:cs="Courier New" w:eastAsia="Courier New" w:hAnsi="Courier New"/>
          <w:sz w:val="12"/>
          <w:szCs w:val="12"/>
          <w:color w:val="auto"/>
        </w:rPr>
        <w:t>Borrower,</w:t>
        <w:tab/>
        <w:t>during</w:t>
        <w:tab/>
        <w:t>a</w:t>
        <w:tab/>
        <w:t>period</w:t>
      </w:r>
    </w:p>
    <w:p>
      <w:pPr>
        <w:spacing w:after="0" w:line="6" w:lineRule="exact"/>
        <w:rPr>
          <w:sz w:val="20"/>
          <w:szCs w:val="20"/>
          <w:color w:val="auto"/>
        </w:rPr>
      </w:pPr>
    </w:p>
    <w:p>
      <w:pPr>
        <w:ind w:left="3920"/>
        <w:spacing w:after="0"/>
        <w:tabs>
          <w:tab w:leader="none" w:pos="4940" w:val="left"/>
          <w:tab w:leader="none" w:pos="5380" w:val="left"/>
        </w:tabs>
        <w:rPr>
          <w:sz w:val="20"/>
          <w:szCs w:val="20"/>
          <w:color w:val="auto"/>
        </w:rPr>
      </w:pPr>
      <w:r>
        <w:rPr>
          <w:rFonts w:ascii="Courier New" w:cs="Courier New" w:eastAsia="Courier New" w:hAnsi="Courier New"/>
          <w:sz w:val="12"/>
          <w:szCs w:val="12"/>
          <w:color w:val="auto"/>
        </w:rPr>
        <w:t>commencing</w:t>
      </w:r>
      <w:r>
        <w:rPr>
          <w:sz w:val="20"/>
          <w:szCs w:val="20"/>
          <w:color w:val="auto"/>
        </w:rPr>
        <w:tab/>
      </w:r>
      <w:r>
        <w:rPr>
          <w:rFonts w:ascii="Courier New" w:cs="Courier New" w:eastAsia="Courier New" w:hAnsi="Courier New"/>
          <w:sz w:val="12"/>
          <w:szCs w:val="12"/>
          <w:color w:val="auto"/>
        </w:rPr>
        <w:t>on</w:t>
      </w:r>
      <w:r>
        <w:rPr>
          <w:sz w:val="20"/>
          <w:szCs w:val="20"/>
          <w:color w:val="auto"/>
        </w:rPr>
        <w:tab/>
      </w:r>
      <w:r>
        <w:rPr>
          <w:rFonts w:ascii="Courier New" w:cs="Courier New" w:eastAsia="Courier New" w:hAnsi="Courier New"/>
          <w:sz w:val="12"/>
          <w:szCs w:val="12"/>
          <w:color w:val="auto"/>
        </w:rPr>
        <w:t>January 29,</w:t>
      </w:r>
    </w:p>
    <w:p>
      <w:pPr>
        <w:spacing w:after="0" w:line="6" w:lineRule="exact"/>
        <w:rPr>
          <w:sz w:val="20"/>
          <w:szCs w:val="20"/>
          <w:color w:val="auto"/>
        </w:rPr>
      </w:pPr>
    </w:p>
    <w:p>
      <w:pPr>
        <w:ind w:left="3920"/>
        <w:spacing w:after="0"/>
        <w:tabs>
          <w:tab w:leader="none" w:pos="4500" w:val="left"/>
          <w:tab w:leader="none" w:pos="4800" w:val="left"/>
          <w:tab w:leader="none" w:pos="5160" w:val="left"/>
          <w:tab w:leader="none" w:pos="5460" w:val="left"/>
          <w:tab w:leader="none" w:pos="5900" w:val="left"/>
        </w:tabs>
        <w:rPr>
          <w:sz w:val="20"/>
          <w:szCs w:val="20"/>
          <w:color w:val="auto"/>
        </w:rPr>
      </w:pPr>
      <w:r>
        <w:rPr>
          <w:rFonts w:ascii="Courier New" w:cs="Courier New" w:eastAsia="Courier New" w:hAnsi="Courier New"/>
          <w:sz w:val="12"/>
          <w:szCs w:val="12"/>
          <w:color w:val="auto"/>
        </w:rPr>
        <w:t>2004,</w:t>
        <w:tab/>
        <w:t>by</w:t>
        <w:tab/>
        <w:t>any</w:t>
        <w:tab/>
        <w:t>of</w:t>
        <w:tab/>
        <w:t>the</w:t>
        <w:tab/>
        <w:t>Lead</w:t>
      </w:r>
    </w:p>
    <w:p>
      <w:pPr>
        <w:spacing w:after="0" w:line="6" w:lineRule="exact"/>
        <w:rPr>
          <w:sz w:val="20"/>
          <w:szCs w:val="20"/>
          <w:color w:val="auto"/>
        </w:rPr>
      </w:pPr>
    </w:p>
    <w:p>
      <w:pPr>
        <w:ind w:left="3920"/>
        <w:spacing w:after="0"/>
        <w:tabs>
          <w:tab w:leader="none" w:pos="4720" w:val="left"/>
          <w:tab w:leader="none" w:pos="5300" w:val="left"/>
        </w:tabs>
        <w:rPr>
          <w:sz w:val="20"/>
          <w:szCs w:val="20"/>
          <w:color w:val="auto"/>
        </w:rPr>
      </w:pPr>
      <w:r>
        <w:rPr>
          <w:rFonts w:ascii="Courier New" w:cs="Courier New" w:eastAsia="Courier New" w:hAnsi="Courier New"/>
          <w:sz w:val="12"/>
          <w:szCs w:val="12"/>
          <w:color w:val="auto"/>
        </w:rPr>
        <w:t>Investors</w:t>
        <w:tab/>
        <w:t>(other</w:t>
        <w:tab/>
        <w:t>than TIC) in</w:t>
      </w:r>
    </w:p>
    <w:p>
      <w:pPr>
        <w:spacing w:after="0" w:line="6" w:lineRule="exact"/>
        <w:rPr>
          <w:sz w:val="20"/>
          <w:szCs w:val="20"/>
          <w:color w:val="auto"/>
        </w:rPr>
      </w:pPr>
    </w:p>
    <w:p>
      <w:pPr>
        <w:ind w:left="3920"/>
        <w:spacing w:after="0"/>
        <w:tabs>
          <w:tab w:leader="none" w:pos="4200" w:val="left"/>
          <w:tab w:leader="none" w:pos="5020" w:val="left"/>
          <w:tab w:leader="none" w:pos="5600" w:val="left"/>
        </w:tabs>
        <w:rPr>
          <w:sz w:val="20"/>
          <w:szCs w:val="20"/>
          <w:color w:val="auto"/>
        </w:rPr>
      </w:pPr>
      <w:r>
        <w:rPr>
          <w:rFonts w:ascii="Courier New" w:cs="Courier New" w:eastAsia="Courier New" w:hAnsi="Courier New"/>
          <w:sz w:val="12"/>
          <w:szCs w:val="12"/>
          <w:color w:val="auto"/>
        </w:rPr>
        <w:t>an</w:t>
        <w:tab/>
        <w:t>aggregate</w:t>
        <w:tab/>
        <w:t>amount</w:t>
        <w:tab/>
        <w:t>equal to</w:t>
      </w:r>
    </w:p>
    <w:p>
      <w:pPr>
        <w:spacing w:after="0" w:line="6" w:lineRule="exact"/>
        <w:rPr>
          <w:sz w:val="20"/>
          <w:szCs w:val="20"/>
          <w:color w:val="auto"/>
        </w:rPr>
      </w:pPr>
    </w:p>
    <w:p>
      <w:pPr>
        <w:ind w:left="3920"/>
        <w:spacing w:after="0"/>
        <w:tabs>
          <w:tab w:leader="none" w:pos="4280" w:val="left"/>
          <w:tab w:leader="none" w:pos="4940" w:val="left"/>
          <w:tab w:leader="none" w:pos="5680" w:val="left"/>
          <w:tab w:leader="none" w:pos="5980" w:val="left"/>
        </w:tabs>
        <w:rPr>
          <w:sz w:val="20"/>
          <w:szCs w:val="20"/>
          <w:color w:val="auto"/>
        </w:rPr>
      </w:pPr>
      <w:r>
        <w:rPr>
          <w:rFonts w:ascii="Courier New" w:cs="Courier New" w:eastAsia="Courier New" w:hAnsi="Courier New"/>
          <w:sz w:val="12"/>
          <w:szCs w:val="12"/>
          <w:color w:val="auto"/>
        </w:rPr>
        <w:t>30%</w:t>
        <w:tab/>
        <w:t>(thirty</w:t>
        <w:tab/>
        <w:t>percent)</w:t>
        <w:tab/>
        <w:t>of</w:t>
        <w:tab/>
        <w:t>the</w:t>
      </w:r>
    </w:p>
    <w:p>
      <w:pPr>
        <w:spacing w:after="0" w:line="6" w:lineRule="exact"/>
        <w:rPr>
          <w:sz w:val="20"/>
          <w:szCs w:val="20"/>
          <w:color w:val="auto"/>
        </w:rPr>
      </w:pPr>
    </w:p>
    <w:p>
      <w:pPr>
        <w:ind w:left="3920"/>
        <w:spacing w:after="0"/>
        <w:tabs>
          <w:tab w:leader="none" w:pos="5680" w:val="left"/>
        </w:tabs>
        <w:rPr>
          <w:sz w:val="20"/>
          <w:szCs w:val="20"/>
          <w:color w:val="auto"/>
        </w:rPr>
      </w:pPr>
      <w:r>
        <w:rPr>
          <w:rFonts w:ascii="Courier New" w:cs="Courier New" w:eastAsia="Courier New" w:hAnsi="Courier New"/>
          <w:sz w:val="12"/>
          <w:szCs w:val="12"/>
          <w:color w:val="auto"/>
        </w:rPr>
        <w:t>shares in the Borrower</w:t>
        <w:tab/>
        <w:t>held by</w:t>
      </w:r>
    </w:p>
    <w:p>
      <w:pPr>
        <w:spacing w:after="0" w:line="6" w:lineRule="exact"/>
        <w:rPr>
          <w:sz w:val="20"/>
          <w:szCs w:val="20"/>
          <w:color w:val="auto"/>
        </w:rPr>
      </w:pPr>
    </w:p>
    <w:p>
      <w:pPr>
        <w:ind w:left="3920"/>
        <w:spacing w:after="0"/>
        <w:tabs>
          <w:tab w:leader="none" w:pos="4500" w:val="left"/>
          <w:tab w:leader="none" w:pos="5160" w:val="left"/>
          <w:tab w:leader="none" w:pos="6040" w:val="left"/>
        </w:tabs>
        <w:rPr>
          <w:sz w:val="20"/>
          <w:szCs w:val="20"/>
          <w:color w:val="auto"/>
        </w:rPr>
      </w:pPr>
      <w:r>
        <w:rPr>
          <w:rFonts w:ascii="Courier New" w:cs="Courier New" w:eastAsia="Courier New" w:hAnsi="Courier New"/>
          <w:sz w:val="12"/>
          <w:szCs w:val="12"/>
          <w:color w:val="auto"/>
        </w:rPr>
        <w:t>such</w:t>
      </w:r>
      <w:r>
        <w:rPr>
          <w:sz w:val="20"/>
          <w:szCs w:val="20"/>
          <w:color w:val="auto"/>
        </w:rPr>
        <w:tab/>
      </w:r>
      <w:r>
        <w:rPr>
          <w:rFonts w:ascii="Courier New" w:cs="Courier New" w:eastAsia="Courier New" w:hAnsi="Courier New"/>
          <w:sz w:val="12"/>
          <w:szCs w:val="12"/>
          <w:color w:val="auto"/>
        </w:rPr>
        <w:t>Lead</w:t>
      </w:r>
      <w:r>
        <w:rPr>
          <w:sz w:val="20"/>
          <w:szCs w:val="20"/>
          <w:color w:val="auto"/>
        </w:rPr>
        <w:tab/>
      </w:r>
      <w:r>
        <w:rPr>
          <w:rFonts w:ascii="Courier New" w:cs="Courier New" w:eastAsia="Courier New" w:hAnsi="Courier New"/>
          <w:sz w:val="12"/>
          <w:szCs w:val="12"/>
          <w:color w:val="auto"/>
        </w:rPr>
        <w:t>Investor</w:t>
      </w:r>
      <w:r>
        <w:rPr>
          <w:sz w:val="20"/>
          <w:szCs w:val="20"/>
          <w:color w:val="auto"/>
        </w:rPr>
        <w:tab/>
      </w:r>
      <w:r>
        <w:rPr>
          <w:rFonts w:ascii="Courier New" w:cs="Courier New" w:eastAsia="Courier New" w:hAnsi="Courier New"/>
          <w:sz w:val="12"/>
          <w:szCs w:val="12"/>
          <w:color w:val="auto"/>
        </w:rPr>
        <w:t>on</w:t>
      </w:r>
    </w:p>
    <w:p>
      <w:pPr>
        <w:spacing w:after="0" w:line="6" w:lineRule="exact"/>
        <w:rPr>
          <w:sz w:val="20"/>
          <w:szCs w:val="20"/>
          <w:color w:val="auto"/>
        </w:rPr>
      </w:pPr>
    </w:p>
    <w:p>
      <w:pPr>
        <w:ind w:left="3920"/>
        <w:spacing w:after="0"/>
        <w:rPr>
          <w:sz w:val="20"/>
          <w:szCs w:val="20"/>
          <w:color w:val="auto"/>
        </w:rPr>
      </w:pPr>
      <w:r>
        <w:rPr>
          <w:rFonts w:ascii="Courier New" w:cs="Courier New" w:eastAsia="Courier New" w:hAnsi="Courier New"/>
          <w:sz w:val="12"/>
          <w:szCs w:val="12"/>
          <w:color w:val="auto"/>
        </w:rPr>
        <w:t>January 29, 2004;"</w:t>
      </w:r>
    </w:p>
    <w:p>
      <w:pPr>
        <w:spacing w:after="0" w:line="147" w:lineRule="exact"/>
        <w:rPr>
          <w:sz w:val="20"/>
          <w:szCs w:val="20"/>
          <w:color w:val="auto"/>
        </w:rPr>
      </w:pPr>
    </w:p>
    <w:p>
      <w:pPr>
        <w:ind w:left="3640"/>
        <w:spacing w:after="0"/>
        <w:tabs>
          <w:tab w:leader="none" w:pos="3900" w:val="left"/>
          <w:tab w:leader="none" w:pos="5520" w:val="left"/>
        </w:tabs>
        <w:rPr>
          <w:sz w:val="20"/>
          <w:szCs w:val="20"/>
          <w:color w:val="auto"/>
        </w:rPr>
      </w:pPr>
      <w:r>
        <w:rPr>
          <w:rFonts w:ascii="Courier New" w:cs="Courier New" w:eastAsia="Courier New" w:hAnsi="Courier New"/>
          <w:sz w:val="12"/>
          <w:szCs w:val="12"/>
          <w:color w:val="auto"/>
        </w:rPr>
        <w:t>or</w:t>
        <w:tab/>
        <w:t>(ii) US $150,000,000</w:t>
        <w:tab/>
        <w:t>(one hundred</w:t>
      </w:r>
    </w:p>
    <w:p>
      <w:pPr>
        <w:spacing w:after="0" w:line="6" w:lineRule="exact"/>
        <w:rPr>
          <w:sz w:val="20"/>
          <w:szCs w:val="20"/>
          <w:color w:val="auto"/>
        </w:rPr>
      </w:pPr>
    </w:p>
    <w:p>
      <w:pPr>
        <w:ind w:left="3640"/>
        <w:spacing w:after="0"/>
        <w:tabs>
          <w:tab w:leader="none" w:pos="3980" w:val="left"/>
          <w:tab w:leader="none" w:pos="4580" w:val="left"/>
          <w:tab w:leader="none" w:pos="5300" w:val="left"/>
          <w:tab w:leader="none" w:pos="5980" w:val="left"/>
        </w:tabs>
        <w:rPr>
          <w:sz w:val="20"/>
          <w:szCs w:val="20"/>
          <w:color w:val="auto"/>
        </w:rPr>
      </w:pPr>
      <w:r>
        <w:rPr>
          <w:rFonts w:ascii="Courier New" w:cs="Courier New" w:eastAsia="Courier New" w:hAnsi="Courier New"/>
          <w:sz w:val="12"/>
          <w:szCs w:val="12"/>
          <w:color w:val="auto"/>
        </w:rPr>
        <w:t>and</w:t>
        <w:tab/>
        <w:t>fifty</w:t>
        <w:tab/>
        <w:t>million</w:t>
        <w:tab/>
        <w:t>United</w:t>
      </w:r>
      <w:r>
        <w:rPr>
          <w:sz w:val="20"/>
          <w:szCs w:val="20"/>
          <w:color w:val="auto"/>
        </w:rPr>
        <w:tab/>
      </w:r>
      <w:r>
        <w:rPr>
          <w:rFonts w:ascii="Courier New" w:cs="Courier New" w:eastAsia="Courier New" w:hAnsi="Courier New"/>
          <w:sz w:val="12"/>
          <w:szCs w:val="12"/>
          <w:color w:val="auto"/>
        </w:rPr>
        <w:t>States</w:t>
      </w:r>
    </w:p>
    <w:p>
      <w:pPr>
        <w:spacing w:after="0" w:line="6" w:lineRule="exact"/>
        <w:rPr>
          <w:sz w:val="20"/>
          <w:szCs w:val="20"/>
          <w:color w:val="auto"/>
        </w:rPr>
      </w:pPr>
    </w:p>
    <w:p>
      <w:pPr>
        <w:ind w:left="3640"/>
        <w:spacing w:after="0"/>
        <w:tabs>
          <w:tab w:leader="none" w:pos="4500" w:val="left"/>
          <w:tab w:leader="none" w:pos="5080" w:val="left"/>
          <w:tab w:leader="none" w:pos="6120" w:val="left"/>
        </w:tabs>
        <w:rPr>
          <w:sz w:val="20"/>
          <w:szCs w:val="20"/>
          <w:color w:val="auto"/>
        </w:rPr>
      </w:pPr>
      <w:r>
        <w:rPr>
          <w:rFonts w:ascii="Courier New" w:cs="Courier New" w:eastAsia="Courier New" w:hAnsi="Courier New"/>
          <w:sz w:val="12"/>
          <w:szCs w:val="12"/>
          <w:color w:val="auto"/>
        </w:rPr>
        <w:t>Dollars),</w:t>
        <w:tab/>
        <w:t>then,</w:t>
        <w:tab/>
        <w:t>thereafter,</w:t>
        <w:tab/>
        <w:t>this</w:t>
      </w:r>
    </w:p>
    <w:p>
      <w:pPr>
        <w:spacing w:after="0" w:line="6" w:lineRule="exact"/>
        <w:rPr>
          <w:sz w:val="20"/>
          <w:szCs w:val="20"/>
          <w:color w:val="auto"/>
        </w:rPr>
      </w:pPr>
    </w:p>
    <w:p>
      <w:pPr>
        <w:ind w:left="3640"/>
        <w:spacing w:after="0"/>
        <w:tabs>
          <w:tab w:leader="none" w:pos="4800" w:val="left"/>
          <w:tab w:leader="none" w:pos="5300" w:val="left"/>
          <w:tab w:leader="none" w:pos="5680" w:val="left"/>
          <w:tab w:leader="none" w:pos="6260" w:val="left"/>
        </w:tabs>
        <w:rPr>
          <w:sz w:val="20"/>
          <w:szCs w:val="20"/>
          <w:color w:val="auto"/>
        </w:rPr>
      </w:pPr>
      <w:r>
        <w:rPr>
          <w:rFonts w:ascii="Courier New" w:cs="Courier New" w:eastAsia="Courier New" w:hAnsi="Courier New"/>
          <w:sz w:val="12"/>
          <w:szCs w:val="12"/>
          <w:color w:val="auto"/>
        </w:rPr>
        <w:t>paragraph (d)</w:t>
        <w:tab/>
        <w:t>shall</w:t>
        <w:tab/>
        <w:t>no</w:t>
        <w:tab/>
        <w:t>longer</w:t>
        <w:tab/>
        <w:t>be</w:t>
      </w:r>
    </w:p>
    <w:p>
      <w:pPr>
        <w:spacing w:after="0" w:line="6" w:lineRule="exact"/>
        <w:rPr>
          <w:sz w:val="20"/>
          <w:szCs w:val="20"/>
          <w:color w:val="auto"/>
        </w:rPr>
      </w:pPr>
    </w:p>
    <w:p>
      <w:pPr>
        <w:ind w:left="3640"/>
        <w:spacing w:after="0"/>
        <w:tabs>
          <w:tab w:leader="none" w:pos="4580" w:val="left"/>
          <w:tab w:leader="none" w:pos="5240" w:val="left"/>
        </w:tabs>
        <w:rPr>
          <w:sz w:val="20"/>
          <w:szCs w:val="20"/>
          <w:color w:val="auto"/>
        </w:rPr>
      </w:pPr>
      <w:r>
        <w:rPr>
          <w:rFonts w:ascii="Courier New" w:cs="Courier New" w:eastAsia="Courier New" w:hAnsi="Courier New"/>
          <w:sz w:val="12"/>
          <w:szCs w:val="12"/>
          <w:color w:val="auto"/>
        </w:rPr>
        <w:t>applicable;</w:t>
        <w:tab/>
        <w:t>for the</w:t>
        <w:tab/>
        <w:t>purposes of this</w:t>
      </w:r>
    </w:p>
    <w:p>
      <w:pPr>
        <w:spacing w:after="0" w:line="6" w:lineRule="exact"/>
        <w:rPr>
          <w:sz w:val="20"/>
          <w:szCs w:val="20"/>
          <w:color w:val="auto"/>
        </w:rPr>
      </w:pPr>
    </w:p>
    <w:p>
      <w:pPr>
        <w:ind w:left="3640"/>
        <w:spacing w:after="0"/>
        <w:tabs>
          <w:tab w:leader="none" w:pos="4860" w:val="left"/>
          <w:tab w:leader="none" w:pos="5380" w:val="left"/>
          <w:tab w:leader="none" w:pos="5980" w:val="left"/>
          <w:tab w:leader="none" w:pos="6340" w:val="left"/>
        </w:tabs>
        <w:rPr>
          <w:sz w:val="20"/>
          <w:szCs w:val="20"/>
          <w:color w:val="auto"/>
        </w:rPr>
      </w:pPr>
      <w:r>
        <w:rPr>
          <w:rFonts w:ascii="Courier New" w:cs="Courier New" w:eastAsia="Courier New" w:hAnsi="Courier New"/>
          <w:sz w:val="12"/>
          <w:szCs w:val="12"/>
          <w:color w:val="auto"/>
        </w:rPr>
        <w:t>paragraph (d),</w:t>
        <w:tab/>
        <w:t>"NET</w:t>
        <w:tab/>
        <w:t>DEBT"</w:t>
      </w:r>
      <w:r>
        <w:rPr>
          <w:sz w:val="20"/>
          <w:szCs w:val="20"/>
          <w:color w:val="auto"/>
        </w:rPr>
        <w:tab/>
      </w:r>
      <w:r>
        <w:rPr>
          <w:rFonts w:ascii="Courier New" w:cs="Courier New" w:eastAsia="Courier New" w:hAnsi="Courier New"/>
          <w:sz w:val="12"/>
          <w:szCs w:val="12"/>
          <w:color w:val="auto"/>
        </w:rPr>
        <w:t>for</w:t>
        <w:tab/>
        <w:t>a</w:t>
      </w:r>
    </w:p>
    <w:p>
      <w:pPr>
        <w:spacing w:after="0" w:line="6" w:lineRule="exact"/>
        <w:rPr>
          <w:sz w:val="20"/>
          <w:szCs w:val="20"/>
          <w:color w:val="auto"/>
        </w:rPr>
      </w:pPr>
    </w:p>
    <w:p>
      <w:pPr>
        <w:ind w:left="3640"/>
        <w:spacing w:after="0"/>
        <w:tabs>
          <w:tab w:leader="none" w:pos="4280" w:val="left"/>
        </w:tabs>
        <w:rPr>
          <w:sz w:val="20"/>
          <w:szCs w:val="20"/>
          <w:color w:val="auto"/>
        </w:rPr>
      </w:pPr>
      <w:r>
        <w:rPr>
          <w:rFonts w:ascii="Courier New" w:cs="Courier New" w:eastAsia="Courier New" w:hAnsi="Courier New"/>
          <w:sz w:val="12"/>
          <w:szCs w:val="12"/>
          <w:color w:val="auto"/>
        </w:rPr>
        <w:t>Quarter</w:t>
        <w:tab/>
        <w:t>shall mean the Total Debt for</w:t>
      </w:r>
    </w:p>
    <w:p>
      <w:pPr>
        <w:spacing w:after="0" w:line="6" w:lineRule="exact"/>
        <w:rPr>
          <w:sz w:val="20"/>
          <w:szCs w:val="20"/>
          <w:color w:val="auto"/>
        </w:rPr>
      </w:pPr>
    </w:p>
    <w:p>
      <w:pPr>
        <w:ind w:left="3640"/>
        <w:spacing w:after="0"/>
        <w:tabs>
          <w:tab w:leader="none" w:pos="4120" w:val="left"/>
          <w:tab w:leader="none" w:pos="4940" w:val="left"/>
          <w:tab w:leader="none" w:pos="5380" w:val="left"/>
          <w:tab w:leader="none" w:pos="5740" w:val="left"/>
        </w:tabs>
        <w:rPr>
          <w:sz w:val="20"/>
          <w:szCs w:val="20"/>
          <w:color w:val="auto"/>
        </w:rPr>
      </w:pPr>
      <w:r>
        <w:rPr>
          <w:rFonts w:ascii="Courier New" w:cs="Courier New" w:eastAsia="Courier New" w:hAnsi="Courier New"/>
          <w:sz w:val="12"/>
          <w:szCs w:val="12"/>
          <w:color w:val="auto"/>
        </w:rPr>
        <w:t>such</w:t>
        <w:tab/>
        <w:t>Quarter,</w:t>
        <w:tab/>
        <w:t>less</w:t>
        <w:tab/>
        <w:t>the</w:t>
        <w:tab/>
        <w:t>aggregate</w:t>
      </w:r>
    </w:p>
    <w:p>
      <w:pPr>
        <w:spacing w:after="0" w:line="6" w:lineRule="exact"/>
        <w:rPr>
          <w:sz w:val="20"/>
          <w:szCs w:val="20"/>
          <w:color w:val="auto"/>
        </w:rPr>
      </w:pPr>
    </w:p>
    <w:p>
      <w:pPr>
        <w:ind w:left="3640"/>
        <w:spacing w:after="0"/>
        <w:rPr>
          <w:sz w:val="20"/>
          <w:szCs w:val="20"/>
          <w:color w:val="auto"/>
        </w:rPr>
      </w:pPr>
      <w:r>
        <w:rPr>
          <w:rFonts w:ascii="Courier New" w:cs="Courier New" w:eastAsia="Courier New" w:hAnsi="Courier New"/>
          <w:sz w:val="12"/>
          <w:szCs w:val="12"/>
          <w:color w:val="auto"/>
        </w:rPr>
        <w:t>amount held by the Borrower on deposit</w:t>
      </w:r>
    </w:p>
    <w:p>
      <w:pPr>
        <w:spacing w:after="0" w:line="6" w:lineRule="exact"/>
        <w:rPr>
          <w:sz w:val="20"/>
          <w:szCs w:val="20"/>
          <w:color w:val="auto"/>
        </w:rPr>
      </w:pPr>
    </w:p>
    <w:p>
      <w:pPr>
        <w:ind w:left="3640"/>
        <w:spacing w:after="0"/>
        <w:tabs>
          <w:tab w:leader="none" w:pos="4500" w:val="left"/>
        </w:tabs>
        <w:rPr>
          <w:sz w:val="20"/>
          <w:szCs w:val="20"/>
          <w:color w:val="auto"/>
        </w:rPr>
      </w:pPr>
      <w:r>
        <w:rPr>
          <w:rFonts w:ascii="Courier New" w:cs="Courier New" w:eastAsia="Courier New" w:hAnsi="Courier New"/>
          <w:sz w:val="12"/>
          <w:szCs w:val="12"/>
          <w:color w:val="auto"/>
        </w:rPr>
        <w:t>in Charged</w:t>
        <w:tab/>
        <w:t>Accounts, which deposits</w:t>
      </w:r>
    </w:p>
    <w:p>
      <w:pPr>
        <w:spacing w:after="0" w:line="6" w:lineRule="exact"/>
        <w:rPr>
          <w:sz w:val="20"/>
          <w:szCs w:val="20"/>
          <w:color w:val="auto"/>
        </w:rPr>
      </w:pPr>
    </w:p>
    <w:p>
      <w:pPr>
        <w:ind w:left="3640"/>
        <w:spacing w:after="0"/>
        <w:rPr>
          <w:sz w:val="20"/>
          <w:szCs w:val="20"/>
          <w:color w:val="auto"/>
        </w:rPr>
      </w:pPr>
      <w:r>
        <w:rPr>
          <w:rFonts w:ascii="Courier New" w:cs="Courier New" w:eastAsia="Courier New" w:hAnsi="Courier New"/>
          <w:sz w:val="12"/>
          <w:szCs w:val="12"/>
          <w:color w:val="auto"/>
        </w:rPr>
        <w:t>are duly pledged by first-ranking fixed</w:t>
      </w:r>
    </w:p>
    <w:p>
      <w:pPr>
        <w:spacing w:after="0" w:line="6" w:lineRule="exact"/>
        <w:rPr>
          <w:sz w:val="20"/>
          <w:szCs w:val="20"/>
          <w:color w:val="auto"/>
        </w:rPr>
      </w:pPr>
    </w:p>
    <w:p>
      <w:pPr>
        <w:ind w:left="3640"/>
        <w:spacing w:after="0"/>
        <w:tabs>
          <w:tab w:leader="none" w:pos="4420" w:val="left"/>
          <w:tab w:leader="none" w:pos="5020" w:val="left"/>
          <w:tab w:leader="none" w:pos="6040" w:val="left"/>
        </w:tabs>
        <w:rPr>
          <w:sz w:val="20"/>
          <w:szCs w:val="20"/>
          <w:color w:val="auto"/>
        </w:rPr>
      </w:pPr>
      <w:r>
        <w:rPr>
          <w:rFonts w:ascii="Courier New" w:cs="Courier New" w:eastAsia="Courier New" w:hAnsi="Courier New"/>
          <w:sz w:val="12"/>
          <w:szCs w:val="12"/>
          <w:color w:val="auto"/>
        </w:rPr>
        <w:t>charge in</w:t>
        <w:tab/>
        <w:t>favour</w:t>
        <w:tab/>
        <w:t>of the Banks</w:t>
        <w:tab/>
        <w:t>under</w:t>
      </w:r>
    </w:p>
    <w:p>
      <w:pPr>
        <w:spacing w:after="0" w:line="6" w:lineRule="exact"/>
        <w:rPr>
          <w:sz w:val="20"/>
          <w:szCs w:val="20"/>
          <w:color w:val="auto"/>
        </w:rPr>
      </w:pPr>
    </w:p>
    <w:p>
      <w:pPr>
        <w:ind w:left="3640"/>
        <w:spacing w:after="0"/>
        <w:tabs>
          <w:tab w:leader="none" w:pos="3980" w:val="left"/>
          <w:tab w:leader="none" w:pos="4800" w:val="left"/>
          <w:tab w:leader="none" w:pos="5600" w:val="left"/>
        </w:tabs>
        <w:rPr>
          <w:sz w:val="20"/>
          <w:szCs w:val="20"/>
          <w:color w:val="auto"/>
        </w:rPr>
      </w:pPr>
      <w:r>
        <w:rPr>
          <w:rFonts w:ascii="Courier New" w:cs="Courier New" w:eastAsia="Courier New" w:hAnsi="Courier New"/>
          <w:sz w:val="12"/>
          <w:szCs w:val="12"/>
          <w:color w:val="auto"/>
        </w:rPr>
        <w:t>the</w:t>
        <w:tab/>
        <w:t>Debenture</w:t>
        <w:tab/>
        <w:t>as at the</w:t>
        <w:tab/>
        <w:t>last day of</w:t>
      </w:r>
    </w:p>
    <w:p>
      <w:pPr>
        <w:spacing w:after="0" w:line="6" w:lineRule="exact"/>
        <w:rPr>
          <w:sz w:val="20"/>
          <w:szCs w:val="20"/>
          <w:color w:val="auto"/>
        </w:rPr>
      </w:pPr>
    </w:p>
    <w:p>
      <w:pPr>
        <w:ind w:left="3640"/>
        <w:spacing w:after="0"/>
        <w:rPr>
          <w:sz w:val="20"/>
          <w:szCs w:val="20"/>
          <w:color w:val="auto"/>
        </w:rPr>
      </w:pPr>
      <w:r>
        <w:rPr>
          <w:rFonts w:ascii="Courier New" w:cs="Courier New" w:eastAsia="Courier New" w:hAnsi="Courier New"/>
          <w:sz w:val="12"/>
          <w:szCs w:val="12"/>
          <w:color w:val="auto"/>
        </w:rPr>
        <w:t>such Quarter.</w:t>
      </w:r>
    </w:p>
    <w:p>
      <w:pPr>
        <w:spacing w:after="0" w:line="147"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- 7 -</w:t>
      </w:r>
    </w:p>
    <w:p>
      <w:pPr>
        <w:spacing w:after="0" w:line="200" w:lineRule="exact"/>
        <w:rPr>
          <w:sz w:val="20"/>
          <w:szCs w:val="20"/>
          <w:color w:val="auto"/>
        </w:rPr>
      </w:pPr>
    </w:p>
    <w:p>
      <w:pPr>
        <w:spacing w:after="0" w:line="353" w:lineRule="exact"/>
        <w:rPr>
          <w:sz w:val="20"/>
          <w:szCs w:val="20"/>
          <w:color w:val="auto"/>
        </w:rPr>
      </w:pPr>
    </w:p>
    <w:p>
      <w:pPr>
        <w:ind w:left="2300"/>
        <w:spacing w:after="0"/>
        <w:tabs>
          <w:tab w:leader="none" w:pos="4120" w:val="left"/>
          <w:tab w:leader="none" w:pos="5240" w:val="left"/>
        </w:tabs>
        <w:rPr>
          <w:sz w:val="20"/>
          <w:szCs w:val="20"/>
          <w:color w:val="auto"/>
        </w:rPr>
      </w:pPr>
      <w:r>
        <w:rPr>
          <w:rFonts w:ascii="Courier New" w:cs="Courier New" w:eastAsia="Courier New" w:hAnsi="Courier New"/>
          <w:sz w:val="12"/>
          <w:szCs w:val="12"/>
          <w:color w:val="auto"/>
        </w:rPr>
        <w:t>For the purpose of this</w:t>
        <w:tab/>
        <w:t>clause 1.1.18</w:t>
        <w:tab/>
        <w:t>each of the Lead</w:t>
      </w:r>
    </w:p>
    <w:p>
      <w:pPr>
        <w:spacing w:after="0" w:line="6" w:lineRule="exact"/>
        <w:rPr>
          <w:sz w:val="20"/>
          <w:szCs w:val="20"/>
          <w:color w:val="auto"/>
        </w:rPr>
      </w:pPr>
    </w:p>
    <w:p>
      <w:pPr>
        <w:ind w:left="2300"/>
        <w:spacing w:after="0"/>
        <w:tabs>
          <w:tab w:leader="none" w:pos="3180" w:val="left"/>
          <w:tab w:leader="none" w:pos="3680" w:val="left"/>
          <w:tab w:leader="none" w:pos="3980" w:val="left"/>
          <w:tab w:leader="none" w:pos="4580" w:val="left"/>
          <w:tab w:leader="none" w:pos="4860" w:val="left"/>
          <w:tab w:leader="none" w:pos="5300" w:val="left"/>
          <w:tab w:leader="none" w:pos="5900" w:val="left"/>
          <w:tab w:leader="none" w:pos="6200" w:val="left"/>
        </w:tabs>
        <w:rPr>
          <w:sz w:val="20"/>
          <w:szCs w:val="20"/>
          <w:color w:val="auto"/>
        </w:rPr>
      </w:pPr>
      <w:r>
        <w:rPr>
          <w:rFonts w:ascii="Courier New" w:cs="Courier New" w:eastAsia="Courier New" w:hAnsi="Courier New"/>
          <w:sz w:val="12"/>
          <w:szCs w:val="12"/>
          <w:color w:val="auto"/>
        </w:rPr>
        <w:t>Investors</w:t>
        <w:tab/>
        <w:t>shall</w:t>
        <w:tab/>
        <w:t>be</w:t>
        <w:tab/>
        <w:t>deemed</w:t>
        <w:tab/>
        <w:t>to</w:t>
        <w:tab/>
        <w:t>hold</w:t>
        <w:tab/>
        <w:t>shares</w:t>
        <w:tab/>
        <w:t>in</w:t>
        <w:tab/>
        <w:t>the</w:t>
      </w:r>
    </w:p>
    <w:p>
      <w:pPr>
        <w:spacing w:after="0" w:line="6" w:lineRule="exact"/>
        <w:rPr>
          <w:sz w:val="20"/>
          <w:szCs w:val="20"/>
          <w:color w:val="auto"/>
        </w:rPr>
      </w:pPr>
    </w:p>
    <w:p>
      <w:pPr>
        <w:ind w:left="2300"/>
        <w:spacing w:after="0"/>
        <w:tabs>
          <w:tab w:leader="none" w:pos="3180" w:val="left"/>
          <w:tab w:leader="none" w:pos="3540" w:val="left"/>
          <w:tab w:leader="none" w:pos="3980" w:val="left"/>
          <w:tab w:leader="none" w:pos="4280" w:val="left"/>
          <w:tab w:leader="none" w:pos="4800" w:val="left"/>
          <w:tab w:leader="none" w:pos="5380" w:val="left"/>
          <w:tab w:leader="none" w:pos="5740" w:val="left"/>
          <w:tab w:leader="none" w:pos="6200" w:val="left"/>
        </w:tabs>
        <w:rPr>
          <w:sz w:val="20"/>
          <w:szCs w:val="20"/>
          <w:color w:val="auto"/>
        </w:rPr>
      </w:pPr>
      <w:r>
        <w:rPr>
          <w:rFonts w:ascii="Courier New" w:cs="Courier New" w:eastAsia="Courier New" w:hAnsi="Courier New"/>
          <w:sz w:val="12"/>
          <w:szCs w:val="12"/>
          <w:color w:val="auto"/>
        </w:rPr>
        <w:t>Borrower,</w:t>
        <w:tab/>
        <w:t>not</w:t>
        <w:tab/>
        <w:t>only</w:t>
        <w:tab/>
        <w:t>if</w:t>
        <w:tab/>
        <w:t>such</w:t>
        <w:tab/>
        <w:t>shares</w:t>
        <w:tab/>
        <w:t>are</w:t>
        <w:tab/>
        <w:t>held</w:t>
        <w:tab/>
        <w:t>(or</w:t>
      </w:r>
    </w:p>
    <w:p>
      <w:pPr>
        <w:spacing w:after="0" w:line="6" w:lineRule="exact"/>
        <w:rPr>
          <w:sz w:val="20"/>
          <w:szCs w:val="20"/>
          <w:color w:val="auto"/>
        </w:rPr>
      </w:pPr>
    </w:p>
    <w:p>
      <w:pPr>
        <w:ind w:left="2300"/>
        <w:spacing w:after="0"/>
        <w:tabs>
          <w:tab w:leader="none" w:pos="4060" w:val="left"/>
          <w:tab w:leader="none" w:pos="4800" w:val="left"/>
          <w:tab w:leader="none" w:pos="5600" w:val="left"/>
        </w:tabs>
        <w:rPr>
          <w:sz w:val="20"/>
          <w:szCs w:val="20"/>
          <w:color w:val="auto"/>
        </w:rPr>
      </w:pPr>
      <w:r>
        <w:rPr>
          <w:rFonts w:ascii="Courier New" w:cs="Courier New" w:eastAsia="Courier New" w:hAnsi="Courier New"/>
          <w:sz w:val="12"/>
          <w:szCs w:val="12"/>
          <w:color w:val="auto"/>
        </w:rPr>
        <w:t>acquired) by such Lead</w:t>
        <w:tab/>
        <w:t>Investor</w:t>
        <w:tab/>
        <w:t>directly,</w:t>
        <w:tab/>
        <w:t>but also if</w:t>
      </w:r>
    </w:p>
    <w:p>
      <w:pPr>
        <w:spacing w:after="0" w:line="6" w:lineRule="exact"/>
        <w:rPr>
          <w:sz w:val="20"/>
          <w:szCs w:val="20"/>
          <w:color w:val="auto"/>
        </w:rPr>
      </w:pPr>
    </w:p>
    <w:p>
      <w:pPr>
        <w:ind w:left="2300"/>
        <w:spacing w:after="0"/>
        <w:tabs>
          <w:tab w:leader="none" w:pos="2740" w:val="left"/>
          <w:tab w:leader="none" w:pos="3320" w:val="left"/>
          <w:tab w:leader="none" w:pos="3680" w:val="left"/>
          <w:tab w:leader="none" w:pos="4420" w:val="left"/>
          <w:tab w:leader="none" w:pos="4860" w:val="left"/>
          <w:tab w:leader="none" w:pos="5240" w:val="left"/>
          <w:tab w:leader="none" w:pos="6040" w:val="left"/>
          <w:tab w:leader="none" w:pos="6340" w:val="left"/>
        </w:tabs>
        <w:rPr>
          <w:sz w:val="20"/>
          <w:szCs w:val="20"/>
          <w:color w:val="auto"/>
        </w:rPr>
      </w:pPr>
      <w:r>
        <w:rPr>
          <w:rFonts w:ascii="Courier New" w:cs="Courier New" w:eastAsia="Courier New" w:hAnsi="Courier New"/>
          <w:sz w:val="12"/>
          <w:szCs w:val="12"/>
          <w:color w:val="auto"/>
        </w:rPr>
        <w:t>such</w:t>
        <w:tab/>
        <w:t>shares</w:t>
        <w:tab/>
        <w:t>are</w:t>
        <w:tab/>
        <w:t>directly</w:t>
        <w:tab/>
        <w:t>held</w:t>
        <w:tab/>
        <w:t>(or</w:t>
        <w:tab/>
        <w:t>acquired)</w:t>
        <w:tab/>
        <w:t>by</w:t>
        <w:tab/>
        <w:t>a</w:t>
      </w:r>
    </w:p>
    <w:p>
      <w:pPr>
        <w:spacing w:after="0" w:line="6" w:lineRule="exact"/>
        <w:rPr>
          <w:sz w:val="20"/>
          <w:szCs w:val="20"/>
          <w:color w:val="auto"/>
        </w:rPr>
      </w:pPr>
    </w:p>
    <w:p>
      <w:pPr>
        <w:ind w:left="2300"/>
        <w:spacing w:after="0"/>
        <w:tabs>
          <w:tab w:leader="none" w:pos="3900" w:val="left"/>
          <w:tab w:leader="none" w:pos="4720" w:val="left"/>
        </w:tabs>
        <w:rPr>
          <w:sz w:val="20"/>
          <w:szCs w:val="20"/>
          <w:color w:val="auto"/>
        </w:rPr>
      </w:pPr>
      <w:r>
        <w:rPr>
          <w:rFonts w:ascii="Courier New" w:cs="Courier New" w:eastAsia="Courier New" w:hAnsi="Courier New"/>
          <w:sz w:val="12"/>
          <w:szCs w:val="12"/>
          <w:color w:val="auto"/>
        </w:rPr>
        <w:t>Subsidiary of a Lead</w:t>
        <w:tab/>
        <w:t>Investor;</w:t>
        <w:tab/>
        <w:t>for the purpose of this</w:t>
      </w:r>
    </w:p>
    <w:p>
      <w:pPr>
        <w:spacing w:after="0" w:line="6" w:lineRule="exact"/>
        <w:rPr>
          <w:sz w:val="20"/>
          <w:szCs w:val="20"/>
          <w:color w:val="auto"/>
        </w:rPr>
      </w:pPr>
    </w:p>
    <w:p>
      <w:pPr>
        <w:ind w:left="2300"/>
        <w:spacing w:after="0"/>
        <w:tabs>
          <w:tab w:leader="none" w:pos="2960" w:val="left"/>
        </w:tabs>
        <w:rPr>
          <w:sz w:val="20"/>
          <w:szCs w:val="20"/>
          <w:color w:val="auto"/>
        </w:rPr>
      </w:pPr>
      <w:r>
        <w:rPr>
          <w:rFonts w:ascii="Courier New" w:cs="Courier New" w:eastAsia="Courier New" w:hAnsi="Courier New"/>
          <w:sz w:val="12"/>
          <w:szCs w:val="12"/>
          <w:color w:val="auto"/>
        </w:rPr>
        <w:t>clause,</w:t>
        <w:tab/>
        <w:t>"SUBSIDIARY" of a person shall mean any company</w:t>
      </w:r>
    </w:p>
    <w:p>
      <w:pPr>
        <w:spacing w:after="0" w:line="6" w:lineRule="exact"/>
        <w:rPr>
          <w:sz w:val="20"/>
          <w:szCs w:val="20"/>
          <w:color w:val="auto"/>
        </w:rPr>
      </w:pPr>
    </w:p>
    <w:p>
      <w:pPr>
        <w:ind w:left="2300"/>
        <w:spacing w:after="0"/>
        <w:tabs>
          <w:tab w:leader="none" w:pos="3020" w:val="left"/>
          <w:tab w:leader="none" w:pos="3460" w:val="left"/>
          <w:tab w:leader="none" w:pos="4060" w:val="left"/>
          <w:tab w:leader="none" w:pos="4640" w:val="left"/>
          <w:tab w:leader="none" w:pos="5460" w:val="left"/>
          <w:tab w:leader="none" w:pos="6200" w:val="left"/>
        </w:tabs>
        <w:rPr>
          <w:sz w:val="20"/>
          <w:szCs w:val="20"/>
          <w:color w:val="auto"/>
        </w:rPr>
      </w:pPr>
      <w:r>
        <w:rPr>
          <w:rFonts w:ascii="Courier New" w:cs="Courier New" w:eastAsia="Courier New" w:hAnsi="Courier New"/>
          <w:sz w:val="12"/>
          <w:szCs w:val="12"/>
          <w:color w:val="auto"/>
        </w:rPr>
        <w:t>in which</w:t>
        <w:tab/>
        <w:t>such</w:t>
        <w:tab/>
        <w:t>person</w:t>
        <w:tab/>
        <w:t>holds,</w:t>
        <w:tab/>
        <w:t>directly,</w:t>
        <w:tab/>
        <w:t>at least</w:t>
        <w:tab/>
        <w:t>51%</w:t>
      </w:r>
    </w:p>
    <w:p>
      <w:pPr>
        <w:spacing w:after="0" w:line="6" w:lineRule="exact"/>
        <w:rPr>
          <w:sz w:val="20"/>
          <w:szCs w:val="20"/>
          <w:color w:val="auto"/>
        </w:rPr>
      </w:pPr>
    </w:p>
    <w:p>
      <w:pPr>
        <w:ind w:left="2300"/>
        <w:spacing w:after="0"/>
        <w:tabs>
          <w:tab w:leader="none" w:pos="3180" w:val="left"/>
          <w:tab w:leader="none" w:pos="5380" w:val="left"/>
          <w:tab w:leader="none" w:pos="5900" w:val="left"/>
        </w:tabs>
        <w:rPr>
          <w:sz w:val="20"/>
          <w:szCs w:val="20"/>
          <w:color w:val="auto"/>
        </w:rPr>
      </w:pPr>
      <w:r>
        <w:rPr>
          <w:rFonts w:ascii="Courier New" w:cs="Courier New" w:eastAsia="Courier New" w:hAnsi="Courier New"/>
          <w:sz w:val="12"/>
          <w:szCs w:val="12"/>
          <w:color w:val="auto"/>
        </w:rPr>
        <w:t>(fifty-one</w:t>
        <w:tab/>
        <w:t>percent) of the total issued</w:t>
        <w:tab/>
        <w:t>share</w:t>
        <w:tab/>
        <w:t>capital</w:t>
      </w:r>
    </w:p>
    <w:p>
      <w:pPr>
        <w:spacing w:after="0" w:line="6" w:lineRule="exact"/>
        <w:rPr>
          <w:sz w:val="20"/>
          <w:szCs w:val="20"/>
          <w:color w:val="auto"/>
        </w:rPr>
      </w:pPr>
    </w:p>
    <w:p>
      <w:pPr>
        <w:ind w:left="2300"/>
        <w:spacing w:after="0"/>
        <w:tabs>
          <w:tab w:leader="none" w:pos="4360" w:val="left"/>
        </w:tabs>
        <w:rPr>
          <w:sz w:val="20"/>
          <w:szCs w:val="20"/>
          <w:color w:val="auto"/>
        </w:rPr>
      </w:pPr>
      <w:r>
        <w:rPr>
          <w:rFonts w:ascii="Courier New" w:cs="Courier New" w:eastAsia="Courier New" w:hAnsi="Courier New"/>
          <w:sz w:val="12"/>
          <w:szCs w:val="12"/>
          <w:color w:val="auto"/>
        </w:rPr>
        <w:t>and other means of control</w:t>
        <w:tab/>
        <w:t>(including voting rights and</w:t>
      </w:r>
    </w:p>
    <w:p>
      <w:pPr>
        <w:spacing w:after="0" w:line="6" w:lineRule="exact"/>
        <w:rPr>
          <w:sz w:val="20"/>
          <w:szCs w:val="20"/>
          <w:color w:val="auto"/>
        </w:rPr>
      </w:pPr>
    </w:p>
    <w:p>
      <w:pPr>
        <w:ind w:left="2300"/>
        <w:spacing w:after="0"/>
        <w:rPr>
          <w:sz w:val="20"/>
          <w:szCs w:val="20"/>
          <w:color w:val="auto"/>
        </w:rPr>
      </w:pPr>
      <w:r>
        <w:rPr>
          <w:rFonts w:ascii="Courier New" w:cs="Courier New" w:eastAsia="Courier New" w:hAnsi="Courier New"/>
          <w:sz w:val="12"/>
          <w:szCs w:val="12"/>
          <w:color w:val="auto"/>
        </w:rPr>
        <w:t>rights to appoint directors).</w:t>
      </w:r>
    </w:p>
    <w:p>
      <w:pPr>
        <w:spacing w:after="0" w:line="147" w:lineRule="exact"/>
        <w:rPr>
          <w:sz w:val="20"/>
          <w:szCs w:val="20"/>
          <w:color w:val="auto"/>
        </w:rPr>
      </w:pPr>
    </w:p>
    <w:p>
      <w:pPr>
        <w:ind w:left="2300"/>
        <w:spacing w:after="0"/>
        <w:tabs>
          <w:tab w:leader="none" w:pos="2660" w:val="left"/>
          <w:tab w:leader="none" w:pos="3020" w:val="left"/>
          <w:tab w:leader="none" w:pos="3680" w:val="left"/>
          <w:tab w:leader="none" w:pos="3980" w:val="left"/>
          <w:tab w:leader="none" w:pos="4420" w:val="left"/>
          <w:tab w:leader="none" w:pos="5600" w:val="left"/>
        </w:tabs>
        <w:rPr>
          <w:sz w:val="20"/>
          <w:szCs w:val="20"/>
          <w:color w:val="auto"/>
        </w:rPr>
      </w:pPr>
      <w:r>
        <w:rPr>
          <w:rFonts w:ascii="Courier New" w:cs="Courier New" w:eastAsia="Courier New" w:hAnsi="Courier New"/>
          <w:sz w:val="12"/>
          <w:szCs w:val="12"/>
          <w:color w:val="auto"/>
        </w:rPr>
        <w:t>For</w:t>
        <w:tab/>
        <w:t>the</w:t>
        <w:tab/>
        <w:t>purpose</w:t>
        <w:tab/>
        <w:t>of</w:t>
        <w:tab/>
        <w:t>this</w:t>
        <w:tab/>
        <w:t>clause 1.1.18,</w:t>
        <w:tab/>
        <w:t>adjustments</w:t>
      </w:r>
    </w:p>
    <w:p>
      <w:pPr>
        <w:spacing w:after="0" w:line="6" w:lineRule="exact"/>
        <w:rPr>
          <w:sz w:val="20"/>
          <w:szCs w:val="20"/>
          <w:color w:val="auto"/>
        </w:rPr>
      </w:pPr>
    </w:p>
    <w:p>
      <w:pPr>
        <w:ind w:left="2300"/>
        <w:spacing w:after="0"/>
        <w:tabs>
          <w:tab w:leader="none" w:pos="2800" w:val="left"/>
          <w:tab w:leader="none" w:pos="3980" w:val="left"/>
          <w:tab w:leader="none" w:pos="4640" w:val="left"/>
          <w:tab w:leader="none" w:pos="4940" w:val="left"/>
          <w:tab w:leader="none" w:pos="5520" w:val="left"/>
        </w:tabs>
        <w:rPr>
          <w:sz w:val="20"/>
          <w:szCs w:val="20"/>
          <w:color w:val="auto"/>
        </w:rPr>
      </w:pPr>
      <w:r>
        <w:rPr>
          <w:rFonts w:ascii="Courier New" w:cs="Courier New" w:eastAsia="Courier New" w:hAnsi="Courier New"/>
          <w:sz w:val="12"/>
          <w:szCs w:val="12"/>
          <w:color w:val="auto"/>
        </w:rPr>
        <w:t>shall</w:t>
        <w:tab/>
        <w:t>be made to the</w:t>
        <w:tab/>
        <w:t>numbers</w:t>
        <w:tab/>
        <w:t>of</w:t>
        <w:tab/>
        <w:t>shares</w:t>
        <w:tab/>
        <w:t>respectively</w:t>
      </w:r>
    </w:p>
    <w:p>
      <w:pPr>
        <w:spacing w:after="0" w:line="6" w:lineRule="exact"/>
        <w:rPr>
          <w:sz w:val="20"/>
          <w:szCs w:val="20"/>
          <w:color w:val="auto"/>
        </w:rPr>
      </w:pPr>
    </w:p>
    <w:p>
      <w:pPr>
        <w:ind w:left="2300"/>
        <w:spacing w:after="0"/>
        <w:tabs>
          <w:tab w:leader="none" w:pos="3020" w:val="left"/>
          <w:tab w:leader="none" w:pos="3540" w:val="left"/>
          <w:tab w:leader="none" w:pos="3980" w:val="left"/>
          <w:tab w:leader="none" w:pos="4280" w:val="left"/>
          <w:tab w:leader="none" w:pos="5520" w:val="left"/>
          <w:tab w:leader="none" w:pos="5900" w:val="left"/>
        </w:tabs>
        <w:rPr>
          <w:sz w:val="20"/>
          <w:szCs w:val="20"/>
          <w:color w:val="auto"/>
        </w:rPr>
      </w:pPr>
      <w:r>
        <w:rPr>
          <w:rFonts w:ascii="Courier New" w:cs="Courier New" w:eastAsia="Courier New" w:hAnsi="Courier New"/>
          <w:sz w:val="12"/>
          <w:szCs w:val="12"/>
          <w:color w:val="auto"/>
        </w:rPr>
        <w:t>referred</w:t>
        <w:tab/>
        <w:t>to in</w:t>
        <w:tab/>
        <w:t>each</w:t>
        <w:tab/>
        <w:t>of</w:t>
        <w:tab/>
        <w:t>paragraphs (b),</w:t>
        <w:tab/>
        <w:t>(c)</w:t>
        <w:tab/>
        <w:t>and (d)</w:t>
      </w:r>
    </w:p>
    <w:p>
      <w:pPr>
        <w:spacing w:after="0" w:line="6" w:lineRule="exact"/>
        <w:rPr>
          <w:sz w:val="20"/>
          <w:szCs w:val="20"/>
          <w:color w:val="auto"/>
        </w:rPr>
      </w:pPr>
    </w:p>
    <w:p>
      <w:pPr>
        <w:ind w:left="2300"/>
        <w:spacing w:after="0"/>
        <w:tabs>
          <w:tab w:leader="none" w:pos="2880" w:val="left"/>
          <w:tab w:leader="none" w:pos="3840" w:val="left"/>
          <w:tab w:leader="none" w:pos="4500" w:val="left"/>
          <w:tab w:leader="none" w:pos="4800" w:val="left"/>
          <w:tab w:leader="none" w:pos="5380" w:val="left"/>
          <w:tab w:leader="none" w:pos="5740" w:val="left"/>
        </w:tabs>
        <w:rPr>
          <w:sz w:val="20"/>
          <w:szCs w:val="20"/>
          <w:color w:val="auto"/>
        </w:rPr>
      </w:pPr>
      <w:r>
        <w:rPr>
          <w:rFonts w:ascii="Courier New" w:cs="Courier New" w:eastAsia="Courier New" w:hAnsi="Courier New"/>
          <w:sz w:val="12"/>
          <w:szCs w:val="12"/>
          <w:color w:val="auto"/>
        </w:rPr>
        <w:t>above</w:t>
        <w:tab/>
        <w:t>(including</w:t>
        <w:tab/>
        <w:t>numbers</w:t>
        <w:tab/>
        <w:t>of</w:t>
        <w:tab/>
        <w:t>shares</w:t>
        <w:tab/>
        <w:t>not</w:t>
        <w:tab/>
        <w:t>expressly</w:t>
      </w:r>
    </w:p>
    <w:p>
      <w:pPr>
        <w:spacing w:after="0" w:line="6" w:lineRule="exact"/>
        <w:rPr>
          <w:sz w:val="20"/>
          <w:szCs w:val="20"/>
          <w:color w:val="auto"/>
        </w:rPr>
      </w:pPr>
    </w:p>
    <w:p>
      <w:pPr>
        <w:ind w:left="2300"/>
        <w:spacing w:after="0"/>
        <w:tabs>
          <w:tab w:leader="none" w:pos="3100" w:val="left"/>
          <w:tab w:leader="none" w:pos="4200" w:val="left"/>
          <w:tab w:leader="none" w:pos="5300" w:val="left"/>
        </w:tabs>
        <w:rPr>
          <w:sz w:val="20"/>
          <w:szCs w:val="20"/>
          <w:color w:val="auto"/>
        </w:rPr>
      </w:pPr>
      <w:r>
        <w:rPr>
          <w:rFonts w:ascii="Courier New" w:cs="Courier New" w:eastAsia="Courier New" w:hAnsi="Courier New"/>
          <w:sz w:val="12"/>
          <w:szCs w:val="12"/>
          <w:color w:val="auto"/>
        </w:rPr>
        <w:t>mentioned</w:t>
        <w:tab/>
        <w:t>but which are</w:t>
        <w:tab/>
        <w:t>ascertainable</w:t>
        <w:tab/>
        <w:t>pursuant to the</w:t>
      </w:r>
    </w:p>
    <w:p>
      <w:pPr>
        <w:spacing w:after="0" w:line="6" w:lineRule="exact"/>
        <w:rPr>
          <w:sz w:val="20"/>
          <w:szCs w:val="20"/>
          <w:color w:val="auto"/>
        </w:rPr>
      </w:pPr>
    </w:p>
    <w:p>
      <w:pPr>
        <w:ind w:left="2300"/>
        <w:spacing w:after="0"/>
        <w:tabs>
          <w:tab w:leader="none" w:pos="4420" w:val="left"/>
          <w:tab w:leader="none" w:pos="5460" w:val="left"/>
        </w:tabs>
        <w:rPr>
          <w:sz w:val="20"/>
          <w:szCs w:val="20"/>
          <w:color w:val="auto"/>
        </w:rPr>
      </w:pPr>
      <w:r>
        <w:rPr>
          <w:rFonts w:ascii="Courier New" w:cs="Courier New" w:eastAsia="Courier New" w:hAnsi="Courier New"/>
          <w:sz w:val="12"/>
          <w:szCs w:val="12"/>
          <w:color w:val="auto"/>
        </w:rPr>
        <w:t>above) to reflect all stock</w:t>
        <w:tab/>
        <w:t>dividends or</w:t>
        <w:tab/>
        <w:t>distributions</w:t>
      </w:r>
    </w:p>
    <w:p>
      <w:pPr>
        <w:spacing w:after="0" w:line="6" w:lineRule="exact"/>
        <w:rPr>
          <w:sz w:val="20"/>
          <w:szCs w:val="20"/>
          <w:color w:val="auto"/>
        </w:rPr>
      </w:pPr>
    </w:p>
    <w:p>
      <w:pPr>
        <w:ind w:left="2300"/>
        <w:spacing w:after="0"/>
        <w:tabs>
          <w:tab w:leader="none" w:pos="3180" w:val="left"/>
          <w:tab w:leader="none" w:pos="3760" w:val="left"/>
          <w:tab w:leader="none" w:pos="4500" w:val="left"/>
          <w:tab w:leader="none" w:pos="5240" w:val="left"/>
          <w:tab w:leader="none" w:pos="6260" w:val="left"/>
        </w:tabs>
        <w:rPr>
          <w:sz w:val="20"/>
          <w:szCs w:val="20"/>
          <w:color w:val="auto"/>
        </w:rPr>
      </w:pPr>
      <w:r>
        <w:rPr>
          <w:rFonts w:ascii="Courier New" w:cs="Courier New" w:eastAsia="Courier New" w:hAnsi="Courier New"/>
          <w:sz w:val="12"/>
          <w:szCs w:val="12"/>
          <w:color w:val="auto"/>
        </w:rPr>
        <w:t>(including</w:t>
        <w:tab/>
        <w:t>issues</w:t>
        <w:tab/>
        <w:t>of bonus</w:t>
        <w:tab/>
        <w:t>shares),</w:t>
        <w:tab/>
        <w:t>subdivisions</w:t>
        <w:tab/>
        <w:t>of</w:t>
      </w:r>
    </w:p>
    <w:p>
      <w:pPr>
        <w:spacing w:after="0" w:line="6" w:lineRule="exact"/>
        <w:rPr>
          <w:sz w:val="20"/>
          <w:szCs w:val="20"/>
          <w:color w:val="auto"/>
        </w:rPr>
      </w:pPr>
    </w:p>
    <w:p>
      <w:pPr>
        <w:ind w:left="2300"/>
        <w:spacing w:after="0"/>
        <w:tabs>
          <w:tab w:leader="none" w:pos="2960" w:val="left"/>
        </w:tabs>
        <w:rPr>
          <w:sz w:val="20"/>
          <w:szCs w:val="20"/>
          <w:color w:val="auto"/>
        </w:rPr>
      </w:pPr>
      <w:r>
        <w:rPr>
          <w:rFonts w:ascii="Courier New" w:cs="Courier New" w:eastAsia="Courier New" w:hAnsi="Courier New"/>
          <w:sz w:val="12"/>
          <w:szCs w:val="12"/>
          <w:color w:val="auto"/>
        </w:rPr>
        <w:t>shares,</w:t>
        <w:tab/>
        <w:t>combinations of shares into a smaller number of</w:t>
      </w:r>
    </w:p>
    <w:p>
      <w:pPr>
        <w:spacing w:after="0" w:line="6" w:lineRule="exact"/>
        <w:rPr>
          <w:sz w:val="20"/>
          <w:szCs w:val="20"/>
          <w:color w:val="auto"/>
        </w:rPr>
      </w:pPr>
    </w:p>
    <w:p>
      <w:pPr>
        <w:ind w:left="2300"/>
        <w:spacing w:after="0"/>
        <w:tabs>
          <w:tab w:leader="none" w:pos="2960" w:val="left"/>
          <w:tab w:leader="none" w:pos="4280" w:val="left"/>
          <w:tab w:leader="none" w:pos="5740" w:val="left"/>
        </w:tabs>
        <w:rPr>
          <w:sz w:val="20"/>
          <w:szCs w:val="20"/>
          <w:color w:val="auto"/>
        </w:rPr>
      </w:pPr>
      <w:r>
        <w:rPr>
          <w:rFonts w:ascii="Courier New" w:cs="Courier New" w:eastAsia="Courier New" w:hAnsi="Courier New"/>
          <w:sz w:val="12"/>
          <w:szCs w:val="12"/>
          <w:color w:val="auto"/>
        </w:rPr>
        <w:t>shares,</w:t>
        <w:tab/>
        <w:t>reclassification</w:t>
        <w:tab/>
        <w:t>of shares or other</w:t>
        <w:tab/>
        <w:t>change in</w:t>
      </w:r>
    </w:p>
    <w:p>
      <w:pPr>
        <w:spacing w:after="0" w:line="6" w:lineRule="exact"/>
        <w:rPr>
          <w:sz w:val="20"/>
          <w:szCs w:val="20"/>
          <w:color w:val="auto"/>
        </w:rPr>
      </w:pPr>
    </w:p>
    <w:p>
      <w:pPr>
        <w:ind w:left="2300"/>
        <w:spacing w:after="0"/>
        <w:tabs>
          <w:tab w:leader="none" w:pos="2660" w:val="left"/>
          <w:tab w:leader="none" w:pos="3180" w:val="left"/>
          <w:tab w:leader="none" w:pos="3840" w:val="left"/>
          <w:tab w:leader="none" w:pos="4420" w:val="left"/>
          <w:tab w:leader="none" w:pos="5240" w:val="left"/>
          <w:tab w:leader="none" w:pos="5680" w:val="left"/>
          <w:tab w:leader="none" w:pos="6120" w:val="left"/>
        </w:tabs>
        <w:rPr>
          <w:sz w:val="20"/>
          <w:szCs w:val="20"/>
          <w:color w:val="auto"/>
        </w:rPr>
      </w:pPr>
      <w:r>
        <w:rPr>
          <w:rFonts w:ascii="Courier New" w:cs="Courier New" w:eastAsia="Courier New" w:hAnsi="Courier New"/>
          <w:sz w:val="12"/>
          <w:szCs w:val="12"/>
          <w:color w:val="auto"/>
        </w:rPr>
        <w:t>the</w:t>
        <w:tab/>
        <w:t>share</w:t>
        <w:tab/>
        <w:t>capital</w:t>
        <w:tab/>
        <w:t>of the</w:t>
        <w:tab/>
        <w:t>Borrower,</w:t>
        <w:tab/>
        <w:t>such</w:t>
        <w:tab/>
        <w:t>that</w:t>
        <w:tab/>
        <w:t>each</w:t>
      </w:r>
    </w:p>
    <w:p>
      <w:pPr>
        <w:spacing w:after="0" w:line="6" w:lineRule="exact"/>
        <w:rPr>
          <w:sz w:val="20"/>
          <w:szCs w:val="20"/>
          <w:color w:val="auto"/>
        </w:rPr>
      </w:pPr>
    </w:p>
    <w:p>
      <w:pPr>
        <w:ind w:left="2300"/>
        <w:spacing w:after="0"/>
        <w:tabs>
          <w:tab w:leader="none" w:pos="2880" w:val="left"/>
          <w:tab w:leader="none" w:pos="3180" w:val="left"/>
          <w:tab w:leader="none" w:pos="3840" w:val="left"/>
          <w:tab w:leader="none" w:pos="4720" w:val="left"/>
          <w:tab w:leader="none" w:pos="5080" w:val="left"/>
          <w:tab w:leader="none" w:pos="6260" w:val="left"/>
        </w:tabs>
        <w:rPr>
          <w:sz w:val="20"/>
          <w:szCs w:val="20"/>
          <w:color w:val="auto"/>
        </w:rPr>
      </w:pPr>
      <w:r>
        <w:rPr>
          <w:rFonts w:ascii="Courier New" w:cs="Courier New" w:eastAsia="Courier New" w:hAnsi="Courier New"/>
          <w:sz w:val="12"/>
          <w:szCs w:val="12"/>
          <w:color w:val="auto"/>
        </w:rPr>
        <w:t>number</w:t>
        <w:tab/>
        <w:t>of</w:t>
        <w:tab/>
        <w:t>shares</w:t>
        <w:tab/>
        <w:t>specified</w:t>
        <w:tab/>
        <w:t>or</w:t>
        <w:tab/>
        <w:t>ascertainable</w:t>
        <w:tab/>
        <w:t>as</w:t>
      </w:r>
    </w:p>
    <w:p>
      <w:pPr>
        <w:spacing w:after="0" w:line="6" w:lineRule="exact"/>
        <w:rPr>
          <w:sz w:val="20"/>
          <w:szCs w:val="20"/>
          <w:color w:val="auto"/>
        </w:rPr>
      </w:pPr>
    </w:p>
    <w:p>
      <w:pPr>
        <w:ind w:left="2300"/>
        <w:spacing w:after="0"/>
        <w:tabs>
          <w:tab w:leader="none" w:pos="3100" w:val="left"/>
          <w:tab w:leader="none" w:pos="3620" w:val="left"/>
          <w:tab w:leader="none" w:pos="4120" w:val="left"/>
          <w:tab w:leader="none" w:pos="4580" w:val="left"/>
          <w:tab w:leader="none" w:pos="5900" w:val="left"/>
        </w:tabs>
        <w:rPr>
          <w:sz w:val="20"/>
          <w:szCs w:val="20"/>
          <w:color w:val="auto"/>
        </w:rPr>
      </w:pPr>
      <w:r>
        <w:rPr>
          <w:rFonts w:ascii="Courier New" w:cs="Courier New" w:eastAsia="Courier New" w:hAnsi="Courier New"/>
          <w:sz w:val="12"/>
          <w:szCs w:val="12"/>
          <w:color w:val="auto"/>
        </w:rPr>
        <w:t>aforesaid</w:t>
        <w:tab/>
        <w:t>shall</w:t>
        <w:tab/>
        <w:t>equal</w:t>
        <w:tab/>
        <w:t>that</w:t>
        <w:tab/>
        <w:t>number of shares</w:t>
        <w:tab/>
        <w:t>which a</w:t>
      </w:r>
    </w:p>
    <w:p>
      <w:pPr>
        <w:spacing w:after="0" w:line="6" w:lineRule="exact"/>
        <w:rPr>
          <w:sz w:val="20"/>
          <w:szCs w:val="20"/>
          <w:color w:val="auto"/>
        </w:rPr>
      </w:pPr>
    </w:p>
    <w:p>
      <w:pPr>
        <w:ind w:left="2300"/>
        <w:spacing w:after="0"/>
        <w:tabs>
          <w:tab w:leader="none" w:pos="3240" w:val="left"/>
          <w:tab w:leader="none" w:pos="5240" w:val="left"/>
        </w:tabs>
        <w:rPr>
          <w:sz w:val="20"/>
          <w:szCs w:val="20"/>
          <w:color w:val="auto"/>
        </w:rPr>
      </w:pPr>
      <w:r>
        <w:rPr>
          <w:rFonts w:ascii="Courier New" w:cs="Courier New" w:eastAsia="Courier New" w:hAnsi="Courier New"/>
          <w:sz w:val="12"/>
          <w:szCs w:val="12"/>
          <w:color w:val="auto"/>
        </w:rPr>
        <w:t>shareholder</w:t>
        <w:tab/>
        <w:t>holding only the relevant</w:t>
        <w:tab/>
        <w:t>number of shares</w:t>
      </w:r>
    </w:p>
    <w:p>
      <w:pPr>
        <w:spacing w:after="0" w:line="6" w:lineRule="exact"/>
        <w:rPr>
          <w:sz w:val="20"/>
          <w:szCs w:val="20"/>
          <w:color w:val="auto"/>
        </w:rPr>
      </w:pPr>
    </w:p>
    <w:p>
      <w:pPr>
        <w:ind w:left="2300"/>
        <w:spacing w:after="0"/>
        <w:tabs>
          <w:tab w:leader="none" w:pos="3540" w:val="left"/>
          <w:tab w:leader="none" w:pos="4860" w:val="left"/>
          <w:tab w:leader="none" w:pos="5680" w:val="left"/>
        </w:tabs>
        <w:rPr>
          <w:sz w:val="20"/>
          <w:szCs w:val="20"/>
          <w:color w:val="auto"/>
        </w:rPr>
      </w:pPr>
      <w:r>
        <w:rPr>
          <w:rFonts w:ascii="Courier New" w:cs="Courier New" w:eastAsia="Courier New" w:hAnsi="Courier New"/>
          <w:sz w:val="12"/>
          <w:szCs w:val="12"/>
          <w:color w:val="auto"/>
        </w:rPr>
        <w:t>of the Borrower</w:t>
        <w:tab/>
        <w:t>specified in the</w:t>
        <w:tab/>
        <w:t>aforesaid</w:t>
        <w:tab/>
        <w:t>paragraphs</w:t>
      </w:r>
    </w:p>
    <w:p>
      <w:pPr>
        <w:spacing w:after="0" w:line="6" w:lineRule="exact"/>
        <w:rPr>
          <w:sz w:val="20"/>
          <w:szCs w:val="20"/>
          <w:color w:val="auto"/>
        </w:rPr>
      </w:pPr>
    </w:p>
    <w:p>
      <w:pPr>
        <w:ind w:left="2300"/>
        <w:spacing w:after="0"/>
        <w:tabs>
          <w:tab w:leader="none" w:pos="2800" w:val="left"/>
          <w:tab w:leader="none" w:pos="3240" w:val="left"/>
          <w:tab w:leader="none" w:pos="3680" w:val="left"/>
          <w:tab w:leader="none" w:pos="4200" w:val="left"/>
          <w:tab w:leader="none" w:pos="4940" w:val="left"/>
          <w:tab w:leader="none" w:pos="5460" w:val="left"/>
          <w:tab w:leader="none" w:pos="6260" w:val="left"/>
        </w:tabs>
        <w:rPr>
          <w:sz w:val="20"/>
          <w:szCs w:val="20"/>
          <w:color w:val="auto"/>
        </w:rPr>
      </w:pPr>
      <w:r>
        <w:rPr>
          <w:rFonts w:ascii="Courier New" w:cs="Courier New" w:eastAsia="Courier New" w:hAnsi="Courier New"/>
          <w:sz w:val="12"/>
          <w:szCs w:val="12"/>
          <w:color w:val="auto"/>
        </w:rPr>
        <w:t>would</w:t>
        <w:tab/>
        <w:t>have</w:t>
        <w:tab/>
        <w:t>held</w:t>
        <w:tab/>
        <w:t>after</w:t>
        <w:tab/>
        <w:t>any such</w:t>
        <w:tab/>
        <w:t>stock</w:t>
        <w:tab/>
        <w:t>dividends</w:t>
        <w:tab/>
        <w:t>or</w:t>
      </w:r>
    </w:p>
    <w:p>
      <w:pPr>
        <w:spacing w:after="0" w:line="6" w:lineRule="exact"/>
        <w:rPr>
          <w:sz w:val="20"/>
          <w:szCs w:val="20"/>
          <w:color w:val="auto"/>
        </w:rPr>
      </w:pPr>
    </w:p>
    <w:p>
      <w:pPr>
        <w:ind w:left="2300"/>
        <w:spacing w:after="0"/>
        <w:tabs>
          <w:tab w:leader="none" w:pos="3460" w:val="left"/>
          <w:tab w:leader="none" w:pos="4420" w:val="left"/>
          <w:tab w:leader="none" w:pos="5020" w:val="left"/>
          <w:tab w:leader="none" w:pos="5300" w:val="left"/>
          <w:tab w:leader="none" w:pos="5820" w:val="left"/>
        </w:tabs>
        <w:rPr>
          <w:sz w:val="20"/>
          <w:szCs w:val="20"/>
          <w:color w:val="auto"/>
        </w:rPr>
      </w:pPr>
      <w:r>
        <w:rPr>
          <w:rFonts w:ascii="Courier New" w:cs="Courier New" w:eastAsia="Courier New" w:hAnsi="Courier New"/>
          <w:sz w:val="12"/>
          <w:szCs w:val="12"/>
          <w:color w:val="auto"/>
        </w:rPr>
        <w:t>distributions</w:t>
        <w:tab/>
        <w:t>(including</w:t>
        <w:tab/>
        <w:t>issues</w:t>
        <w:tab/>
        <w:t>of</w:t>
        <w:tab/>
        <w:t>bonus</w:t>
        <w:tab/>
        <w:t>shares),</w:t>
      </w:r>
    </w:p>
    <w:p>
      <w:pPr>
        <w:spacing w:after="0" w:line="6" w:lineRule="exact"/>
        <w:rPr>
          <w:sz w:val="20"/>
          <w:szCs w:val="20"/>
          <w:color w:val="auto"/>
        </w:rPr>
      </w:pPr>
    </w:p>
    <w:p>
      <w:pPr>
        <w:ind w:left="2300"/>
        <w:spacing w:after="0"/>
        <w:tabs>
          <w:tab w:leader="none" w:pos="3320" w:val="left"/>
          <w:tab w:leader="none" w:pos="4200" w:val="left"/>
          <w:tab w:leader="none" w:pos="5240" w:val="left"/>
        </w:tabs>
        <w:rPr>
          <w:sz w:val="20"/>
          <w:szCs w:val="20"/>
          <w:color w:val="auto"/>
        </w:rPr>
      </w:pPr>
      <w:r>
        <w:rPr>
          <w:rFonts w:ascii="Courier New" w:cs="Courier New" w:eastAsia="Courier New" w:hAnsi="Courier New"/>
          <w:sz w:val="12"/>
          <w:szCs w:val="12"/>
          <w:color w:val="auto"/>
        </w:rPr>
        <w:t>subdivisions</w:t>
        <w:tab/>
        <w:t>of shares,</w:t>
        <w:tab/>
        <w:t>combinations</w:t>
        <w:tab/>
        <w:t>of shares into a</w:t>
      </w:r>
    </w:p>
    <w:p>
      <w:pPr>
        <w:spacing w:after="0" w:line="6" w:lineRule="exact"/>
        <w:rPr>
          <w:sz w:val="20"/>
          <w:szCs w:val="20"/>
          <w:color w:val="auto"/>
        </w:rPr>
      </w:pPr>
    </w:p>
    <w:p>
      <w:pPr>
        <w:ind w:left="2300"/>
        <w:spacing w:after="0"/>
        <w:tabs>
          <w:tab w:leader="none" w:pos="4280" w:val="left"/>
        </w:tabs>
        <w:rPr>
          <w:sz w:val="20"/>
          <w:szCs w:val="20"/>
          <w:color w:val="auto"/>
        </w:rPr>
      </w:pPr>
      <w:r>
        <w:rPr>
          <w:rFonts w:ascii="Courier New" w:cs="Courier New" w:eastAsia="Courier New" w:hAnsi="Courier New"/>
          <w:sz w:val="12"/>
          <w:szCs w:val="12"/>
          <w:color w:val="auto"/>
        </w:rPr>
        <w:t>smaller number of shares,</w:t>
        <w:tab/>
        <w:t>reclassification of shares or</w:t>
      </w:r>
    </w:p>
    <w:p>
      <w:pPr>
        <w:spacing w:after="0" w:line="6" w:lineRule="exact"/>
        <w:rPr>
          <w:sz w:val="20"/>
          <w:szCs w:val="20"/>
          <w:color w:val="auto"/>
        </w:rPr>
      </w:pPr>
    </w:p>
    <w:p>
      <w:pPr>
        <w:ind w:left="2300"/>
        <w:spacing w:after="0"/>
        <w:tabs>
          <w:tab w:leader="none" w:pos="5380" w:val="left"/>
        </w:tabs>
        <w:rPr>
          <w:sz w:val="20"/>
          <w:szCs w:val="20"/>
          <w:color w:val="auto"/>
        </w:rPr>
      </w:pPr>
      <w:r>
        <w:rPr>
          <w:rFonts w:ascii="Courier New" w:cs="Courier New" w:eastAsia="Courier New" w:hAnsi="Courier New"/>
          <w:sz w:val="12"/>
          <w:szCs w:val="12"/>
          <w:color w:val="auto"/>
        </w:rPr>
        <w:t>other change in the share capital of the</w:t>
        <w:tab/>
        <w:t>Borrower, assuming</w:t>
      </w:r>
    </w:p>
    <w:p>
      <w:pPr>
        <w:spacing w:after="0" w:line="6" w:lineRule="exact"/>
        <w:rPr>
          <w:sz w:val="20"/>
          <w:szCs w:val="20"/>
          <w:color w:val="auto"/>
        </w:rPr>
      </w:pPr>
    </w:p>
    <w:p>
      <w:pPr>
        <w:ind w:left="2300"/>
        <w:spacing w:after="0"/>
        <w:tabs>
          <w:tab w:leader="none" w:pos="2740" w:val="left"/>
          <w:tab w:leader="none" w:pos="3240" w:val="left"/>
          <w:tab w:leader="none" w:pos="4200" w:val="left"/>
          <w:tab w:leader="none" w:pos="5300" w:val="left"/>
        </w:tabs>
        <w:rPr>
          <w:sz w:val="20"/>
          <w:szCs w:val="20"/>
          <w:color w:val="auto"/>
        </w:rPr>
      </w:pPr>
      <w:r>
        <w:rPr>
          <w:rFonts w:ascii="Courier New" w:cs="Courier New" w:eastAsia="Courier New" w:hAnsi="Courier New"/>
          <w:sz w:val="12"/>
          <w:szCs w:val="12"/>
          <w:color w:val="auto"/>
        </w:rPr>
        <w:t>that</w:t>
        <w:tab/>
        <w:t>such</w:t>
        <w:tab/>
        <w:t>shareholder</w:t>
        <w:tab/>
        <w:t>had exercised</w:t>
        <w:tab/>
        <w:t>all rights</w:t>
      </w:r>
    </w:p>
    <w:p>
      <w:pPr>
        <w:spacing w:after="0" w:line="6" w:lineRule="exact"/>
        <w:rPr>
          <w:sz w:val="20"/>
          <w:szCs w:val="20"/>
          <w:color w:val="auto"/>
        </w:rPr>
      </w:pPr>
    </w:p>
    <w:p>
      <w:pPr>
        <w:ind w:left="2300"/>
        <w:spacing w:after="0"/>
        <w:tabs>
          <w:tab w:leader="none" w:pos="3320" w:val="left"/>
          <w:tab w:leader="none" w:pos="4060" w:val="left"/>
        </w:tabs>
        <w:rPr>
          <w:sz w:val="20"/>
          <w:szCs w:val="20"/>
          <w:color w:val="auto"/>
        </w:rPr>
      </w:pPr>
      <w:r>
        <w:rPr>
          <w:rFonts w:ascii="Courier New" w:cs="Courier New" w:eastAsia="Courier New" w:hAnsi="Courier New"/>
          <w:sz w:val="12"/>
          <w:szCs w:val="12"/>
          <w:color w:val="auto"/>
        </w:rPr>
        <w:t>issued to it</w:t>
        <w:tab/>
        <w:t>pursuant</w:t>
        <w:tab/>
        <w:t>to any of the aforegoing and had</w:t>
      </w:r>
    </w:p>
    <w:p>
      <w:pPr>
        <w:spacing w:after="0" w:line="6" w:lineRule="exact"/>
        <w:rPr>
          <w:sz w:val="20"/>
          <w:szCs w:val="20"/>
          <w:color w:val="auto"/>
        </w:rPr>
      </w:pPr>
    </w:p>
    <w:p>
      <w:pPr>
        <w:ind w:left="2300"/>
        <w:spacing w:after="0"/>
        <w:tabs>
          <w:tab w:leader="none" w:pos="5080" w:val="left"/>
          <w:tab w:leader="none" w:pos="5740" w:val="left"/>
        </w:tabs>
        <w:rPr>
          <w:sz w:val="20"/>
          <w:szCs w:val="20"/>
          <w:color w:val="auto"/>
        </w:rPr>
      </w:pPr>
      <w:r>
        <w:rPr>
          <w:rFonts w:ascii="Courier New" w:cs="Courier New" w:eastAsia="Courier New" w:hAnsi="Courier New"/>
          <w:sz w:val="12"/>
          <w:szCs w:val="12"/>
          <w:color w:val="auto"/>
        </w:rPr>
        <w:t>not, save by way of exercise of such</w:t>
        <w:tab/>
        <w:t>rights,</w:t>
        <w:tab/>
        <w:t>sold or</w:t>
      </w:r>
    </w:p>
    <w:p>
      <w:pPr>
        <w:sectPr>
          <w:pgSz w:w="11900" w:h="16862" w:orient="portrait"/>
          <w:cols w:equalWidth="0" w:num="1">
            <w:col w:w="9019"/>
          </w:cols>
          <w:pgMar w:left="1440" w:top="141" w:right="1440" w:bottom="0" w:gutter="0" w:footer="0" w:header="0"/>
        </w:sectPr>
      </w:pPr>
    </w:p>
    <w:bookmarkStart w:id="77" w:name="page78"/>
    <w:bookmarkEnd w:id="77"/>
    <w:p>
      <w:pPr>
        <w:ind w:left="3520"/>
        <w:spacing w:after="0"/>
        <w:tabs>
          <w:tab w:leader="none" w:pos="4240" w:val="left"/>
          <w:tab w:leader="none" w:pos="4620" w:val="left"/>
          <w:tab w:leader="none" w:pos="5200" w:val="left"/>
          <w:tab w:leader="none" w:pos="6520" w:val="left"/>
        </w:tabs>
        <w:rPr>
          <w:sz w:val="20"/>
          <w:szCs w:val="20"/>
          <w:color w:val="auto"/>
        </w:rPr>
      </w:pPr>
      <w:r>
        <w:rPr>
          <w:rFonts w:ascii="Courier New" w:cs="Courier New" w:eastAsia="Courier New" w:hAnsi="Courier New"/>
          <w:sz w:val="12"/>
          <w:szCs w:val="12"/>
          <w:color w:val="auto"/>
        </w:rPr>
        <w:t>acquired</w:t>
        <w:tab/>
        <w:t>any</w:t>
        <w:tab/>
        <w:t>shares</w:t>
        <w:tab/>
        <w:t>of the Borrower.</w:t>
        <w:tab/>
        <w:t>For the avoidance</w:t>
      </w:r>
    </w:p>
    <w:p>
      <w:pPr>
        <w:spacing w:after="0" w:line="6" w:lineRule="exact"/>
        <w:rPr>
          <w:sz w:val="20"/>
          <w:szCs w:val="20"/>
          <w:color w:val="auto"/>
        </w:rPr>
      </w:pPr>
    </w:p>
    <w:p>
      <w:pPr>
        <w:ind w:left="3520"/>
        <w:spacing w:after="0"/>
        <w:tabs>
          <w:tab w:leader="none" w:pos="3800" w:val="left"/>
          <w:tab w:leader="none" w:pos="4400" w:val="left"/>
          <w:tab w:leader="none" w:pos="4840" w:val="left"/>
          <w:tab w:leader="none" w:pos="5640" w:val="left"/>
          <w:tab w:leader="none" w:pos="6160" w:val="left"/>
          <w:tab w:leader="none" w:pos="6520" w:val="left"/>
        </w:tabs>
        <w:rPr>
          <w:sz w:val="20"/>
          <w:szCs w:val="20"/>
          <w:color w:val="auto"/>
        </w:rPr>
      </w:pPr>
      <w:r>
        <w:rPr>
          <w:rFonts w:ascii="Courier New" w:cs="Courier New" w:eastAsia="Courier New" w:hAnsi="Courier New"/>
          <w:sz w:val="12"/>
          <w:szCs w:val="12"/>
          <w:color w:val="auto"/>
        </w:rPr>
        <w:t>of</w:t>
        <w:tab/>
        <w:t>doubt,</w:t>
        <w:tab/>
        <w:t>this</w:t>
        <w:tab/>
        <w:t>paragraph</w:t>
        <w:tab/>
        <w:t>shall</w:t>
        <w:tab/>
        <w:t>not</w:t>
        <w:tab/>
        <w:t>apply to rights</w:t>
      </w:r>
    </w:p>
    <w:p>
      <w:pPr>
        <w:spacing w:after="0" w:line="6" w:lineRule="exact"/>
        <w:rPr>
          <w:sz w:val="20"/>
          <w:szCs w:val="20"/>
          <w:color w:val="auto"/>
        </w:rPr>
      </w:pPr>
    </w:p>
    <w:p>
      <w:pPr>
        <w:ind w:left="3520"/>
        <w:spacing w:after="0"/>
        <w:tabs>
          <w:tab w:leader="none" w:pos="6240" w:val="left"/>
          <w:tab w:leader="none" w:pos="6820" w:val="left"/>
        </w:tabs>
        <w:rPr>
          <w:sz w:val="20"/>
          <w:szCs w:val="20"/>
          <w:color w:val="auto"/>
        </w:rPr>
      </w:pPr>
      <w:r>
        <w:rPr>
          <w:rFonts w:ascii="Courier New" w:cs="Courier New" w:eastAsia="Courier New" w:hAnsi="Courier New"/>
          <w:sz w:val="12"/>
          <w:szCs w:val="12"/>
          <w:color w:val="auto"/>
        </w:rPr>
        <w:t>offerings conducted by the Borrower</w:t>
        <w:tab/>
        <w:t>not in</w:t>
        <w:tab/>
        <w:t>connection</w:t>
      </w:r>
    </w:p>
    <w:p>
      <w:pPr>
        <w:spacing w:after="0" w:line="6" w:lineRule="exact"/>
        <w:rPr>
          <w:sz w:val="20"/>
          <w:szCs w:val="20"/>
          <w:color w:val="auto"/>
        </w:rPr>
      </w:pPr>
    </w:p>
    <w:p>
      <w:pPr>
        <w:ind w:left="3520"/>
        <w:spacing w:after="0"/>
        <w:rPr>
          <w:sz w:val="20"/>
          <w:szCs w:val="20"/>
          <w:color w:val="auto"/>
        </w:rPr>
      </w:pPr>
      <w:r>
        <w:rPr>
          <w:rFonts w:ascii="Courier New" w:cs="Courier New" w:eastAsia="Courier New" w:hAnsi="Courier New"/>
          <w:sz w:val="12"/>
          <w:szCs w:val="12"/>
          <w:color w:val="auto"/>
        </w:rPr>
        <w:t>with any of the foregoing;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258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- 8 -</w:t>
            </w:r>
          </w:p>
        </w:tc>
        <w:tc>
          <w:tcPr>
            <w:tcW w:w="1180" w:type="dxa"/>
            <w:vAlign w:val="bottom"/>
          </w:tcPr>
          <w:p>
            <w:pPr>
              <w:spacing w:after="0"/>
              <w:rPr>
                <w:sz w:val="12"/>
                <w:szCs w:val="12"/>
                <w:color w:val="auto"/>
              </w:rPr>
            </w:pPr>
          </w:p>
        </w:tc>
      </w:tr>
      <w:tr>
        <w:trPr>
          <w:trHeight w:val="689"/>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1.1.19.</w:t>
            </w:r>
          </w:p>
        </w:tc>
        <w:tc>
          <w:tcPr>
            <w:tcW w:w="2580" w:type="dxa"/>
            <w:vAlign w:val="bottom"/>
          </w:tcPr>
          <w:p>
            <w:pPr>
              <w:jc w:val="right"/>
              <w:ind w:right="679"/>
              <w:spacing w:after="0"/>
              <w:rPr>
                <w:sz w:val="20"/>
                <w:szCs w:val="20"/>
                <w:color w:val="auto"/>
              </w:rPr>
            </w:pPr>
            <w:r>
              <w:rPr>
                <w:rFonts w:ascii="Courier New" w:cs="Courier New" w:eastAsia="Courier New" w:hAnsi="Courier New"/>
                <w:sz w:val="12"/>
                <w:szCs w:val="12"/>
                <w:color w:val="auto"/>
              </w:rPr>
              <w:t>"CHARGED ACCOUNTS"</w:t>
            </w:r>
          </w:p>
        </w:tc>
        <w:tc>
          <w:tcPr>
            <w:tcW w:w="1180" w:type="dxa"/>
            <w:vAlign w:val="bottom"/>
          </w:tcPr>
          <w:p>
            <w:pPr>
              <w:ind w:left="520"/>
              <w:spacing w:after="0"/>
              <w:rPr>
                <w:sz w:val="20"/>
                <w:szCs w:val="20"/>
                <w:color w:val="auto"/>
              </w:rPr>
            </w:pPr>
            <w:r>
              <w:rPr>
                <w:rFonts w:ascii="Courier New" w:cs="Courier New" w:eastAsia="Courier New" w:hAnsi="Courier New"/>
                <w:sz w:val="12"/>
                <w:szCs w:val="12"/>
                <w:color w:val="auto"/>
                <w:w w:val="98"/>
              </w:rPr>
              <w:t>-  means:</w:t>
            </w:r>
          </w:p>
        </w:tc>
      </w:tr>
    </w:tbl>
    <w:p>
      <w:pPr>
        <w:spacing w:after="0" w:line="145" w:lineRule="exact"/>
        <w:rPr>
          <w:sz w:val="20"/>
          <w:szCs w:val="20"/>
          <w:color w:val="auto"/>
        </w:rPr>
      </w:pPr>
    </w:p>
    <w:tbl>
      <w:tblPr>
        <w:tblLayout w:type="fixed"/>
        <w:tblInd w:w="4340" w:type="dxa"/>
        <w:tblCellMar>
          <w:top w:w="0" w:type="dxa"/>
          <w:left w:w="0" w:type="dxa"/>
          <w:bottom w:w="0" w:type="dxa"/>
          <w:right w:w="0" w:type="dxa"/>
        </w:tblCellMar>
      </w:tblPr>
      <w:tr>
        <w:trPr>
          <w:trHeight w:val="138"/>
        </w:trPr>
        <w:tc>
          <w:tcPr>
            <w:tcW w:w="360" w:type="dxa"/>
            <w:vAlign w:val="bottom"/>
          </w:tcPr>
          <w:p>
            <w:pPr>
              <w:spacing w:after="0"/>
              <w:rPr>
                <w:sz w:val="20"/>
                <w:szCs w:val="20"/>
                <w:color w:val="auto"/>
              </w:rPr>
            </w:pPr>
            <w:r>
              <w:rPr>
                <w:rFonts w:ascii="Courier New" w:cs="Courier New" w:eastAsia="Courier New" w:hAnsi="Courier New"/>
                <w:sz w:val="12"/>
                <w:szCs w:val="12"/>
                <w:color w:val="auto"/>
              </w:rPr>
              <w:t>(a)</w:t>
            </w:r>
          </w:p>
        </w:tc>
        <w:tc>
          <w:tcPr>
            <w:tcW w:w="520" w:type="dxa"/>
            <w:vAlign w:val="bottom"/>
          </w:tcPr>
          <w:p>
            <w:pPr>
              <w:ind w:left="160"/>
              <w:spacing w:after="0"/>
              <w:rPr>
                <w:sz w:val="20"/>
                <w:szCs w:val="20"/>
                <w:color w:val="auto"/>
              </w:rPr>
            </w:pPr>
            <w:r>
              <w:rPr>
                <w:rFonts w:ascii="Courier New" w:cs="Courier New" w:eastAsia="Courier New" w:hAnsi="Courier New"/>
                <w:sz w:val="12"/>
                <w:szCs w:val="12"/>
                <w:color w:val="auto"/>
              </w:rPr>
              <w:t>(i)</w:t>
            </w:r>
          </w:p>
        </w:tc>
        <w:tc>
          <w:tcPr>
            <w:tcW w:w="8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account</w:t>
            </w:r>
          </w:p>
        </w:tc>
        <w:tc>
          <w:tcPr>
            <w:tcW w:w="940" w:type="dxa"/>
            <w:vAlign w:val="bottom"/>
            <w:gridSpan w:val="5"/>
          </w:tcPr>
          <w:p>
            <w:pPr>
              <w:spacing w:after="0"/>
              <w:rPr>
                <w:sz w:val="20"/>
                <w:szCs w:val="20"/>
                <w:color w:val="auto"/>
              </w:rPr>
            </w:pPr>
            <w:r>
              <w:rPr>
                <w:rFonts w:ascii="Courier New" w:cs="Courier New" w:eastAsia="Courier New" w:hAnsi="Courier New"/>
                <w:sz w:val="12"/>
                <w:szCs w:val="12"/>
                <w:color w:val="auto"/>
                <w:w w:val="98"/>
              </w:rPr>
              <w:t>number 545454</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at Bank</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Hapoalim,</w:t>
            </w:r>
          </w:p>
        </w:tc>
        <w:tc>
          <w:tcPr>
            <w:tcW w:w="60" w:type="dxa"/>
            <w:vAlign w:val="bottom"/>
          </w:tcPr>
          <w:p>
            <w:pPr>
              <w:spacing w:after="0"/>
              <w:rPr>
                <w:sz w:val="12"/>
                <w:szCs w:val="12"/>
                <w:color w:val="auto"/>
              </w:rPr>
            </w:pPr>
          </w:p>
        </w:tc>
        <w:tc>
          <w:tcPr>
            <w:tcW w:w="156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Migdal Haemek Branch</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No. 728,</w:t>
            </w:r>
          </w:p>
        </w:tc>
        <w:tc>
          <w:tcPr>
            <w:tcW w:w="60" w:type="dxa"/>
            <w:vAlign w:val="bottom"/>
          </w:tcPr>
          <w:p>
            <w:pPr>
              <w:spacing w:after="0"/>
              <w:rPr>
                <w:sz w:val="12"/>
                <w:szCs w:val="12"/>
                <w:color w:val="auto"/>
              </w:rPr>
            </w:pPr>
          </w:p>
        </w:tc>
        <w:tc>
          <w:tcPr>
            <w:tcW w:w="156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in  the  name  of the</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Borrower,</w:t>
            </w:r>
          </w:p>
        </w:tc>
        <w:tc>
          <w:tcPr>
            <w:tcW w:w="6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into which</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account:</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(1) all</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repayments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prepayments</w:t>
            </w:r>
          </w:p>
        </w:tc>
        <w:tc>
          <w:tcPr>
            <w:tcW w:w="220" w:type="dxa"/>
            <w:vAlign w:val="bottom"/>
          </w:tcPr>
          <w:p>
            <w:pPr>
              <w:ind w:left="60"/>
              <w:spacing w:after="0"/>
              <w:rPr>
                <w:sz w:val="20"/>
                <w:szCs w:val="20"/>
                <w:color w:val="auto"/>
              </w:rPr>
            </w:pPr>
            <w:r>
              <w:rPr>
                <w:rFonts w:ascii="Courier New" w:cs="Courier New" w:eastAsia="Courier New" w:hAnsi="Courier New"/>
                <w:sz w:val="12"/>
                <w:szCs w:val="12"/>
                <w:color w:val="auto"/>
                <w:w w:val="96"/>
              </w:rPr>
              <w:t>of</w:t>
            </w: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Loans</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to Bank</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60" w:type="dxa"/>
            <w:vAlign w:val="bottom"/>
            <w:gridSpan w:val="7"/>
          </w:tcPr>
          <w:p>
            <w:pPr>
              <w:ind w:left="140"/>
              <w:spacing w:after="0"/>
              <w:rPr>
                <w:sz w:val="20"/>
                <w:szCs w:val="20"/>
                <w:color w:val="auto"/>
              </w:rPr>
            </w:pPr>
            <w:r>
              <w:rPr>
                <w:rFonts w:ascii="Courier New" w:cs="Courier New" w:eastAsia="Courier New" w:hAnsi="Courier New"/>
                <w:sz w:val="12"/>
                <w:szCs w:val="12"/>
                <w:color w:val="auto"/>
              </w:rPr>
              <w:t>Hapoalim will be made;</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 all</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2"/>
                <w:szCs w:val="12"/>
                <w:color w:val="auto"/>
                <w:w w:val="99"/>
              </w:rPr>
              <w:t>other</w:t>
            </w:r>
          </w:p>
        </w:tc>
        <w:tc>
          <w:tcPr>
            <w:tcW w:w="300" w:type="dxa"/>
            <w:vAlign w:val="bottom"/>
          </w:tcPr>
          <w:p>
            <w:pPr>
              <w:spacing w:after="0"/>
              <w:rPr>
                <w:sz w:val="12"/>
                <w:szCs w:val="12"/>
                <w:color w:val="auto"/>
              </w:rPr>
            </w:pPr>
          </w:p>
        </w:tc>
        <w:tc>
          <w:tcPr>
            <w:tcW w:w="720" w:type="dxa"/>
            <w:vAlign w:val="bottom"/>
            <w:gridSpan w:val="4"/>
          </w:tcPr>
          <w:p>
            <w:pPr>
              <w:spacing w:after="0"/>
              <w:rPr>
                <w:sz w:val="20"/>
                <w:szCs w:val="20"/>
                <w:color w:val="auto"/>
              </w:rPr>
            </w:pPr>
            <w:r>
              <w:rPr>
                <w:rFonts w:ascii="Courier New" w:cs="Courier New" w:eastAsia="Courier New" w:hAnsi="Courier New"/>
                <w:sz w:val="12"/>
                <w:szCs w:val="12"/>
                <w:color w:val="auto"/>
              </w:rPr>
              <w:t>payments</w:t>
            </w:r>
          </w:p>
        </w:tc>
        <w:tc>
          <w:tcPr>
            <w:tcW w:w="60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to</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Bank</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Hapoalim</w:t>
            </w:r>
          </w:p>
        </w:tc>
        <w:tc>
          <w:tcPr>
            <w:tcW w:w="60" w:type="dxa"/>
            <w:vAlign w:val="bottom"/>
          </w:tcPr>
          <w:p>
            <w:pPr>
              <w:spacing w:after="0"/>
              <w:rPr>
                <w:sz w:val="12"/>
                <w:szCs w:val="12"/>
                <w:color w:val="auto"/>
              </w:rPr>
            </w:pPr>
          </w:p>
        </w:tc>
        <w:tc>
          <w:tcPr>
            <w:tcW w:w="880" w:type="dxa"/>
            <w:vAlign w:val="bottom"/>
            <w:gridSpan w:val="4"/>
          </w:tcPr>
          <w:p>
            <w:pPr>
              <w:jc w:val="right"/>
              <w:ind w:right="79"/>
              <w:spacing w:after="0"/>
              <w:rPr>
                <w:sz w:val="20"/>
                <w:szCs w:val="20"/>
                <w:color w:val="auto"/>
              </w:rPr>
            </w:pPr>
            <w:r>
              <w:rPr>
                <w:rFonts w:ascii="Courier New" w:cs="Courier New" w:eastAsia="Courier New" w:hAnsi="Courier New"/>
                <w:sz w:val="12"/>
                <w:szCs w:val="12"/>
                <w:color w:val="auto"/>
                <w:w w:val="99"/>
              </w:rPr>
              <w:t>under this</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Agreement</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40" w:type="dxa"/>
            <w:vAlign w:val="bottom"/>
            <w:gridSpan w:val="8"/>
          </w:tcPr>
          <w:p>
            <w:pPr>
              <w:ind w:left="140"/>
              <w:spacing w:after="0"/>
              <w:rPr>
                <w:sz w:val="20"/>
                <w:szCs w:val="20"/>
                <w:color w:val="auto"/>
              </w:rPr>
            </w:pPr>
            <w:r>
              <w:rPr>
                <w:rFonts w:ascii="Courier New" w:cs="Courier New" w:eastAsia="Courier New" w:hAnsi="Courier New"/>
                <w:sz w:val="12"/>
                <w:szCs w:val="12"/>
                <w:color w:val="auto"/>
              </w:rPr>
              <w:t>are  to  be  made  pursuant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to</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2"/>
                <w:szCs w:val="12"/>
                <w:color w:val="auto"/>
              </w:rPr>
              <w:t>this</w:t>
            </w:r>
          </w:p>
        </w:tc>
        <w:tc>
          <w:tcPr>
            <w:tcW w:w="10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Agreement;</w:t>
            </w:r>
          </w:p>
        </w:tc>
        <w:tc>
          <w:tcPr>
            <w:tcW w:w="22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(3) gross</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revenues</w:t>
            </w:r>
          </w:p>
        </w:tc>
        <w:tc>
          <w:tcPr>
            <w:tcW w:w="60" w:type="dxa"/>
            <w:vAlign w:val="bottom"/>
          </w:tcPr>
          <w:p>
            <w:pPr>
              <w:spacing w:after="0"/>
              <w:rPr>
                <w:sz w:val="12"/>
                <w:szCs w:val="12"/>
                <w:color w:val="auto"/>
              </w:rPr>
            </w:pPr>
          </w:p>
        </w:tc>
        <w:tc>
          <w:tcPr>
            <w:tcW w:w="38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7"/>
              </w:rPr>
              <w:t>from</w:t>
            </w: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the</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Project</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9"/>
              </w:rPr>
              <w:t>(including</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from</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Wafer</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9"/>
              </w:rPr>
              <w:t>Prepayment</w:t>
            </w:r>
          </w:p>
        </w:tc>
        <w:tc>
          <w:tcPr>
            <w:tcW w:w="160" w:type="dxa"/>
            <w:vAlign w:val="bottom"/>
          </w:tcPr>
          <w:p>
            <w:pPr>
              <w:spacing w:after="0"/>
              <w:rPr>
                <w:sz w:val="12"/>
                <w:szCs w:val="12"/>
                <w:color w:val="auto"/>
              </w:rPr>
            </w:pPr>
          </w:p>
        </w:tc>
        <w:tc>
          <w:tcPr>
            <w:tcW w:w="72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8"/>
              </w:rPr>
              <w:t>Contracts</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or other</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9"/>
              </w:rPr>
              <w:t>sources of</w:t>
            </w:r>
          </w:p>
        </w:tc>
        <w:tc>
          <w:tcPr>
            <w:tcW w:w="160" w:type="dxa"/>
            <w:vAlign w:val="bottom"/>
          </w:tcPr>
          <w:p>
            <w:pPr>
              <w:spacing w:after="0"/>
              <w:rPr>
                <w:sz w:val="12"/>
                <w:szCs w:val="12"/>
                <w:color w:val="auto"/>
              </w:rPr>
            </w:pPr>
          </w:p>
        </w:tc>
        <w:tc>
          <w:tcPr>
            <w:tcW w:w="72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w w:val="97"/>
              </w:rPr>
              <w:t>revenue)</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are to be</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2"/>
                <w:szCs w:val="12"/>
                <w:color w:val="auto"/>
              </w:rPr>
              <w:t>paid</w:t>
            </w:r>
          </w:p>
        </w:tc>
        <w:tc>
          <w:tcPr>
            <w:tcW w:w="300" w:type="dxa"/>
            <w:vAlign w:val="bottom"/>
          </w:tcPr>
          <w:p>
            <w:pPr>
              <w:spacing w:after="0"/>
              <w:rPr>
                <w:sz w:val="12"/>
                <w:szCs w:val="12"/>
                <w:color w:val="auto"/>
              </w:rPr>
            </w:pPr>
          </w:p>
        </w:tc>
        <w:tc>
          <w:tcPr>
            <w:tcW w:w="720" w:type="dxa"/>
            <w:vAlign w:val="bottom"/>
            <w:gridSpan w:val="4"/>
          </w:tcPr>
          <w:p>
            <w:pPr>
              <w:spacing w:after="0"/>
              <w:rPr>
                <w:sz w:val="20"/>
                <w:szCs w:val="20"/>
                <w:color w:val="auto"/>
              </w:rPr>
            </w:pPr>
            <w:r>
              <w:rPr>
                <w:rFonts w:ascii="Courier New" w:cs="Courier New" w:eastAsia="Courier New" w:hAnsi="Courier New"/>
                <w:sz w:val="12"/>
                <w:szCs w:val="12"/>
                <w:color w:val="auto"/>
              </w:rPr>
              <w:t>pursuant</w:t>
            </w:r>
          </w:p>
        </w:tc>
        <w:tc>
          <w:tcPr>
            <w:tcW w:w="60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to</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this</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9"/>
              </w:rPr>
              <w:t>Agreement;</w:t>
            </w:r>
          </w:p>
        </w:tc>
        <w:tc>
          <w:tcPr>
            <w:tcW w:w="160" w:type="dxa"/>
            <w:vAlign w:val="bottom"/>
          </w:tcPr>
          <w:p>
            <w:pPr>
              <w:spacing w:after="0"/>
              <w:rPr>
                <w:sz w:val="12"/>
                <w:szCs w:val="12"/>
                <w:color w:val="auto"/>
              </w:rPr>
            </w:pPr>
          </w:p>
        </w:tc>
        <w:tc>
          <w:tcPr>
            <w:tcW w:w="140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(4) Grants from the</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9"/>
              </w:rPr>
              <w:t>Investment</w:t>
            </w:r>
          </w:p>
        </w:tc>
        <w:tc>
          <w:tcPr>
            <w:tcW w:w="160" w:type="dxa"/>
            <w:vAlign w:val="bottom"/>
          </w:tcPr>
          <w:p>
            <w:pPr>
              <w:spacing w:after="0"/>
              <w:rPr>
                <w:sz w:val="12"/>
                <w:szCs w:val="12"/>
                <w:color w:val="auto"/>
              </w:rPr>
            </w:pPr>
          </w:p>
        </w:tc>
        <w:tc>
          <w:tcPr>
            <w:tcW w:w="50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97"/>
              </w:rPr>
              <w:t>Centre</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w w:val="99"/>
              </w:rPr>
              <w:t>shall</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be</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2"/>
                <w:szCs w:val="12"/>
                <w:color w:val="auto"/>
              </w:rPr>
              <w:t>paid</w:t>
            </w: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rPr>
              <w:t>or</w:t>
            </w:r>
          </w:p>
        </w:tc>
        <w:tc>
          <w:tcPr>
            <w:tcW w:w="60" w:type="dxa"/>
            <w:vAlign w:val="bottom"/>
          </w:tcPr>
          <w:p>
            <w:pPr>
              <w:spacing w:after="0"/>
              <w:rPr>
                <w:sz w:val="12"/>
                <w:szCs w:val="12"/>
                <w:color w:val="auto"/>
              </w:rPr>
            </w:pPr>
          </w:p>
        </w:tc>
        <w:tc>
          <w:tcPr>
            <w:tcW w:w="88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transferred</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pursuant</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gridSpan w:val="6"/>
          </w:tcPr>
          <w:p>
            <w:pPr>
              <w:ind w:left="140"/>
              <w:spacing w:after="0"/>
              <w:rPr>
                <w:sz w:val="20"/>
                <w:szCs w:val="20"/>
                <w:color w:val="auto"/>
              </w:rPr>
            </w:pPr>
            <w:r>
              <w:rPr>
                <w:rFonts w:ascii="Courier New" w:cs="Courier New" w:eastAsia="Courier New" w:hAnsi="Courier New"/>
                <w:sz w:val="12"/>
                <w:szCs w:val="12"/>
                <w:color w:val="auto"/>
              </w:rPr>
              <w:t>to this Agreement;</w:t>
            </w:r>
          </w:p>
        </w:tc>
        <w:tc>
          <w:tcPr>
            <w:tcW w:w="9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(5) subject</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to (b) below,</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w w:val="92"/>
              </w:rPr>
              <w:t>the</w:t>
            </w:r>
          </w:p>
        </w:tc>
        <w:tc>
          <w:tcPr>
            <w:tcW w:w="9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proceeds of</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2"/>
                <w:szCs w:val="12"/>
                <w:color w:val="auto"/>
              </w:rPr>
              <w:t>all</w:t>
            </w:r>
          </w:p>
        </w:tc>
        <w:tc>
          <w:tcPr>
            <w:tcW w:w="74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Paid-in</w:t>
            </w:r>
          </w:p>
        </w:tc>
        <w:tc>
          <w:tcPr>
            <w:tcW w:w="880" w:type="dxa"/>
            <w:vAlign w:val="bottom"/>
            <w:gridSpan w:val="3"/>
          </w:tcPr>
          <w:p>
            <w:pPr>
              <w:jc w:val="right"/>
              <w:ind w:right="159"/>
              <w:spacing w:after="0"/>
              <w:rPr>
                <w:sz w:val="20"/>
                <w:szCs w:val="20"/>
                <w:color w:val="auto"/>
              </w:rPr>
            </w:pPr>
            <w:r>
              <w:rPr>
                <w:rFonts w:ascii="Courier New" w:cs="Courier New" w:eastAsia="Courier New" w:hAnsi="Courier New"/>
                <w:sz w:val="12"/>
                <w:szCs w:val="12"/>
                <w:color w:val="auto"/>
              </w:rPr>
              <w:t>Equity</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Permitted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4"/>
          </w:tcPr>
          <w:p>
            <w:pPr>
              <w:jc w:val="right"/>
              <w:ind w:right="159"/>
              <w:spacing w:after="0"/>
              <w:rPr>
                <w:sz w:val="20"/>
                <w:szCs w:val="20"/>
                <w:color w:val="auto"/>
              </w:rPr>
            </w:pPr>
            <w:r>
              <w:rPr>
                <w:rFonts w:ascii="Courier New" w:cs="Courier New" w:eastAsia="Courier New" w:hAnsi="Courier New"/>
                <w:sz w:val="12"/>
                <w:szCs w:val="12"/>
                <w:color w:val="auto"/>
                <w:w w:val="99"/>
              </w:rPr>
              <w:t>Subordinated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Debt</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40" w:type="dxa"/>
            <w:vAlign w:val="bottom"/>
            <w:gridSpan w:val="8"/>
          </w:tcPr>
          <w:p>
            <w:pPr>
              <w:ind w:left="140"/>
              <w:spacing w:after="0"/>
              <w:rPr>
                <w:sz w:val="20"/>
                <w:szCs w:val="20"/>
                <w:color w:val="auto"/>
              </w:rPr>
            </w:pPr>
            <w:r>
              <w:rPr>
                <w:rFonts w:ascii="Courier New" w:cs="Courier New" w:eastAsia="Courier New" w:hAnsi="Courier New"/>
                <w:sz w:val="12"/>
                <w:szCs w:val="12"/>
                <w:color w:val="auto"/>
              </w:rPr>
              <w:t>are  to  be  paid  pursuant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to</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2"/>
                <w:szCs w:val="12"/>
                <w:color w:val="auto"/>
              </w:rPr>
              <w:t>this</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Agreement;</w:t>
            </w:r>
          </w:p>
        </w:tc>
        <w:tc>
          <w:tcPr>
            <w:tcW w:w="3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(6) proceeds</w:t>
            </w:r>
          </w:p>
        </w:tc>
        <w:tc>
          <w:tcPr>
            <w:tcW w:w="2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c>
          <w:tcPr>
            <w:tcW w:w="9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insurance,</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gridSpan w:val="6"/>
          </w:tcPr>
          <w:p>
            <w:pPr>
              <w:ind w:left="140"/>
              <w:spacing w:after="0"/>
              <w:rPr>
                <w:sz w:val="20"/>
                <w:szCs w:val="20"/>
                <w:color w:val="auto"/>
              </w:rPr>
            </w:pPr>
            <w:r>
              <w:rPr>
                <w:rFonts w:ascii="Courier New" w:cs="Courier New" w:eastAsia="Courier New" w:hAnsi="Courier New"/>
                <w:sz w:val="12"/>
                <w:szCs w:val="12"/>
                <w:color w:val="auto"/>
              </w:rPr>
              <w:t>nationalisation,</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expropriation,</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c>
          <w:tcPr>
            <w:tcW w:w="9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requisition</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gridSpan w:val="6"/>
          </w:tcPr>
          <w:p>
            <w:pPr>
              <w:ind w:left="140"/>
              <w:spacing w:after="0"/>
              <w:rPr>
                <w:sz w:val="20"/>
                <w:szCs w:val="20"/>
                <w:color w:val="auto"/>
              </w:rPr>
            </w:pPr>
            <w:r>
              <w:rPr>
                <w:rFonts w:ascii="Courier New" w:cs="Courier New" w:eastAsia="Courier New" w:hAnsi="Courier New"/>
                <w:sz w:val="12"/>
                <w:szCs w:val="12"/>
                <w:color w:val="auto"/>
              </w:rPr>
              <w:t>for title or use,</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all</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amounts</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9"/>
              </w:rPr>
              <w:t>(including</w:t>
            </w:r>
          </w:p>
        </w:tc>
        <w:tc>
          <w:tcPr>
            <w:tcW w:w="160" w:type="dxa"/>
            <w:vAlign w:val="bottom"/>
          </w:tcPr>
          <w:p>
            <w:pPr>
              <w:spacing w:after="0"/>
              <w:rPr>
                <w:sz w:val="12"/>
                <w:szCs w:val="12"/>
                <w:color w:val="auto"/>
              </w:rPr>
            </w:pPr>
          </w:p>
        </w:tc>
        <w:tc>
          <w:tcPr>
            <w:tcW w:w="140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liquidated damages)</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2"/>
                <w:szCs w:val="12"/>
                <w:color w:val="auto"/>
              </w:rPr>
              <w:t>paid</w:t>
            </w:r>
          </w:p>
        </w:tc>
        <w:tc>
          <w:tcPr>
            <w:tcW w:w="5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to the</w:t>
            </w:r>
          </w:p>
        </w:tc>
        <w:tc>
          <w:tcPr>
            <w:tcW w:w="7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Borrower</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arising</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2"/>
                <w:szCs w:val="12"/>
                <w:color w:val="auto"/>
              </w:rPr>
              <w:t>out</w:t>
            </w: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of or in</w:t>
            </w:r>
          </w:p>
        </w:tc>
        <w:tc>
          <w:tcPr>
            <w:tcW w:w="88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w w:val="99"/>
              </w:rPr>
              <w:t>connection</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with</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2"/>
                <w:szCs w:val="12"/>
                <w:color w:val="auto"/>
              </w:rPr>
              <w:t>any</w:t>
            </w: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Contracts</w:t>
            </w:r>
          </w:p>
        </w:tc>
        <w:tc>
          <w:tcPr>
            <w:tcW w:w="118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entered into by</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2"/>
                <w:szCs w:val="12"/>
                <w:color w:val="auto"/>
              </w:rPr>
              <w:t>the</w:t>
            </w: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Borrower</w:t>
            </w:r>
          </w:p>
        </w:tc>
        <w:tc>
          <w:tcPr>
            <w:tcW w:w="118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and all proceeds</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40" w:type="dxa"/>
            <w:vAlign w:val="bottom"/>
            <w:gridSpan w:val="9"/>
          </w:tcPr>
          <w:p>
            <w:pPr>
              <w:ind w:left="140"/>
              <w:spacing w:after="0"/>
              <w:rPr>
                <w:sz w:val="20"/>
                <w:szCs w:val="20"/>
                <w:color w:val="auto"/>
              </w:rPr>
            </w:pPr>
            <w:r>
              <w:rPr>
                <w:rFonts w:ascii="Courier New" w:cs="Courier New" w:eastAsia="Courier New" w:hAnsi="Courier New"/>
                <w:sz w:val="12"/>
                <w:szCs w:val="12"/>
                <w:color w:val="auto"/>
              </w:rPr>
              <w:t>of  any   sale,   transfer   or</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licence</w:t>
            </w:r>
          </w:p>
        </w:tc>
        <w:tc>
          <w:tcPr>
            <w:tcW w:w="220" w:type="dxa"/>
            <w:vAlign w:val="bottom"/>
            <w:gridSpan w:val="2"/>
          </w:tcPr>
          <w:p>
            <w:pPr>
              <w:spacing w:after="0"/>
              <w:rPr>
                <w:sz w:val="20"/>
                <w:szCs w:val="20"/>
                <w:color w:val="auto"/>
              </w:rPr>
            </w:pPr>
            <w:r>
              <w:rPr>
                <w:rFonts w:ascii="Courier New" w:cs="Courier New" w:eastAsia="Courier New" w:hAnsi="Courier New"/>
                <w:sz w:val="12"/>
                <w:szCs w:val="12"/>
                <w:color w:val="auto"/>
              </w:rPr>
              <w:t>of</w:t>
            </w:r>
          </w:p>
        </w:tc>
        <w:tc>
          <w:tcPr>
            <w:tcW w:w="50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97"/>
              </w:rPr>
              <w:t>assets</w:t>
            </w:r>
          </w:p>
        </w:tc>
        <w:tc>
          <w:tcPr>
            <w:tcW w:w="9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(including</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Intellectual</w:t>
            </w:r>
          </w:p>
        </w:tc>
        <w:tc>
          <w:tcPr>
            <w:tcW w:w="7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Property</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Assets)</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40" w:type="dxa"/>
            <w:vAlign w:val="bottom"/>
            <w:gridSpan w:val="9"/>
          </w:tcPr>
          <w:p>
            <w:pPr>
              <w:ind w:left="140"/>
              <w:spacing w:after="0"/>
              <w:rPr>
                <w:sz w:val="20"/>
                <w:szCs w:val="20"/>
                <w:color w:val="auto"/>
              </w:rPr>
            </w:pPr>
            <w:r>
              <w:rPr>
                <w:rFonts w:ascii="Courier New" w:cs="Courier New" w:eastAsia="Courier New" w:hAnsi="Courier New"/>
                <w:sz w:val="12"/>
                <w:szCs w:val="12"/>
                <w:color w:val="auto"/>
              </w:rPr>
              <w:t>used  in  connection  with  the</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40" w:type="dxa"/>
            <w:vAlign w:val="bottom"/>
            <w:gridSpan w:val="9"/>
          </w:tcPr>
          <w:p>
            <w:pPr>
              <w:ind w:left="140"/>
              <w:spacing w:after="0"/>
              <w:rPr>
                <w:sz w:val="20"/>
                <w:szCs w:val="20"/>
                <w:color w:val="auto"/>
              </w:rPr>
            </w:pPr>
            <w:r>
              <w:rPr>
                <w:rFonts w:ascii="Courier New" w:cs="Courier New" w:eastAsia="Courier New" w:hAnsi="Courier New"/>
                <w:sz w:val="12"/>
                <w:szCs w:val="12"/>
                <w:color w:val="auto"/>
              </w:rPr>
              <w:t>Project,   are   to   be   paid</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pursuant</w:t>
            </w:r>
          </w:p>
        </w:tc>
        <w:tc>
          <w:tcPr>
            <w:tcW w:w="60" w:type="dxa"/>
            <w:vAlign w:val="bottom"/>
          </w:tcPr>
          <w:p>
            <w:pPr>
              <w:spacing w:after="0"/>
              <w:rPr>
                <w:sz w:val="12"/>
                <w:szCs w:val="12"/>
                <w:color w:val="auto"/>
              </w:rPr>
            </w:pPr>
          </w:p>
        </w:tc>
        <w:tc>
          <w:tcPr>
            <w:tcW w:w="3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to</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w w:val="90"/>
              </w:rPr>
              <w:t>this</w:t>
            </w:r>
          </w:p>
        </w:tc>
        <w:tc>
          <w:tcPr>
            <w:tcW w:w="22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Agreement</w:t>
            </w:r>
          </w:p>
        </w:tc>
      </w:tr>
      <w:tr>
        <w:trPr>
          <w:trHeight w:val="142"/>
        </w:trPr>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2"/>
                <w:szCs w:val="12"/>
                <w:color w:val="auto"/>
                <w:w w:val="99"/>
              </w:rPr>
              <w:t>("THE</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HAPOALIM</w:t>
            </w:r>
          </w:p>
        </w:tc>
        <w:tc>
          <w:tcPr>
            <w:tcW w:w="22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PROJECT</w:t>
            </w:r>
          </w:p>
        </w:tc>
      </w:tr>
    </w:tbl>
    <w:p>
      <w:pPr>
        <w:spacing w:after="0" w:line="3" w:lineRule="exact"/>
        <w:rPr>
          <w:sz w:val="20"/>
          <w:szCs w:val="20"/>
          <w:color w:val="auto"/>
        </w:rPr>
      </w:pPr>
    </w:p>
    <w:p>
      <w:pPr>
        <w:ind w:left="5360"/>
        <w:spacing w:after="0"/>
        <w:rPr>
          <w:sz w:val="20"/>
          <w:szCs w:val="20"/>
          <w:color w:val="auto"/>
        </w:rPr>
      </w:pPr>
      <w:r>
        <w:rPr>
          <w:rFonts w:ascii="Courier New" w:cs="Courier New" w:eastAsia="Courier New" w:hAnsi="Courier New"/>
          <w:sz w:val="12"/>
          <w:szCs w:val="12"/>
          <w:color w:val="auto"/>
        </w:rPr>
        <w:t>Account"); and</w:t>
      </w:r>
    </w:p>
    <w:p>
      <w:pPr>
        <w:spacing w:after="0" w:line="289"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- 9 -</w:t>
      </w:r>
    </w:p>
    <w:p>
      <w:pPr>
        <w:spacing w:after="0" w:line="200" w:lineRule="exact"/>
        <w:rPr>
          <w:sz w:val="20"/>
          <w:szCs w:val="20"/>
          <w:color w:val="auto"/>
        </w:rPr>
      </w:pPr>
    </w:p>
    <w:p>
      <w:pPr>
        <w:spacing w:after="0" w:line="353" w:lineRule="exact"/>
        <w:rPr>
          <w:sz w:val="20"/>
          <w:szCs w:val="20"/>
          <w:color w:val="auto"/>
        </w:rPr>
      </w:pPr>
    </w:p>
    <w:tbl>
      <w:tblPr>
        <w:tblLayout w:type="fixed"/>
        <w:tblInd w:w="4860" w:type="dxa"/>
        <w:tblCellMar>
          <w:top w:w="0" w:type="dxa"/>
          <w:left w:w="0" w:type="dxa"/>
          <w:bottom w:w="0" w:type="dxa"/>
          <w:right w:w="0" w:type="dxa"/>
        </w:tblCellMar>
      </w:tblPr>
      <w:tr>
        <w:trPr>
          <w:trHeight w:val="138"/>
        </w:trPr>
        <w:tc>
          <w:tcPr>
            <w:tcW w:w="1180" w:type="dxa"/>
            <w:vAlign w:val="bottom"/>
            <w:gridSpan w:val="2"/>
          </w:tcPr>
          <w:p>
            <w:pPr>
              <w:spacing w:after="0"/>
              <w:rPr>
                <w:sz w:val="20"/>
                <w:szCs w:val="20"/>
                <w:color w:val="auto"/>
              </w:rPr>
            </w:pPr>
            <w:r>
              <w:rPr>
                <w:rFonts w:ascii="Courier New" w:cs="Courier New" w:eastAsia="Courier New" w:hAnsi="Courier New"/>
                <w:sz w:val="12"/>
                <w:szCs w:val="12"/>
                <w:color w:val="auto"/>
              </w:rPr>
              <w:t>(ii)   account</w:t>
            </w:r>
          </w:p>
        </w:tc>
        <w:tc>
          <w:tcPr>
            <w:tcW w:w="60" w:type="dxa"/>
            <w:vAlign w:val="bottom"/>
          </w:tcPr>
          <w:p>
            <w:pPr>
              <w:spacing w:after="0"/>
              <w:rPr>
                <w:sz w:val="12"/>
                <w:szCs w:val="12"/>
                <w:color w:val="auto"/>
              </w:rPr>
            </w:pPr>
          </w:p>
        </w:tc>
        <w:tc>
          <w:tcPr>
            <w:tcW w:w="126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number 13030062</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at</w:t>
            </w:r>
          </w:p>
        </w:tc>
      </w:tr>
      <w:tr>
        <w:trPr>
          <w:trHeight w:val="142"/>
        </w:trPr>
        <w:tc>
          <w:tcPr>
            <w:tcW w:w="1400" w:type="dxa"/>
            <w:vAlign w:val="bottom"/>
            <w:gridSpan w:val="4"/>
          </w:tcPr>
          <w:p>
            <w:pPr>
              <w:ind w:left="500"/>
              <w:spacing w:after="0"/>
              <w:rPr>
                <w:sz w:val="20"/>
                <w:szCs w:val="20"/>
                <w:color w:val="auto"/>
              </w:rPr>
            </w:pPr>
            <w:r>
              <w:rPr>
                <w:rFonts w:ascii="Courier New" w:cs="Courier New" w:eastAsia="Courier New" w:hAnsi="Courier New"/>
                <w:sz w:val="12"/>
                <w:szCs w:val="12"/>
                <w:color w:val="auto"/>
              </w:rPr>
              <w:t>Bank Leumi,</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Haifa</w:t>
            </w: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Branch,</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1620" w:type="dxa"/>
            <w:vAlign w:val="bottom"/>
            <w:gridSpan w:val="5"/>
          </w:tcPr>
          <w:p>
            <w:pPr>
              <w:ind w:left="500"/>
              <w:spacing w:after="0"/>
              <w:rPr>
                <w:sz w:val="20"/>
                <w:szCs w:val="20"/>
                <w:color w:val="auto"/>
              </w:rPr>
            </w:pPr>
            <w:r>
              <w:rPr>
                <w:rFonts w:ascii="Courier New" w:cs="Courier New" w:eastAsia="Courier New" w:hAnsi="Courier New"/>
                <w:sz w:val="12"/>
                <w:szCs w:val="12"/>
                <w:color w:val="auto"/>
              </w:rPr>
              <w:t>the name of the</w:t>
            </w:r>
          </w:p>
        </w:tc>
        <w:tc>
          <w:tcPr>
            <w:tcW w:w="880" w:type="dxa"/>
            <w:vAlign w:val="bottom"/>
            <w:gridSpan w:val="4"/>
          </w:tcPr>
          <w:p>
            <w:pPr>
              <w:jc w:val="right"/>
              <w:ind w:right="79"/>
              <w:spacing w:after="0"/>
              <w:rPr>
                <w:sz w:val="20"/>
                <w:szCs w:val="20"/>
                <w:color w:val="auto"/>
              </w:rPr>
            </w:pPr>
            <w:r>
              <w:rPr>
                <w:rFonts w:ascii="Courier New" w:cs="Courier New" w:eastAsia="Courier New" w:hAnsi="Courier New"/>
                <w:sz w:val="12"/>
                <w:szCs w:val="12"/>
                <w:color w:val="auto"/>
              </w:rPr>
              <w:t>Borrower</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into</w:t>
            </w:r>
          </w:p>
        </w:tc>
      </w:tr>
      <w:tr>
        <w:trPr>
          <w:trHeight w:val="142"/>
        </w:trPr>
        <w:tc>
          <w:tcPr>
            <w:tcW w:w="880" w:type="dxa"/>
            <w:vAlign w:val="bottom"/>
          </w:tcPr>
          <w:p>
            <w:pPr>
              <w:ind w:left="500"/>
              <w:spacing w:after="0"/>
              <w:rPr>
                <w:sz w:val="20"/>
                <w:szCs w:val="20"/>
                <w:color w:val="auto"/>
              </w:rPr>
            </w:pPr>
            <w:r>
              <w:rPr>
                <w:rFonts w:ascii="Courier New" w:cs="Courier New" w:eastAsia="Courier New" w:hAnsi="Courier New"/>
                <w:sz w:val="12"/>
                <w:szCs w:val="12"/>
                <w:color w:val="auto"/>
                <w:w w:val="99"/>
              </w:rPr>
              <w:t>which</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account: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 all</w:t>
            </w:r>
          </w:p>
        </w:tc>
      </w:tr>
      <w:tr>
        <w:trPr>
          <w:trHeight w:val="142"/>
        </w:trPr>
        <w:tc>
          <w:tcPr>
            <w:tcW w:w="1240" w:type="dxa"/>
            <w:vAlign w:val="bottom"/>
            <w:gridSpan w:val="3"/>
          </w:tcPr>
          <w:p>
            <w:pPr>
              <w:ind w:left="500"/>
              <w:spacing w:after="0"/>
              <w:rPr>
                <w:sz w:val="20"/>
                <w:szCs w:val="20"/>
                <w:color w:val="auto"/>
              </w:rPr>
            </w:pPr>
            <w:r>
              <w:rPr>
                <w:rFonts w:ascii="Courier New" w:cs="Courier New" w:eastAsia="Courier New" w:hAnsi="Courier New"/>
                <w:sz w:val="12"/>
                <w:szCs w:val="12"/>
                <w:color w:val="auto"/>
                <w:w w:val="99"/>
              </w:rPr>
              <w:t>repayments</w:t>
            </w:r>
          </w:p>
        </w:tc>
        <w:tc>
          <w:tcPr>
            <w:tcW w:w="1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and</w:t>
            </w:r>
          </w:p>
        </w:tc>
        <w:tc>
          <w:tcPr>
            <w:tcW w:w="11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prepayments of</w:t>
            </w:r>
          </w:p>
        </w:tc>
      </w:tr>
      <w:tr>
        <w:trPr>
          <w:trHeight w:val="142"/>
        </w:trPr>
        <w:tc>
          <w:tcPr>
            <w:tcW w:w="2800" w:type="dxa"/>
            <w:vAlign w:val="bottom"/>
            <w:gridSpan w:val="10"/>
          </w:tcPr>
          <w:p>
            <w:pPr>
              <w:ind w:left="500"/>
              <w:spacing w:after="0"/>
              <w:rPr>
                <w:sz w:val="20"/>
                <w:szCs w:val="20"/>
                <w:color w:val="auto"/>
              </w:rPr>
            </w:pPr>
            <w:r>
              <w:rPr>
                <w:rFonts w:ascii="Courier New" w:cs="Courier New" w:eastAsia="Courier New" w:hAnsi="Courier New"/>
                <w:sz w:val="12"/>
                <w:szCs w:val="12"/>
                <w:color w:val="auto"/>
              </w:rPr>
              <w:t>Loans  to  Bank  Leumi  will be</w:t>
            </w:r>
          </w:p>
        </w:tc>
      </w:tr>
      <w:tr>
        <w:trPr>
          <w:trHeight w:val="142"/>
        </w:trPr>
        <w:tc>
          <w:tcPr>
            <w:tcW w:w="880" w:type="dxa"/>
            <w:vAlign w:val="bottom"/>
          </w:tcPr>
          <w:p>
            <w:pPr>
              <w:ind w:left="500"/>
              <w:spacing w:after="0"/>
              <w:rPr>
                <w:sz w:val="20"/>
                <w:szCs w:val="20"/>
                <w:color w:val="auto"/>
              </w:rPr>
            </w:pPr>
            <w:r>
              <w:rPr>
                <w:rFonts w:ascii="Courier New" w:cs="Courier New" w:eastAsia="Courier New" w:hAnsi="Courier New"/>
                <w:sz w:val="12"/>
                <w:szCs w:val="12"/>
                <w:color w:val="auto"/>
                <w:w w:val="99"/>
              </w:rPr>
              <w:t>made;</w:t>
            </w:r>
          </w:p>
        </w:tc>
        <w:tc>
          <w:tcPr>
            <w:tcW w:w="74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(2) all</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other</w:t>
            </w:r>
          </w:p>
        </w:tc>
        <w:tc>
          <w:tcPr>
            <w:tcW w:w="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payments</w:t>
            </w:r>
          </w:p>
        </w:tc>
      </w:tr>
      <w:tr>
        <w:trPr>
          <w:trHeight w:val="142"/>
        </w:trPr>
        <w:tc>
          <w:tcPr>
            <w:tcW w:w="2800" w:type="dxa"/>
            <w:vAlign w:val="bottom"/>
            <w:gridSpan w:val="10"/>
          </w:tcPr>
          <w:p>
            <w:pPr>
              <w:ind w:left="500"/>
              <w:spacing w:after="0"/>
              <w:rPr>
                <w:sz w:val="20"/>
                <w:szCs w:val="20"/>
                <w:color w:val="auto"/>
              </w:rPr>
            </w:pPr>
            <w:r>
              <w:rPr>
                <w:rFonts w:ascii="Courier New" w:cs="Courier New" w:eastAsia="Courier New" w:hAnsi="Courier New"/>
                <w:sz w:val="12"/>
                <w:szCs w:val="12"/>
                <w:color w:val="auto"/>
              </w:rPr>
              <w:t>to  Bank   Leumi   under   this</w:t>
            </w:r>
          </w:p>
        </w:tc>
      </w:tr>
      <w:tr>
        <w:trPr>
          <w:trHeight w:val="142"/>
        </w:trPr>
        <w:tc>
          <w:tcPr>
            <w:tcW w:w="1180" w:type="dxa"/>
            <w:vAlign w:val="bottom"/>
            <w:gridSpan w:val="2"/>
          </w:tcPr>
          <w:p>
            <w:pPr>
              <w:ind w:left="500"/>
              <w:spacing w:after="0"/>
              <w:rPr>
                <w:sz w:val="20"/>
                <w:szCs w:val="20"/>
                <w:color w:val="auto"/>
              </w:rPr>
            </w:pPr>
            <w:r>
              <w:rPr>
                <w:rFonts w:ascii="Courier New" w:cs="Courier New" w:eastAsia="Courier New" w:hAnsi="Courier New"/>
                <w:sz w:val="12"/>
                <w:szCs w:val="12"/>
                <w:color w:val="auto"/>
              </w:rPr>
              <w:t>Agreement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are</w:t>
            </w: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to</w:t>
            </w:r>
          </w:p>
        </w:tc>
        <w:tc>
          <w:tcPr>
            <w:tcW w:w="60" w:type="dxa"/>
            <w:vAlign w:val="bottom"/>
          </w:tcPr>
          <w:p>
            <w:pPr>
              <w:spacing w:after="0"/>
              <w:rPr>
                <w:sz w:val="12"/>
                <w:szCs w:val="12"/>
                <w:color w:val="auto"/>
              </w:rPr>
            </w:pPr>
          </w:p>
        </w:tc>
        <w:tc>
          <w:tcPr>
            <w:tcW w:w="380" w:type="dxa"/>
            <w:vAlign w:val="bottom"/>
          </w:tcPr>
          <w:p>
            <w:pPr>
              <w:spacing w:after="0"/>
              <w:rPr>
                <w:sz w:val="20"/>
                <w:szCs w:val="20"/>
                <w:color w:val="auto"/>
              </w:rPr>
            </w:pPr>
            <w:r>
              <w:rPr>
                <w:rFonts w:ascii="Courier New" w:cs="Courier New" w:eastAsia="Courier New" w:hAnsi="Courier New"/>
                <w:sz w:val="12"/>
                <w:szCs w:val="12"/>
                <w:color w:val="auto"/>
              </w:rPr>
              <w:t>be</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made</w:t>
            </w:r>
          </w:p>
        </w:tc>
      </w:tr>
      <w:tr>
        <w:trPr>
          <w:trHeight w:val="142"/>
        </w:trPr>
        <w:tc>
          <w:tcPr>
            <w:tcW w:w="1180" w:type="dxa"/>
            <w:vAlign w:val="bottom"/>
            <w:gridSpan w:val="2"/>
          </w:tcPr>
          <w:p>
            <w:pPr>
              <w:ind w:left="500"/>
              <w:spacing w:after="0"/>
              <w:rPr>
                <w:sz w:val="20"/>
                <w:szCs w:val="20"/>
                <w:color w:val="auto"/>
              </w:rPr>
            </w:pPr>
            <w:r>
              <w:rPr>
                <w:rFonts w:ascii="Courier New" w:cs="Courier New" w:eastAsia="Courier New" w:hAnsi="Courier New"/>
                <w:sz w:val="12"/>
                <w:szCs w:val="12"/>
                <w:color w:val="auto"/>
              </w:rPr>
              <w:t>pursuant</w:t>
            </w:r>
          </w:p>
        </w:tc>
        <w:tc>
          <w:tcPr>
            <w:tcW w:w="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w w:val="96"/>
              </w:rPr>
              <w:t>to</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this</w:t>
            </w:r>
          </w:p>
        </w:tc>
        <w:tc>
          <w:tcPr>
            <w:tcW w:w="22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9"/>
              </w:rPr>
              <w:t>Agreement;</w:t>
            </w:r>
          </w:p>
        </w:tc>
      </w:tr>
      <w:tr>
        <w:trPr>
          <w:trHeight w:val="142"/>
        </w:trPr>
        <w:tc>
          <w:tcPr>
            <w:tcW w:w="1180" w:type="dxa"/>
            <w:vAlign w:val="bottom"/>
            <w:gridSpan w:val="2"/>
          </w:tcPr>
          <w:p>
            <w:pPr>
              <w:ind w:left="500"/>
              <w:spacing w:after="0"/>
              <w:rPr>
                <w:sz w:val="20"/>
                <w:szCs w:val="20"/>
                <w:color w:val="auto"/>
              </w:rPr>
            </w:pPr>
            <w:r>
              <w:rPr>
                <w:rFonts w:ascii="Courier New" w:cs="Courier New" w:eastAsia="Courier New" w:hAnsi="Courier New"/>
                <w:sz w:val="12"/>
                <w:szCs w:val="12"/>
                <w:color w:val="auto"/>
              </w:rPr>
              <w:t>(3) gross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revenues</w:t>
            </w:r>
          </w:p>
        </w:tc>
        <w:tc>
          <w:tcPr>
            <w:tcW w:w="60" w:type="dxa"/>
            <w:vAlign w:val="bottom"/>
          </w:tcPr>
          <w:p>
            <w:pPr>
              <w:spacing w:after="0"/>
              <w:rPr>
                <w:sz w:val="12"/>
                <w:szCs w:val="12"/>
                <w:color w:val="auto"/>
              </w:rPr>
            </w:pPr>
          </w:p>
        </w:tc>
        <w:tc>
          <w:tcPr>
            <w:tcW w:w="380" w:type="dxa"/>
            <w:vAlign w:val="bottom"/>
          </w:tcPr>
          <w:p>
            <w:pPr>
              <w:spacing w:after="0"/>
              <w:rPr>
                <w:sz w:val="20"/>
                <w:szCs w:val="20"/>
                <w:color w:val="auto"/>
              </w:rPr>
            </w:pPr>
            <w:r>
              <w:rPr>
                <w:rFonts w:ascii="Courier New" w:cs="Courier New" w:eastAsia="Courier New" w:hAnsi="Courier New"/>
                <w:sz w:val="12"/>
                <w:szCs w:val="12"/>
                <w:color w:val="auto"/>
              </w:rPr>
              <w:t>from</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180" w:type="dxa"/>
            <w:vAlign w:val="bottom"/>
            <w:gridSpan w:val="2"/>
          </w:tcPr>
          <w:p>
            <w:pPr>
              <w:ind w:left="500"/>
              <w:spacing w:after="0"/>
              <w:rPr>
                <w:sz w:val="20"/>
                <w:szCs w:val="20"/>
                <w:color w:val="auto"/>
              </w:rPr>
            </w:pPr>
            <w:r>
              <w:rPr>
                <w:rFonts w:ascii="Courier New" w:cs="Courier New" w:eastAsia="Courier New" w:hAnsi="Courier New"/>
                <w:sz w:val="12"/>
                <w:szCs w:val="12"/>
                <w:color w:val="auto"/>
              </w:rPr>
              <w:t>Project</w:t>
            </w:r>
          </w:p>
        </w:tc>
        <w:tc>
          <w:tcPr>
            <w:tcW w:w="880" w:type="dxa"/>
            <w:vAlign w:val="bottom"/>
            <w:gridSpan w:val="5"/>
          </w:tcPr>
          <w:p>
            <w:pPr>
              <w:spacing w:after="0"/>
              <w:rPr>
                <w:sz w:val="20"/>
                <w:szCs w:val="20"/>
                <w:color w:val="auto"/>
              </w:rPr>
            </w:pPr>
            <w:r>
              <w:rPr>
                <w:rFonts w:ascii="Courier New" w:cs="Courier New" w:eastAsia="Courier New" w:hAnsi="Courier New"/>
                <w:sz w:val="12"/>
                <w:szCs w:val="12"/>
                <w:color w:val="auto"/>
              </w:rPr>
              <w:t>(including</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9"/>
              </w:rPr>
              <w:t>from Wafer</w:t>
            </w:r>
          </w:p>
        </w:tc>
      </w:tr>
      <w:tr>
        <w:trPr>
          <w:trHeight w:val="142"/>
        </w:trPr>
        <w:tc>
          <w:tcPr>
            <w:tcW w:w="1240" w:type="dxa"/>
            <w:vAlign w:val="bottom"/>
            <w:gridSpan w:val="3"/>
          </w:tcPr>
          <w:p>
            <w:pPr>
              <w:ind w:left="500"/>
              <w:spacing w:after="0"/>
              <w:rPr>
                <w:sz w:val="20"/>
                <w:szCs w:val="20"/>
                <w:color w:val="auto"/>
              </w:rPr>
            </w:pPr>
            <w:r>
              <w:rPr>
                <w:rFonts w:ascii="Courier New" w:cs="Courier New" w:eastAsia="Courier New" w:hAnsi="Courier New"/>
                <w:sz w:val="12"/>
                <w:szCs w:val="12"/>
                <w:color w:val="auto"/>
                <w:w w:val="99"/>
              </w:rPr>
              <w:t>Prepayment</w:t>
            </w:r>
          </w:p>
        </w:tc>
        <w:tc>
          <w:tcPr>
            <w:tcW w:w="16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w w:val="98"/>
              </w:rPr>
              <w:t>Contracts</w:t>
            </w:r>
          </w:p>
        </w:tc>
        <w:tc>
          <w:tcPr>
            <w:tcW w:w="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or other</w:t>
            </w:r>
          </w:p>
        </w:tc>
      </w:tr>
      <w:tr>
        <w:trPr>
          <w:trHeight w:val="142"/>
        </w:trPr>
        <w:tc>
          <w:tcPr>
            <w:tcW w:w="1240" w:type="dxa"/>
            <w:vAlign w:val="bottom"/>
            <w:gridSpan w:val="3"/>
          </w:tcPr>
          <w:p>
            <w:pPr>
              <w:ind w:left="500"/>
              <w:spacing w:after="0"/>
              <w:rPr>
                <w:sz w:val="20"/>
                <w:szCs w:val="20"/>
                <w:color w:val="auto"/>
              </w:rPr>
            </w:pPr>
            <w:r>
              <w:rPr>
                <w:rFonts w:ascii="Courier New" w:cs="Courier New" w:eastAsia="Courier New" w:hAnsi="Courier New"/>
                <w:sz w:val="12"/>
                <w:szCs w:val="12"/>
                <w:color w:val="auto"/>
                <w:w w:val="99"/>
              </w:rPr>
              <w:t>sources of</w:t>
            </w:r>
          </w:p>
        </w:tc>
        <w:tc>
          <w:tcPr>
            <w:tcW w:w="16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revenue)</w:t>
            </w:r>
          </w:p>
        </w:tc>
        <w:tc>
          <w:tcPr>
            <w:tcW w:w="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are to be</w:t>
            </w:r>
          </w:p>
        </w:tc>
      </w:tr>
      <w:tr>
        <w:trPr>
          <w:trHeight w:val="142"/>
        </w:trPr>
        <w:tc>
          <w:tcPr>
            <w:tcW w:w="880" w:type="dxa"/>
            <w:vAlign w:val="bottom"/>
          </w:tcPr>
          <w:p>
            <w:pPr>
              <w:ind w:left="500"/>
              <w:spacing w:after="0"/>
              <w:rPr>
                <w:sz w:val="20"/>
                <w:szCs w:val="20"/>
                <w:color w:val="auto"/>
              </w:rPr>
            </w:pPr>
            <w:r>
              <w:rPr>
                <w:rFonts w:ascii="Courier New" w:cs="Courier New" w:eastAsia="Courier New" w:hAnsi="Courier New"/>
                <w:sz w:val="12"/>
                <w:szCs w:val="12"/>
                <w:color w:val="auto"/>
              </w:rPr>
              <w:t>paid</w:t>
            </w:r>
          </w:p>
        </w:tc>
        <w:tc>
          <w:tcPr>
            <w:tcW w:w="300" w:type="dxa"/>
            <w:vAlign w:val="bottom"/>
          </w:tcPr>
          <w:p>
            <w:pPr>
              <w:spacing w:after="0"/>
              <w:rPr>
                <w:sz w:val="12"/>
                <w:szCs w:val="12"/>
                <w:color w:val="auto"/>
              </w:rPr>
            </w:pP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rPr>
              <w:t>pursuant</w:t>
            </w:r>
          </w:p>
        </w:tc>
        <w:tc>
          <w:tcPr>
            <w:tcW w:w="220" w:type="dxa"/>
            <w:vAlign w:val="bottom"/>
          </w:tcPr>
          <w:p>
            <w:pPr>
              <w:spacing w:after="0"/>
              <w:rPr>
                <w:sz w:val="12"/>
                <w:szCs w:val="12"/>
                <w:color w:val="auto"/>
              </w:rPr>
            </w:pPr>
          </w:p>
        </w:tc>
        <w:tc>
          <w:tcPr>
            <w:tcW w:w="44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w w:val="82"/>
              </w:rPr>
              <w:t>to</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this</w:t>
            </w:r>
          </w:p>
        </w:tc>
      </w:tr>
      <w:tr>
        <w:trPr>
          <w:trHeight w:val="142"/>
        </w:trPr>
        <w:tc>
          <w:tcPr>
            <w:tcW w:w="1240" w:type="dxa"/>
            <w:vAlign w:val="bottom"/>
            <w:gridSpan w:val="3"/>
          </w:tcPr>
          <w:p>
            <w:pPr>
              <w:ind w:left="500"/>
              <w:spacing w:after="0"/>
              <w:rPr>
                <w:sz w:val="20"/>
                <w:szCs w:val="20"/>
                <w:color w:val="auto"/>
              </w:rPr>
            </w:pPr>
            <w:r>
              <w:rPr>
                <w:rFonts w:ascii="Courier New" w:cs="Courier New" w:eastAsia="Courier New" w:hAnsi="Courier New"/>
                <w:sz w:val="12"/>
                <w:szCs w:val="12"/>
                <w:color w:val="auto"/>
                <w:w w:val="99"/>
              </w:rPr>
              <w:t>Agreement;</w:t>
            </w:r>
          </w:p>
        </w:tc>
        <w:tc>
          <w:tcPr>
            <w:tcW w:w="160" w:type="dxa"/>
            <w:vAlign w:val="bottom"/>
          </w:tcPr>
          <w:p>
            <w:pPr>
              <w:spacing w:after="0"/>
              <w:rPr>
                <w:sz w:val="12"/>
                <w:szCs w:val="12"/>
                <w:color w:val="auto"/>
              </w:rPr>
            </w:pPr>
          </w:p>
        </w:tc>
        <w:tc>
          <w:tcPr>
            <w:tcW w:w="1400" w:type="dxa"/>
            <w:vAlign w:val="bottom"/>
            <w:gridSpan w:val="6"/>
          </w:tcPr>
          <w:p>
            <w:pPr>
              <w:spacing w:after="0"/>
              <w:rPr>
                <w:sz w:val="20"/>
                <w:szCs w:val="20"/>
                <w:color w:val="auto"/>
              </w:rPr>
            </w:pPr>
            <w:r>
              <w:rPr>
                <w:rFonts w:ascii="Courier New" w:cs="Courier New" w:eastAsia="Courier New" w:hAnsi="Courier New"/>
                <w:sz w:val="12"/>
                <w:szCs w:val="12"/>
                <w:color w:val="auto"/>
              </w:rPr>
              <w:t>(4) Grants from the</w:t>
            </w:r>
          </w:p>
        </w:tc>
      </w:tr>
      <w:tr>
        <w:trPr>
          <w:trHeight w:val="142"/>
        </w:trPr>
        <w:tc>
          <w:tcPr>
            <w:tcW w:w="1240" w:type="dxa"/>
            <w:vAlign w:val="bottom"/>
            <w:gridSpan w:val="3"/>
          </w:tcPr>
          <w:p>
            <w:pPr>
              <w:ind w:left="500"/>
              <w:spacing w:after="0"/>
              <w:rPr>
                <w:sz w:val="20"/>
                <w:szCs w:val="20"/>
                <w:color w:val="auto"/>
              </w:rPr>
            </w:pPr>
            <w:r>
              <w:rPr>
                <w:rFonts w:ascii="Courier New" w:cs="Courier New" w:eastAsia="Courier New" w:hAnsi="Courier New"/>
                <w:sz w:val="12"/>
                <w:szCs w:val="12"/>
                <w:color w:val="auto"/>
                <w:w w:val="99"/>
              </w:rPr>
              <w:t>Investment</w:t>
            </w:r>
          </w:p>
        </w:tc>
        <w:tc>
          <w:tcPr>
            <w:tcW w:w="160" w:type="dxa"/>
            <w:vAlign w:val="bottom"/>
          </w:tcPr>
          <w:p>
            <w:pPr>
              <w:spacing w:after="0"/>
              <w:rPr>
                <w:sz w:val="12"/>
                <w:szCs w:val="12"/>
                <w:color w:val="auto"/>
              </w:rPr>
            </w:pPr>
          </w:p>
        </w:tc>
        <w:tc>
          <w:tcPr>
            <w:tcW w:w="660" w:type="dxa"/>
            <w:vAlign w:val="bottom"/>
            <w:gridSpan w:val="3"/>
          </w:tcPr>
          <w:p>
            <w:pPr>
              <w:jc w:val="right"/>
              <w:ind w:right="99"/>
              <w:spacing w:after="0"/>
              <w:rPr>
                <w:sz w:val="20"/>
                <w:szCs w:val="20"/>
                <w:color w:val="auto"/>
              </w:rPr>
            </w:pPr>
            <w:r>
              <w:rPr>
                <w:rFonts w:ascii="Courier New" w:cs="Courier New" w:eastAsia="Courier New" w:hAnsi="Courier New"/>
                <w:sz w:val="12"/>
                <w:szCs w:val="12"/>
                <w:color w:val="auto"/>
              </w:rPr>
              <w:t>Centre</w:t>
            </w:r>
          </w:p>
        </w:tc>
        <w:tc>
          <w:tcPr>
            <w:tcW w:w="60" w:type="dxa"/>
            <w:vAlign w:val="bottom"/>
          </w:tcPr>
          <w:p>
            <w:pPr>
              <w:spacing w:after="0"/>
              <w:rPr>
                <w:sz w:val="12"/>
                <w:szCs w:val="12"/>
                <w:color w:val="auto"/>
              </w:rPr>
            </w:pPr>
          </w:p>
        </w:tc>
        <w:tc>
          <w:tcPr>
            <w:tcW w:w="380" w:type="dxa"/>
            <w:vAlign w:val="bottom"/>
          </w:tcPr>
          <w:p>
            <w:pPr>
              <w:spacing w:after="0"/>
              <w:rPr>
                <w:sz w:val="20"/>
                <w:szCs w:val="20"/>
                <w:color w:val="auto"/>
              </w:rPr>
            </w:pPr>
            <w:r>
              <w:rPr>
                <w:rFonts w:ascii="Courier New" w:cs="Courier New" w:eastAsia="Courier New" w:hAnsi="Courier New"/>
                <w:sz w:val="12"/>
                <w:szCs w:val="12"/>
                <w:color w:val="auto"/>
                <w:w w:val="99"/>
              </w:rPr>
              <w:t>shall</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be</w:t>
            </w:r>
          </w:p>
        </w:tc>
      </w:tr>
      <w:tr>
        <w:trPr>
          <w:trHeight w:val="142"/>
        </w:trPr>
        <w:tc>
          <w:tcPr>
            <w:tcW w:w="880" w:type="dxa"/>
            <w:vAlign w:val="bottom"/>
          </w:tcPr>
          <w:p>
            <w:pPr>
              <w:ind w:left="500"/>
              <w:spacing w:after="0"/>
              <w:rPr>
                <w:sz w:val="20"/>
                <w:szCs w:val="20"/>
                <w:color w:val="auto"/>
              </w:rPr>
            </w:pPr>
            <w:r>
              <w:rPr>
                <w:rFonts w:ascii="Courier New" w:cs="Courier New" w:eastAsia="Courier New" w:hAnsi="Courier New"/>
                <w:sz w:val="12"/>
                <w:szCs w:val="12"/>
                <w:color w:val="auto"/>
              </w:rPr>
              <w:t>paid</w:t>
            </w: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rPr>
              <w:t>or</w:t>
            </w:r>
          </w:p>
        </w:tc>
        <w:tc>
          <w:tcPr>
            <w:tcW w:w="60" w:type="dxa"/>
            <w:vAlign w:val="bottom"/>
          </w:tcPr>
          <w:p>
            <w:pPr>
              <w:spacing w:after="0"/>
              <w:rPr>
                <w:sz w:val="12"/>
                <w:szCs w:val="12"/>
                <w:color w:val="auto"/>
              </w:rPr>
            </w:pPr>
          </w:p>
        </w:tc>
        <w:tc>
          <w:tcPr>
            <w:tcW w:w="8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transferred</w:t>
            </w:r>
          </w:p>
        </w:tc>
        <w:tc>
          <w:tcPr>
            <w:tcW w:w="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pursuant</w:t>
            </w:r>
          </w:p>
        </w:tc>
      </w:tr>
      <w:tr>
        <w:trPr>
          <w:trHeight w:val="142"/>
        </w:trPr>
        <w:tc>
          <w:tcPr>
            <w:tcW w:w="1840" w:type="dxa"/>
            <w:vAlign w:val="bottom"/>
            <w:gridSpan w:val="6"/>
          </w:tcPr>
          <w:p>
            <w:pPr>
              <w:ind w:left="500"/>
              <w:spacing w:after="0"/>
              <w:rPr>
                <w:sz w:val="20"/>
                <w:szCs w:val="20"/>
                <w:color w:val="auto"/>
              </w:rPr>
            </w:pPr>
            <w:r>
              <w:rPr>
                <w:rFonts w:ascii="Courier New" w:cs="Courier New" w:eastAsia="Courier New" w:hAnsi="Courier New"/>
                <w:sz w:val="12"/>
                <w:szCs w:val="12"/>
                <w:color w:val="auto"/>
              </w:rPr>
              <w:t>to this Agreement;</w:t>
            </w:r>
          </w:p>
        </w:tc>
        <w:tc>
          <w:tcPr>
            <w:tcW w:w="96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(5) subject</w:t>
            </w:r>
          </w:p>
        </w:tc>
      </w:tr>
      <w:tr>
        <w:trPr>
          <w:trHeight w:val="142"/>
        </w:trPr>
        <w:tc>
          <w:tcPr>
            <w:tcW w:w="1620" w:type="dxa"/>
            <w:vAlign w:val="bottom"/>
            <w:gridSpan w:val="5"/>
          </w:tcPr>
          <w:p>
            <w:pPr>
              <w:ind w:left="500"/>
              <w:spacing w:after="0"/>
              <w:rPr>
                <w:sz w:val="20"/>
                <w:szCs w:val="20"/>
                <w:color w:val="auto"/>
              </w:rPr>
            </w:pPr>
            <w:r>
              <w:rPr>
                <w:rFonts w:ascii="Courier New" w:cs="Courier New" w:eastAsia="Courier New" w:hAnsi="Courier New"/>
                <w:sz w:val="12"/>
                <w:szCs w:val="12"/>
                <w:color w:val="auto"/>
              </w:rPr>
              <w:t>to (b) below,</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the</w:t>
            </w:r>
          </w:p>
        </w:tc>
        <w:tc>
          <w:tcPr>
            <w:tcW w:w="96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proceeds of</w:t>
            </w:r>
          </w:p>
        </w:tc>
      </w:tr>
      <w:tr>
        <w:trPr>
          <w:trHeight w:val="142"/>
        </w:trPr>
        <w:tc>
          <w:tcPr>
            <w:tcW w:w="880" w:type="dxa"/>
            <w:vAlign w:val="bottom"/>
          </w:tcPr>
          <w:p>
            <w:pPr>
              <w:ind w:left="500"/>
              <w:spacing w:after="0"/>
              <w:rPr>
                <w:sz w:val="20"/>
                <w:szCs w:val="20"/>
                <w:color w:val="auto"/>
              </w:rPr>
            </w:pPr>
            <w:r>
              <w:rPr>
                <w:rFonts w:ascii="Courier New" w:cs="Courier New" w:eastAsia="Courier New" w:hAnsi="Courier New"/>
                <w:sz w:val="12"/>
                <w:szCs w:val="12"/>
                <w:color w:val="auto"/>
              </w:rPr>
              <w:t>all</w:t>
            </w:r>
          </w:p>
        </w:tc>
        <w:tc>
          <w:tcPr>
            <w:tcW w:w="74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Paid-in</w:t>
            </w:r>
          </w:p>
        </w:tc>
        <w:tc>
          <w:tcPr>
            <w:tcW w:w="22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Equity</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180" w:type="dxa"/>
            <w:vAlign w:val="bottom"/>
            <w:gridSpan w:val="2"/>
          </w:tcPr>
          <w:p>
            <w:pPr>
              <w:ind w:left="500"/>
              <w:spacing w:after="0"/>
              <w:rPr>
                <w:sz w:val="20"/>
                <w:szCs w:val="20"/>
                <w:color w:val="auto"/>
              </w:rPr>
            </w:pPr>
            <w:r>
              <w:rPr>
                <w:rFonts w:ascii="Courier New" w:cs="Courier New" w:eastAsia="Courier New" w:hAnsi="Courier New"/>
                <w:sz w:val="12"/>
                <w:szCs w:val="12"/>
                <w:color w:val="auto"/>
              </w:rPr>
              <w:t>Permitted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5"/>
          </w:tcPr>
          <w:p>
            <w:pPr>
              <w:spacing w:after="0"/>
              <w:rPr>
                <w:sz w:val="20"/>
                <w:szCs w:val="20"/>
                <w:color w:val="auto"/>
              </w:rPr>
            </w:pPr>
            <w:r>
              <w:rPr>
                <w:rFonts w:ascii="Courier New" w:cs="Courier New" w:eastAsia="Courier New" w:hAnsi="Courier New"/>
                <w:sz w:val="12"/>
                <w:szCs w:val="12"/>
                <w:color w:val="auto"/>
              </w:rPr>
              <w:t>Subordinated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Debt</w:t>
            </w:r>
          </w:p>
        </w:tc>
      </w:tr>
      <w:tr>
        <w:trPr>
          <w:trHeight w:val="142"/>
        </w:trPr>
        <w:tc>
          <w:tcPr>
            <w:tcW w:w="2500" w:type="dxa"/>
            <w:vAlign w:val="bottom"/>
            <w:gridSpan w:val="9"/>
          </w:tcPr>
          <w:p>
            <w:pPr>
              <w:ind w:left="500"/>
              <w:spacing w:after="0"/>
              <w:rPr>
                <w:sz w:val="20"/>
                <w:szCs w:val="20"/>
                <w:color w:val="auto"/>
              </w:rPr>
            </w:pPr>
            <w:r>
              <w:rPr>
                <w:rFonts w:ascii="Courier New" w:cs="Courier New" w:eastAsia="Courier New" w:hAnsi="Courier New"/>
                <w:sz w:val="12"/>
                <w:szCs w:val="12"/>
                <w:color w:val="auto"/>
              </w:rPr>
              <w:t>are  to  be  paid  pursuant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to</w:t>
            </w:r>
          </w:p>
        </w:tc>
      </w:tr>
      <w:tr>
        <w:trPr>
          <w:trHeight w:val="142"/>
        </w:trPr>
        <w:tc>
          <w:tcPr>
            <w:tcW w:w="880" w:type="dxa"/>
            <w:vAlign w:val="bottom"/>
          </w:tcPr>
          <w:p>
            <w:pPr>
              <w:ind w:left="500"/>
              <w:spacing w:after="0"/>
              <w:rPr>
                <w:sz w:val="20"/>
                <w:szCs w:val="20"/>
                <w:color w:val="auto"/>
              </w:rPr>
            </w:pPr>
            <w:r>
              <w:rPr>
                <w:rFonts w:ascii="Courier New" w:cs="Courier New" w:eastAsia="Courier New" w:hAnsi="Courier New"/>
                <w:sz w:val="12"/>
                <w:szCs w:val="12"/>
                <w:color w:val="auto"/>
              </w:rPr>
              <w:t>this</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Agreement;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400" w:type="dxa"/>
            <w:vAlign w:val="bottom"/>
            <w:gridSpan w:val="4"/>
          </w:tcPr>
          <w:p>
            <w:pPr>
              <w:ind w:left="500"/>
              <w:spacing w:after="0"/>
              <w:rPr>
                <w:sz w:val="20"/>
                <w:szCs w:val="20"/>
                <w:color w:val="auto"/>
              </w:rPr>
            </w:pPr>
            <w:r>
              <w:rPr>
                <w:rFonts w:ascii="Courier New" w:cs="Courier New" w:eastAsia="Courier New" w:hAnsi="Courier New"/>
                <w:sz w:val="12"/>
                <w:szCs w:val="12"/>
                <w:color w:val="auto"/>
              </w:rPr>
              <w:t>(6) proceeds</w:t>
            </w: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c>
          <w:tcPr>
            <w:tcW w:w="22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9"/>
              </w:rPr>
              <w:t>insurance,</w:t>
            </w:r>
          </w:p>
        </w:tc>
      </w:tr>
      <w:tr>
        <w:trPr>
          <w:trHeight w:val="142"/>
        </w:trPr>
        <w:tc>
          <w:tcPr>
            <w:tcW w:w="1840" w:type="dxa"/>
            <w:vAlign w:val="bottom"/>
            <w:gridSpan w:val="6"/>
          </w:tcPr>
          <w:p>
            <w:pPr>
              <w:ind w:left="500"/>
              <w:spacing w:after="0"/>
              <w:rPr>
                <w:sz w:val="20"/>
                <w:szCs w:val="20"/>
                <w:color w:val="auto"/>
              </w:rPr>
            </w:pPr>
            <w:r>
              <w:rPr>
                <w:rFonts w:ascii="Courier New" w:cs="Courier New" w:eastAsia="Courier New" w:hAnsi="Courier New"/>
                <w:sz w:val="12"/>
                <w:szCs w:val="12"/>
                <w:color w:val="auto"/>
              </w:rPr>
              <w:t>nationalisation,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2"/>
        </w:trPr>
        <w:tc>
          <w:tcPr>
            <w:tcW w:w="1620" w:type="dxa"/>
            <w:vAlign w:val="bottom"/>
            <w:gridSpan w:val="5"/>
          </w:tcPr>
          <w:p>
            <w:pPr>
              <w:ind w:left="500"/>
              <w:spacing w:after="0"/>
              <w:rPr>
                <w:sz w:val="20"/>
                <w:szCs w:val="20"/>
                <w:color w:val="auto"/>
              </w:rPr>
            </w:pPr>
            <w:r>
              <w:rPr>
                <w:rFonts w:ascii="Courier New" w:cs="Courier New" w:eastAsia="Courier New" w:hAnsi="Courier New"/>
                <w:sz w:val="12"/>
                <w:szCs w:val="12"/>
                <w:color w:val="auto"/>
              </w:rPr>
              <w:t>expropriation,</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c>
          <w:tcPr>
            <w:tcW w:w="96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requisition</w:t>
            </w:r>
          </w:p>
        </w:tc>
      </w:tr>
      <w:tr>
        <w:trPr>
          <w:trHeight w:val="142"/>
        </w:trPr>
        <w:tc>
          <w:tcPr>
            <w:tcW w:w="1840" w:type="dxa"/>
            <w:vAlign w:val="bottom"/>
            <w:gridSpan w:val="6"/>
          </w:tcPr>
          <w:p>
            <w:pPr>
              <w:ind w:left="500"/>
              <w:spacing w:after="0"/>
              <w:rPr>
                <w:sz w:val="20"/>
                <w:szCs w:val="20"/>
                <w:color w:val="auto"/>
              </w:rPr>
            </w:pPr>
            <w:r>
              <w:rPr>
                <w:rFonts w:ascii="Courier New" w:cs="Courier New" w:eastAsia="Courier New" w:hAnsi="Courier New"/>
                <w:sz w:val="12"/>
                <w:szCs w:val="12"/>
                <w:color w:val="auto"/>
              </w:rPr>
              <w:t>for title or use,</w:t>
            </w:r>
          </w:p>
        </w:tc>
        <w:tc>
          <w:tcPr>
            <w:tcW w:w="2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all</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amounts</w:t>
            </w:r>
          </w:p>
        </w:tc>
      </w:tr>
      <w:tr>
        <w:trPr>
          <w:trHeight w:val="142"/>
        </w:trPr>
        <w:tc>
          <w:tcPr>
            <w:tcW w:w="1240" w:type="dxa"/>
            <w:vAlign w:val="bottom"/>
            <w:gridSpan w:val="3"/>
          </w:tcPr>
          <w:p>
            <w:pPr>
              <w:ind w:left="500"/>
              <w:spacing w:after="0"/>
              <w:rPr>
                <w:sz w:val="20"/>
                <w:szCs w:val="20"/>
                <w:color w:val="auto"/>
              </w:rPr>
            </w:pPr>
            <w:r>
              <w:rPr>
                <w:rFonts w:ascii="Courier New" w:cs="Courier New" w:eastAsia="Courier New" w:hAnsi="Courier New"/>
                <w:sz w:val="12"/>
                <w:szCs w:val="12"/>
                <w:color w:val="auto"/>
                <w:w w:val="99"/>
              </w:rPr>
              <w:t>(including</w:t>
            </w:r>
          </w:p>
        </w:tc>
        <w:tc>
          <w:tcPr>
            <w:tcW w:w="160" w:type="dxa"/>
            <w:vAlign w:val="bottom"/>
          </w:tcPr>
          <w:p>
            <w:pPr>
              <w:spacing w:after="0"/>
              <w:rPr>
                <w:sz w:val="12"/>
                <w:szCs w:val="12"/>
                <w:color w:val="auto"/>
              </w:rPr>
            </w:pPr>
          </w:p>
        </w:tc>
        <w:tc>
          <w:tcPr>
            <w:tcW w:w="1400" w:type="dxa"/>
            <w:vAlign w:val="bottom"/>
            <w:gridSpan w:val="6"/>
          </w:tcPr>
          <w:p>
            <w:pPr>
              <w:spacing w:after="0"/>
              <w:rPr>
                <w:sz w:val="20"/>
                <w:szCs w:val="20"/>
                <w:color w:val="auto"/>
              </w:rPr>
            </w:pPr>
            <w:r>
              <w:rPr>
                <w:rFonts w:ascii="Courier New" w:cs="Courier New" w:eastAsia="Courier New" w:hAnsi="Courier New"/>
                <w:sz w:val="12"/>
                <w:szCs w:val="12"/>
                <w:color w:val="auto"/>
              </w:rPr>
              <w:t>liquidated damages)</w:t>
            </w:r>
          </w:p>
        </w:tc>
      </w:tr>
      <w:tr>
        <w:trPr>
          <w:trHeight w:val="142"/>
        </w:trPr>
        <w:tc>
          <w:tcPr>
            <w:tcW w:w="880" w:type="dxa"/>
            <w:vAlign w:val="bottom"/>
          </w:tcPr>
          <w:p>
            <w:pPr>
              <w:ind w:left="500"/>
              <w:spacing w:after="0"/>
              <w:rPr>
                <w:sz w:val="20"/>
                <w:szCs w:val="20"/>
                <w:color w:val="auto"/>
              </w:rPr>
            </w:pPr>
            <w:r>
              <w:rPr>
                <w:rFonts w:ascii="Courier New" w:cs="Courier New" w:eastAsia="Courier New" w:hAnsi="Courier New"/>
                <w:sz w:val="12"/>
                <w:szCs w:val="12"/>
                <w:color w:val="auto"/>
              </w:rPr>
              <w:t>paid</w:t>
            </w:r>
          </w:p>
        </w:tc>
        <w:tc>
          <w:tcPr>
            <w:tcW w:w="5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to the</w:t>
            </w:r>
          </w:p>
        </w:tc>
        <w:tc>
          <w:tcPr>
            <w:tcW w:w="7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Borrower</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arising</w:t>
            </w:r>
          </w:p>
        </w:tc>
      </w:tr>
      <w:tr>
        <w:trPr>
          <w:trHeight w:val="142"/>
        </w:trPr>
        <w:tc>
          <w:tcPr>
            <w:tcW w:w="880" w:type="dxa"/>
            <w:vAlign w:val="bottom"/>
          </w:tcPr>
          <w:p>
            <w:pPr>
              <w:ind w:left="500"/>
              <w:spacing w:after="0"/>
              <w:rPr>
                <w:sz w:val="20"/>
                <w:szCs w:val="20"/>
                <w:color w:val="auto"/>
              </w:rPr>
            </w:pPr>
            <w:r>
              <w:rPr>
                <w:rFonts w:ascii="Courier New" w:cs="Courier New" w:eastAsia="Courier New" w:hAnsi="Courier New"/>
                <w:sz w:val="12"/>
                <w:szCs w:val="12"/>
                <w:color w:val="auto"/>
              </w:rPr>
              <w:t>out</w:t>
            </w: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of or in</w:t>
            </w:r>
          </w:p>
        </w:tc>
        <w:tc>
          <w:tcPr>
            <w:tcW w:w="880" w:type="dxa"/>
            <w:vAlign w:val="bottom"/>
            <w:gridSpan w:val="4"/>
          </w:tcPr>
          <w:p>
            <w:pPr>
              <w:jc w:val="right"/>
              <w:ind w:right="79"/>
              <w:spacing w:after="0"/>
              <w:rPr>
                <w:sz w:val="20"/>
                <w:szCs w:val="20"/>
                <w:color w:val="auto"/>
              </w:rPr>
            </w:pPr>
            <w:r>
              <w:rPr>
                <w:rFonts w:ascii="Courier New" w:cs="Courier New" w:eastAsia="Courier New" w:hAnsi="Courier New"/>
                <w:sz w:val="12"/>
                <w:szCs w:val="12"/>
                <w:color w:val="auto"/>
                <w:w w:val="99"/>
              </w:rPr>
              <w:t>connection</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with</w:t>
            </w:r>
          </w:p>
        </w:tc>
      </w:tr>
      <w:tr>
        <w:trPr>
          <w:trHeight w:val="142"/>
        </w:trPr>
        <w:tc>
          <w:tcPr>
            <w:tcW w:w="880" w:type="dxa"/>
            <w:vAlign w:val="bottom"/>
          </w:tcPr>
          <w:p>
            <w:pPr>
              <w:ind w:left="500"/>
              <w:spacing w:after="0"/>
              <w:rPr>
                <w:sz w:val="20"/>
                <w:szCs w:val="20"/>
                <w:color w:val="auto"/>
              </w:rPr>
            </w:pPr>
            <w:r>
              <w:rPr>
                <w:rFonts w:ascii="Courier New" w:cs="Courier New" w:eastAsia="Courier New" w:hAnsi="Courier New"/>
                <w:sz w:val="12"/>
                <w:szCs w:val="12"/>
                <w:color w:val="auto"/>
              </w:rPr>
              <w:t>any</w:t>
            </w: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Contracts</w:t>
            </w:r>
          </w:p>
        </w:tc>
        <w:tc>
          <w:tcPr>
            <w:tcW w:w="11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entered into by</w:t>
            </w:r>
          </w:p>
        </w:tc>
      </w:tr>
      <w:tr>
        <w:trPr>
          <w:trHeight w:val="142"/>
        </w:trPr>
        <w:tc>
          <w:tcPr>
            <w:tcW w:w="880" w:type="dxa"/>
            <w:vAlign w:val="bottom"/>
          </w:tcPr>
          <w:p>
            <w:pPr>
              <w:ind w:left="500"/>
              <w:spacing w:after="0"/>
              <w:rPr>
                <w:sz w:val="20"/>
                <w:szCs w:val="20"/>
                <w:color w:val="auto"/>
              </w:rPr>
            </w:pPr>
            <w:r>
              <w:rPr>
                <w:rFonts w:ascii="Courier New" w:cs="Courier New" w:eastAsia="Courier New" w:hAnsi="Courier New"/>
                <w:sz w:val="12"/>
                <w:szCs w:val="12"/>
                <w:color w:val="auto"/>
              </w:rPr>
              <w:t>the</w:t>
            </w: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Borrower</w:t>
            </w:r>
          </w:p>
        </w:tc>
        <w:tc>
          <w:tcPr>
            <w:tcW w:w="11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and all proceeds</w:t>
            </w:r>
          </w:p>
        </w:tc>
      </w:tr>
      <w:tr>
        <w:trPr>
          <w:trHeight w:val="142"/>
        </w:trPr>
        <w:tc>
          <w:tcPr>
            <w:tcW w:w="2800" w:type="dxa"/>
            <w:vAlign w:val="bottom"/>
            <w:gridSpan w:val="10"/>
          </w:tcPr>
          <w:p>
            <w:pPr>
              <w:ind w:left="500"/>
              <w:spacing w:after="0"/>
              <w:rPr>
                <w:sz w:val="20"/>
                <w:szCs w:val="20"/>
                <w:color w:val="auto"/>
              </w:rPr>
            </w:pPr>
            <w:r>
              <w:rPr>
                <w:rFonts w:ascii="Courier New" w:cs="Courier New" w:eastAsia="Courier New" w:hAnsi="Courier New"/>
                <w:sz w:val="12"/>
                <w:szCs w:val="12"/>
                <w:color w:val="auto"/>
              </w:rPr>
              <w:t>of  any   sale,   transfer   or</w:t>
            </w:r>
          </w:p>
        </w:tc>
      </w:tr>
      <w:tr>
        <w:trPr>
          <w:trHeight w:val="142"/>
        </w:trPr>
        <w:tc>
          <w:tcPr>
            <w:tcW w:w="1180" w:type="dxa"/>
            <w:vAlign w:val="bottom"/>
            <w:gridSpan w:val="2"/>
          </w:tcPr>
          <w:p>
            <w:pPr>
              <w:ind w:left="500"/>
              <w:spacing w:after="0"/>
              <w:rPr>
                <w:sz w:val="20"/>
                <w:szCs w:val="20"/>
                <w:color w:val="auto"/>
              </w:rPr>
            </w:pPr>
            <w:r>
              <w:rPr>
                <w:rFonts w:ascii="Courier New" w:cs="Courier New" w:eastAsia="Courier New" w:hAnsi="Courier New"/>
                <w:sz w:val="12"/>
                <w:szCs w:val="12"/>
                <w:color w:val="auto"/>
              </w:rPr>
              <w:t>licence</w:t>
            </w:r>
          </w:p>
        </w:tc>
        <w:tc>
          <w:tcPr>
            <w:tcW w:w="220" w:type="dxa"/>
            <w:vAlign w:val="bottom"/>
            <w:gridSpan w:val="2"/>
          </w:tcPr>
          <w:p>
            <w:pPr>
              <w:spacing w:after="0"/>
              <w:rPr>
                <w:sz w:val="20"/>
                <w:szCs w:val="20"/>
                <w:color w:val="auto"/>
              </w:rPr>
            </w:pPr>
            <w:r>
              <w:rPr>
                <w:rFonts w:ascii="Courier New" w:cs="Courier New" w:eastAsia="Courier New" w:hAnsi="Courier New"/>
                <w:sz w:val="12"/>
                <w:szCs w:val="12"/>
                <w:color w:val="auto"/>
              </w:rPr>
              <w:t>of</w:t>
            </w:r>
          </w:p>
        </w:tc>
        <w:tc>
          <w:tcPr>
            <w:tcW w:w="660" w:type="dxa"/>
            <w:vAlign w:val="bottom"/>
            <w:gridSpan w:val="3"/>
          </w:tcPr>
          <w:p>
            <w:pPr>
              <w:jc w:val="right"/>
              <w:ind w:right="99"/>
              <w:spacing w:after="0"/>
              <w:rPr>
                <w:sz w:val="20"/>
                <w:szCs w:val="20"/>
                <w:color w:val="auto"/>
              </w:rPr>
            </w:pPr>
            <w:r>
              <w:rPr>
                <w:rFonts w:ascii="Courier New" w:cs="Courier New" w:eastAsia="Courier New" w:hAnsi="Courier New"/>
                <w:sz w:val="12"/>
                <w:szCs w:val="12"/>
                <w:color w:val="auto"/>
              </w:rPr>
              <w:t>assets</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9"/>
              </w:rPr>
              <w:t>(including</w:t>
            </w:r>
          </w:p>
        </w:tc>
      </w:tr>
      <w:tr>
        <w:trPr>
          <w:trHeight w:val="142"/>
        </w:trPr>
        <w:tc>
          <w:tcPr>
            <w:tcW w:w="1400" w:type="dxa"/>
            <w:vAlign w:val="bottom"/>
            <w:gridSpan w:val="4"/>
          </w:tcPr>
          <w:p>
            <w:pPr>
              <w:ind w:left="500"/>
              <w:spacing w:after="0"/>
              <w:rPr>
                <w:sz w:val="20"/>
                <w:szCs w:val="20"/>
                <w:color w:val="auto"/>
              </w:rPr>
            </w:pPr>
            <w:r>
              <w:rPr>
                <w:rFonts w:ascii="Courier New" w:cs="Courier New" w:eastAsia="Courier New" w:hAnsi="Courier New"/>
                <w:sz w:val="12"/>
                <w:szCs w:val="12"/>
                <w:color w:val="auto"/>
              </w:rPr>
              <w:t>Intellectual</w:t>
            </w:r>
          </w:p>
        </w:tc>
        <w:tc>
          <w:tcPr>
            <w:tcW w:w="7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Property</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Assets)</w:t>
            </w:r>
          </w:p>
        </w:tc>
      </w:tr>
      <w:tr>
        <w:trPr>
          <w:trHeight w:val="142"/>
        </w:trPr>
        <w:tc>
          <w:tcPr>
            <w:tcW w:w="2800" w:type="dxa"/>
            <w:vAlign w:val="bottom"/>
            <w:gridSpan w:val="10"/>
          </w:tcPr>
          <w:p>
            <w:pPr>
              <w:ind w:left="500"/>
              <w:spacing w:after="0"/>
              <w:rPr>
                <w:sz w:val="20"/>
                <w:szCs w:val="20"/>
                <w:color w:val="auto"/>
              </w:rPr>
            </w:pPr>
            <w:r>
              <w:rPr>
                <w:rFonts w:ascii="Courier New" w:cs="Courier New" w:eastAsia="Courier New" w:hAnsi="Courier New"/>
                <w:sz w:val="12"/>
                <w:szCs w:val="12"/>
                <w:color w:val="auto"/>
              </w:rPr>
              <w:t>used  in  connection  with  the</w:t>
            </w:r>
          </w:p>
        </w:tc>
      </w:tr>
      <w:tr>
        <w:trPr>
          <w:trHeight w:val="142"/>
        </w:trPr>
        <w:tc>
          <w:tcPr>
            <w:tcW w:w="2800" w:type="dxa"/>
            <w:vAlign w:val="bottom"/>
            <w:gridSpan w:val="10"/>
          </w:tcPr>
          <w:p>
            <w:pPr>
              <w:ind w:left="500"/>
              <w:spacing w:after="0"/>
              <w:rPr>
                <w:sz w:val="20"/>
                <w:szCs w:val="20"/>
                <w:color w:val="auto"/>
              </w:rPr>
            </w:pPr>
            <w:r>
              <w:rPr>
                <w:rFonts w:ascii="Courier New" w:cs="Courier New" w:eastAsia="Courier New" w:hAnsi="Courier New"/>
                <w:sz w:val="12"/>
                <w:szCs w:val="12"/>
                <w:color w:val="auto"/>
              </w:rPr>
              <w:t>Project,   are   to   be   paid</w:t>
            </w:r>
          </w:p>
        </w:tc>
      </w:tr>
      <w:tr>
        <w:trPr>
          <w:trHeight w:val="142"/>
        </w:trPr>
        <w:tc>
          <w:tcPr>
            <w:tcW w:w="1180" w:type="dxa"/>
            <w:vAlign w:val="bottom"/>
            <w:gridSpan w:val="2"/>
          </w:tcPr>
          <w:p>
            <w:pPr>
              <w:ind w:left="500"/>
              <w:spacing w:after="0"/>
              <w:rPr>
                <w:sz w:val="20"/>
                <w:szCs w:val="20"/>
                <w:color w:val="auto"/>
              </w:rPr>
            </w:pPr>
            <w:r>
              <w:rPr>
                <w:rFonts w:ascii="Courier New" w:cs="Courier New" w:eastAsia="Courier New" w:hAnsi="Courier New"/>
                <w:sz w:val="12"/>
                <w:szCs w:val="12"/>
                <w:color w:val="auto"/>
              </w:rPr>
              <w:t>pursuant</w:t>
            </w:r>
          </w:p>
        </w:tc>
        <w:tc>
          <w:tcPr>
            <w:tcW w:w="60" w:type="dxa"/>
            <w:vAlign w:val="bottom"/>
          </w:tcPr>
          <w:p>
            <w:pPr>
              <w:spacing w:after="0"/>
              <w:rPr>
                <w:sz w:val="12"/>
                <w:szCs w:val="12"/>
                <w:color w:val="auto"/>
              </w:rPr>
            </w:pPr>
          </w:p>
        </w:tc>
        <w:tc>
          <w:tcPr>
            <w:tcW w:w="3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to</w:t>
            </w:r>
          </w:p>
        </w:tc>
        <w:tc>
          <w:tcPr>
            <w:tcW w:w="4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w w:val="90"/>
              </w:rPr>
              <w:t>this</w:t>
            </w:r>
          </w:p>
        </w:tc>
        <w:tc>
          <w:tcPr>
            <w:tcW w:w="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Agreement</w:t>
            </w:r>
          </w:p>
        </w:tc>
      </w:tr>
      <w:tr>
        <w:trPr>
          <w:trHeight w:val="142"/>
        </w:trPr>
        <w:tc>
          <w:tcPr>
            <w:tcW w:w="880" w:type="dxa"/>
            <w:vAlign w:val="bottom"/>
          </w:tcPr>
          <w:p>
            <w:pPr>
              <w:ind w:left="500"/>
              <w:spacing w:after="0"/>
              <w:rPr>
                <w:sz w:val="20"/>
                <w:szCs w:val="20"/>
                <w:color w:val="auto"/>
              </w:rPr>
            </w:pPr>
            <w:r>
              <w:rPr>
                <w:rFonts w:ascii="Courier New" w:cs="Courier New" w:eastAsia="Courier New" w:hAnsi="Courier New"/>
                <w:sz w:val="12"/>
                <w:szCs w:val="12"/>
                <w:color w:val="auto"/>
                <w:w w:val="99"/>
              </w:rPr>
              <w:t>("THE</w:t>
            </w:r>
          </w:p>
        </w:tc>
        <w:tc>
          <w:tcPr>
            <w:tcW w:w="36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2"/>
              </w:rPr>
              <w:t>BLL</w:t>
            </w:r>
          </w:p>
        </w:tc>
        <w:tc>
          <w:tcPr>
            <w:tcW w:w="16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PROJECT</w:t>
            </w:r>
          </w:p>
        </w:tc>
        <w:tc>
          <w:tcPr>
            <w:tcW w:w="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ACCOUNT")</w:t>
            </w:r>
          </w:p>
        </w:tc>
      </w:tr>
      <w:tr>
        <w:trPr>
          <w:trHeight w:val="142"/>
        </w:trPr>
        <w:tc>
          <w:tcPr>
            <w:tcW w:w="1620" w:type="dxa"/>
            <w:vAlign w:val="bottom"/>
            <w:gridSpan w:val="5"/>
          </w:tcPr>
          <w:p>
            <w:pPr>
              <w:ind w:left="500"/>
              <w:spacing w:after="0"/>
              <w:rPr>
                <w:sz w:val="20"/>
                <w:szCs w:val="20"/>
                <w:color w:val="auto"/>
              </w:rPr>
            </w:pPr>
            <w:r>
              <w:rPr>
                <w:rFonts w:ascii="Courier New" w:cs="Courier New" w:eastAsia="Courier New" w:hAnsi="Courier New"/>
                <w:sz w:val="12"/>
                <w:szCs w:val="12"/>
                <w:color w:val="auto"/>
              </w:rPr>
              <w:t>(the Hapoalim</w:t>
            </w:r>
          </w:p>
        </w:tc>
        <w:tc>
          <w:tcPr>
            <w:tcW w:w="50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5"/>
              </w:rPr>
              <w:t>Project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Account</w:t>
            </w:r>
          </w:p>
        </w:tc>
      </w:tr>
      <w:tr>
        <w:trPr>
          <w:trHeight w:val="142"/>
        </w:trPr>
        <w:tc>
          <w:tcPr>
            <w:tcW w:w="2800" w:type="dxa"/>
            <w:vAlign w:val="bottom"/>
            <w:gridSpan w:val="10"/>
          </w:tcPr>
          <w:p>
            <w:pPr>
              <w:ind w:left="500"/>
              <w:spacing w:after="0"/>
              <w:rPr>
                <w:sz w:val="20"/>
                <w:szCs w:val="20"/>
                <w:color w:val="auto"/>
              </w:rPr>
            </w:pPr>
            <w:r>
              <w:rPr>
                <w:rFonts w:ascii="Courier New" w:cs="Courier New" w:eastAsia="Courier New" w:hAnsi="Courier New"/>
                <w:sz w:val="12"/>
                <w:szCs w:val="12"/>
                <w:color w:val="auto"/>
              </w:rPr>
              <w:t>and  the  BLL  Project  Account</w:t>
            </w:r>
          </w:p>
        </w:tc>
      </w:tr>
      <w:tr>
        <w:trPr>
          <w:trHeight w:val="142"/>
        </w:trPr>
        <w:tc>
          <w:tcPr>
            <w:tcW w:w="880" w:type="dxa"/>
            <w:vAlign w:val="bottom"/>
          </w:tcPr>
          <w:p>
            <w:pPr>
              <w:ind w:left="500"/>
              <w:spacing w:after="0"/>
              <w:rPr>
                <w:sz w:val="20"/>
                <w:szCs w:val="20"/>
                <w:color w:val="auto"/>
              </w:rPr>
            </w:pPr>
            <w:r>
              <w:rPr>
                <w:rFonts w:ascii="Courier New" w:cs="Courier New" w:eastAsia="Courier New" w:hAnsi="Courier New"/>
                <w:sz w:val="12"/>
                <w:szCs w:val="12"/>
                <w:color w:val="auto"/>
                <w:w w:val="99"/>
              </w:rPr>
              <w:t>shall</w:t>
            </w:r>
          </w:p>
        </w:tc>
        <w:tc>
          <w:tcPr>
            <w:tcW w:w="300" w:type="dxa"/>
            <w:vAlign w:val="bottom"/>
          </w:tcPr>
          <w:p>
            <w:pPr>
              <w:spacing w:after="0"/>
              <w:rPr>
                <w:sz w:val="12"/>
                <w:szCs w:val="12"/>
                <w:color w:val="auto"/>
              </w:rPr>
            </w:pPr>
          </w:p>
        </w:tc>
        <w:tc>
          <w:tcPr>
            <w:tcW w:w="440" w:type="dxa"/>
            <w:vAlign w:val="bottom"/>
            <w:gridSpan w:val="3"/>
          </w:tcPr>
          <w:p>
            <w:pPr>
              <w:spacing w:after="0"/>
              <w:rPr>
                <w:sz w:val="20"/>
                <w:szCs w:val="20"/>
                <w:color w:val="auto"/>
              </w:rPr>
            </w:pPr>
            <w:r>
              <w:rPr>
                <w:rFonts w:ascii="Courier New" w:cs="Courier New" w:eastAsia="Courier New" w:hAnsi="Courier New"/>
                <w:sz w:val="12"/>
                <w:szCs w:val="12"/>
                <w:color w:val="auto"/>
              </w:rPr>
              <w:t>mean</w:t>
            </w:r>
          </w:p>
        </w:tc>
        <w:tc>
          <w:tcPr>
            <w:tcW w:w="4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the</w:t>
            </w:r>
          </w:p>
        </w:tc>
        <w:tc>
          <w:tcPr>
            <w:tcW w:w="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"PROJECT</w:t>
            </w:r>
          </w:p>
        </w:tc>
      </w:tr>
      <w:tr>
        <w:trPr>
          <w:trHeight w:val="142"/>
        </w:trPr>
        <w:tc>
          <w:tcPr>
            <w:tcW w:w="1240" w:type="dxa"/>
            <w:vAlign w:val="bottom"/>
            <w:gridSpan w:val="3"/>
          </w:tcPr>
          <w:p>
            <w:pPr>
              <w:ind w:left="500"/>
              <w:spacing w:after="0"/>
              <w:rPr>
                <w:sz w:val="20"/>
                <w:szCs w:val="20"/>
                <w:color w:val="auto"/>
              </w:rPr>
            </w:pPr>
            <w:r>
              <w:rPr>
                <w:rFonts w:ascii="Courier New" w:cs="Courier New" w:eastAsia="Courier New" w:hAnsi="Courier New"/>
                <w:sz w:val="12"/>
                <w:szCs w:val="12"/>
                <w:color w:val="auto"/>
                <w:w w:val="99"/>
              </w:rPr>
              <w:t>ACCOUNTS")</w:t>
            </w:r>
          </w:p>
        </w:tc>
        <w:tc>
          <w:tcPr>
            <w:tcW w:w="160" w:type="dxa"/>
            <w:vAlign w:val="bottom"/>
          </w:tcPr>
          <w:p>
            <w:pPr>
              <w:spacing w:after="0"/>
              <w:rPr>
                <w:sz w:val="12"/>
                <w:szCs w:val="12"/>
                <w:color w:val="auto"/>
              </w:rPr>
            </w:pPr>
          </w:p>
        </w:tc>
        <w:tc>
          <w:tcPr>
            <w:tcW w:w="44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and</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the</w:t>
            </w:r>
          </w:p>
        </w:tc>
        <w:tc>
          <w:tcPr>
            <w:tcW w:w="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Borrower</w:t>
            </w:r>
          </w:p>
        </w:tc>
      </w:tr>
      <w:tr>
        <w:trPr>
          <w:trHeight w:val="142"/>
        </w:trPr>
        <w:tc>
          <w:tcPr>
            <w:tcW w:w="2060" w:type="dxa"/>
            <w:vAlign w:val="bottom"/>
            <w:gridSpan w:val="7"/>
          </w:tcPr>
          <w:p>
            <w:pPr>
              <w:ind w:left="500"/>
              <w:spacing w:after="0"/>
              <w:rPr>
                <w:sz w:val="20"/>
                <w:szCs w:val="20"/>
                <w:color w:val="auto"/>
              </w:rPr>
            </w:pPr>
            <w:r>
              <w:rPr>
                <w:rFonts w:ascii="Courier New" w:cs="Courier New" w:eastAsia="Courier New" w:hAnsi="Courier New"/>
                <w:sz w:val="12"/>
                <w:szCs w:val="12"/>
                <w:color w:val="auto"/>
              </w:rPr>
              <w:t>shall be entitled to</w:t>
            </w:r>
          </w:p>
        </w:tc>
        <w:tc>
          <w:tcPr>
            <w:tcW w:w="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determine</w:t>
            </w:r>
          </w:p>
        </w:tc>
      </w:tr>
      <w:tr>
        <w:trPr>
          <w:trHeight w:val="142"/>
        </w:trPr>
        <w:tc>
          <w:tcPr>
            <w:tcW w:w="880" w:type="dxa"/>
            <w:vAlign w:val="bottom"/>
          </w:tcPr>
          <w:p>
            <w:pPr>
              <w:ind w:left="500"/>
              <w:spacing w:after="0"/>
              <w:rPr>
                <w:sz w:val="20"/>
                <w:szCs w:val="20"/>
                <w:color w:val="auto"/>
              </w:rPr>
            </w:pPr>
            <w:r>
              <w:rPr>
                <w:rFonts w:ascii="Courier New" w:cs="Courier New" w:eastAsia="Courier New" w:hAnsi="Courier New"/>
                <w:sz w:val="12"/>
                <w:szCs w:val="12"/>
                <w:color w:val="auto"/>
              </w:rPr>
              <w:t>the</w:t>
            </w:r>
          </w:p>
        </w:tc>
        <w:tc>
          <w:tcPr>
            <w:tcW w:w="1920" w:type="dxa"/>
            <w:vAlign w:val="bottom"/>
            <w:gridSpan w:val="9"/>
          </w:tcPr>
          <w:p>
            <w:pPr>
              <w:spacing w:after="0"/>
              <w:rPr>
                <w:sz w:val="20"/>
                <w:szCs w:val="20"/>
                <w:color w:val="auto"/>
              </w:rPr>
            </w:pPr>
            <w:r>
              <w:rPr>
                <w:rFonts w:ascii="Courier New" w:cs="Courier New" w:eastAsia="Courier New" w:hAnsi="Courier New"/>
                <w:sz w:val="12"/>
                <w:szCs w:val="12"/>
                <w:color w:val="auto"/>
              </w:rPr>
              <w:t>allocation as between each</w:t>
            </w:r>
          </w:p>
        </w:tc>
      </w:tr>
      <w:tr>
        <w:trPr>
          <w:trHeight w:val="142"/>
        </w:trPr>
        <w:tc>
          <w:tcPr>
            <w:tcW w:w="1620" w:type="dxa"/>
            <w:vAlign w:val="bottom"/>
            <w:gridSpan w:val="5"/>
          </w:tcPr>
          <w:p>
            <w:pPr>
              <w:ind w:left="500"/>
              <w:spacing w:after="0"/>
              <w:rPr>
                <w:sz w:val="20"/>
                <w:szCs w:val="20"/>
                <w:color w:val="auto"/>
              </w:rPr>
            </w:pPr>
            <w:r>
              <w:rPr>
                <w:rFonts w:ascii="Courier New" w:cs="Courier New" w:eastAsia="Courier New" w:hAnsi="Courier New"/>
                <w:sz w:val="12"/>
                <w:szCs w:val="12"/>
                <w:color w:val="auto"/>
              </w:rPr>
              <w:t>of the Project</w:t>
            </w:r>
          </w:p>
        </w:tc>
        <w:tc>
          <w:tcPr>
            <w:tcW w:w="11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Accounts of the</w:t>
            </w:r>
          </w:p>
        </w:tc>
      </w:tr>
      <w:tr>
        <w:trPr>
          <w:trHeight w:val="142"/>
        </w:trPr>
        <w:tc>
          <w:tcPr>
            <w:tcW w:w="880" w:type="dxa"/>
            <w:vAlign w:val="bottom"/>
          </w:tcPr>
          <w:p>
            <w:pPr>
              <w:ind w:left="500"/>
              <w:spacing w:after="0"/>
              <w:rPr>
                <w:sz w:val="20"/>
                <w:szCs w:val="20"/>
                <w:color w:val="auto"/>
              </w:rPr>
            </w:pPr>
            <w:r>
              <w:rPr>
                <w:rFonts w:ascii="Courier New" w:cs="Courier New" w:eastAsia="Courier New" w:hAnsi="Courier New"/>
                <w:sz w:val="12"/>
                <w:szCs w:val="12"/>
                <w:color w:val="auto"/>
                <w:w w:val="99"/>
              </w:rPr>
              <w:t>funds</w:t>
            </w:r>
          </w:p>
        </w:tc>
        <w:tc>
          <w:tcPr>
            <w:tcW w:w="1920" w:type="dxa"/>
            <w:vAlign w:val="bottom"/>
            <w:gridSpan w:val="9"/>
          </w:tcPr>
          <w:p>
            <w:pPr>
              <w:ind w:left="140"/>
              <w:spacing w:after="0"/>
              <w:rPr>
                <w:sz w:val="20"/>
                <w:szCs w:val="20"/>
                <w:color w:val="auto"/>
              </w:rPr>
            </w:pPr>
            <w:r>
              <w:rPr>
                <w:rFonts w:ascii="Courier New" w:cs="Courier New" w:eastAsia="Courier New" w:hAnsi="Courier New"/>
                <w:sz w:val="12"/>
                <w:szCs w:val="12"/>
                <w:color w:val="auto"/>
              </w:rPr>
              <w:t>described in each of (i)</w:t>
            </w:r>
          </w:p>
        </w:tc>
      </w:tr>
      <w:tr>
        <w:trPr>
          <w:trHeight w:val="142"/>
        </w:trPr>
        <w:tc>
          <w:tcPr>
            <w:tcW w:w="2120" w:type="dxa"/>
            <w:vAlign w:val="bottom"/>
            <w:gridSpan w:val="8"/>
          </w:tcPr>
          <w:p>
            <w:pPr>
              <w:ind w:left="500"/>
              <w:spacing w:after="0"/>
              <w:rPr>
                <w:sz w:val="20"/>
                <w:szCs w:val="20"/>
                <w:color w:val="auto"/>
              </w:rPr>
            </w:pPr>
            <w:r>
              <w:rPr>
                <w:rFonts w:ascii="Courier New" w:cs="Courier New" w:eastAsia="Courier New" w:hAnsi="Courier New"/>
                <w:sz w:val="12"/>
                <w:szCs w:val="12"/>
                <w:color w:val="auto"/>
              </w:rPr>
              <w:t>and (ii)(3)-(6) above;</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r>
    </w:tbl>
    <w:p>
      <w:pPr>
        <w:spacing w:after="0" w:line="287"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- 10 -</w:t>
      </w:r>
    </w:p>
    <w:p>
      <w:pPr>
        <w:sectPr>
          <w:pgSz w:w="11900" w:h="16838" w:orient="portrait"/>
          <w:cols w:equalWidth="0" w:num="1">
            <w:col w:w="10239"/>
          </w:cols>
          <w:pgMar w:left="220" w:top="141" w:right="1440" w:bottom="36" w:gutter="0" w:footer="0" w:header="0"/>
        </w:sectPr>
      </w:pPr>
    </w:p>
    <w:bookmarkStart w:id="78" w:name="page79"/>
    <w:bookmarkEnd w:id="78"/>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(b)</w:t>
            </w: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an</w:t>
            </w:r>
          </w:p>
        </w:tc>
        <w:tc>
          <w:tcPr>
            <w:tcW w:w="60" w:type="dxa"/>
            <w:vAlign w:val="bottom"/>
          </w:tcPr>
          <w:p>
            <w:pPr>
              <w:spacing w:after="0"/>
              <w:rPr>
                <w:sz w:val="12"/>
                <w:szCs w:val="12"/>
                <w:color w:val="auto"/>
              </w:rPr>
            </w:pP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account or</w:t>
            </w:r>
          </w:p>
        </w:tc>
        <w:tc>
          <w:tcPr>
            <w:tcW w:w="8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accounts</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to be opened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w w:val="90"/>
              </w:rPr>
              <w:t>at a</w:t>
            </w:r>
          </w:p>
        </w:tc>
        <w:tc>
          <w:tcPr>
            <w:tcW w:w="104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branch  or</w:t>
            </w:r>
          </w:p>
        </w:tc>
        <w:tc>
          <w:tcPr>
            <w:tcW w:w="880" w:type="dxa"/>
            <w:vAlign w:val="bottom"/>
            <w:gridSpan w:val="5"/>
          </w:tcPr>
          <w:p>
            <w:pPr>
              <w:spacing w:after="0"/>
              <w:rPr>
                <w:sz w:val="20"/>
                <w:szCs w:val="20"/>
                <w:color w:val="auto"/>
              </w:rPr>
            </w:pPr>
            <w:r>
              <w:rPr>
                <w:rFonts w:ascii="Courier New" w:cs="Courier New" w:eastAsia="Courier New" w:hAnsi="Courier New"/>
                <w:sz w:val="12"/>
                <w:szCs w:val="12"/>
                <w:color w:val="auto"/>
              </w:rPr>
              <w:t>subsidiary</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6"/>
              </w:rPr>
              <w:t>of</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Bank</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11"/>
          </w:tcPr>
          <w:p>
            <w:pPr>
              <w:spacing w:after="0"/>
              <w:rPr>
                <w:sz w:val="20"/>
                <w:szCs w:val="20"/>
                <w:color w:val="auto"/>
              </w:rPr>
            </w:pPr>
            <w:r>
              <w:rPr>
                <w:rFonts w:ascii="Courier New" w:cs="Courier New" w:eastAsia="Courier New" w:hAnsi="Courier New"/>
                <w:sz w:val="12"/>
                <w:szCs w:val="12"/>
                <w:color w:val="auto"/>
              </w:rPr>
              <w:t>Leumi and/or Bank Hapoalim</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outside 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11"/>
          </w:tcPr>
          <w:p>
            <w:pPr>
              <w:spacing w:after="0"/>
              <w:rPr>
                <w:sz w:val="20"/>
                <w:szCs w:val="20"/>
                <w:color w:val="auto"/>
              </w:rPr>
            </w:pPr>
            <w:r>
              <w:rPr>
                <w:rFonts w:ascii="Courier New" w:cs="Courier New" w:eastAsia="Courier New" w:hAnsi="Courier New"/>
                <w:sz w:val="12"/>
                <w:szCs w:val="12"/>
                <w:color w:val="auto"/>
              </w:rPr>
              <w:t>Israel into which (if the</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Borrower so</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rPr>
              <w:t>elects</w:t>
            </w:r>
          </w:p>
        </w:tc>
        <w:tc>
          <w:tcPr>
            <w:tcW w:w="8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by</w:t>
            </w:r>
          </w:p>
        </w:tc>
        <w:tc>
          <w:tcPr>
            <w:tcW w:w="74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written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12"/>
                <w:szCs w:val="12"/>
                <w:color w:val="auto"/>
              </w:rPr>
              <w:t>notice</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to</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w w:val="95"/>
              </w:rPr>
              <w:t>Banks),</w:t>
            </w:r>
          </w:p>
        </w:tc>
        <w:tc>
          <w:tcPr>
            <w:tcW w:w="80" w:type="dxa"/>
            <w:vAlign w:val="bottom"/>
          </w:tcPr>
          <w:p>
            <w:pPr>
              <w:spacing w:after="0"/>
              <w:rPr>
                <w:sz w:val="12"/>
                <w:szCs w:val="12"/>
                <w:color w:val="auto"/>
              </w:rPr>
            </w:pP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any Paid-in</w:t>
            </w:r>
          </w:p>
        </w:tc>
        <w:tc>
          <w:tcPr>
            <w:tcW w:w="80" w:type="dxa"/>
            <w:vAlign w:val="bottom"/>
          </w:tcPr>
          <w:p>
            <w:pPr>
              <w:spacing w:after="0"/>
              <w:rPr>
                <w:sz w:val="12"/>
                <w:szCs w:val="12"/>
                <w:color w:val="auto"/>
              </w:rPr>
            </w:pPr>
          </w:p>
        </w:tc>
        <w:tc>
          <w:tcPr>
            <w:tcW w:w="1180" w:type="dxa"/>
            <w:vAlign w:val="bottom"/>
            <w:gridSpan w:val="6"/>
          </w:tcPr>
          <w:p>
            <w:pPr>
              <w:spacing w:after="0"/>
              <w:rPr>
                <w:sz w:val="20"/>
                <w:szCs w:val="20"/>
                <w:color w:val="auto"/>
              </w:rPr>
            </w:pPr>
            <w:r>
              <w:rPr>
                <w:rFonts w:ascii="Courier New" w:cs="Courier New" w:eastAsia="Courier New" w:hAnsi="Courier New"/>
                <w:sz w:val="12"/>
                <w:szCs w:val="12"/>
                <w:color w:val="auto"/>
              </w:rPr>
              <w:t>Equity or amount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6"/>
          </w:tcPr>
          <w:p>
            <w:pPr>
              <w:spacing w:after="0"/>
              <w:rPr>
                <w:sz w:val="20"/>
                <w:szCs w:val="20"/>
                <w:color w:val="auto"/>
              </w:rPr>
            </w:pPr>
            <w:r>
              <w:rPr>
                <w:rFonts w:ascii="Courier New" w:cs="Courier New" w:eastAsia="Courier New" w:hAnsi="Courier New"/>
                <w:sz w:val="12"/>
                <w:szCs w:val="12"/>
                <w:color w:val="auto"/>
              </w:rPr>
              <w:t>on account of</w:t>
            </w:r>
          </w:p>
        </w:tc>
        <w:tc>
          <w:tcPr>
            <w:tcW w:w="800" w:type="dxa"/>
            <w:vAlign w:val="bottom"/>
            <w:gridSpan w:val="5"/>
          </w:tcPr>
          <w:p>
            <w:pPr>
              <w:spacing w:after="0"/>
              <w:rPr>
                <w:sz w:val="20"/>
                <w:szCs w:val="20"/>
                <w:color w:val="auto"/>
              </w:rPr>
            </w:pPr>
            <w:r>
              <w:rPr>
                <w:rFonts w:ascii="Courier New" w:cs="Courier New" w:eastAsia="Courier New" w:hAnsi="Courier New"/>
                <w:sz w:val="12"/>
                <w:szCs w:val="12"/>
                <w:color w:val="auto"/>
              </w:rPr>
              <w:t>Permitted</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Subordinated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w w:val="90"/>
              </w:rPr>
              <w:t>Debt</w:t>
            </w:r>
          </w:p>
        </w:tc>
        <w:tc>
          <w:tcPr>
            <w:tcW w:w="82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received</w:t>
            </w:r>
          </w:p>
        </w:tc>
        <w:tc>
          <w:tcPr>
            <w:tcW w:w="5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by the</w:t>
            </w:r>
          </w:p>
        </w:tc>
        <w:tc>
          <w:tcPr>
            <w:tcW w:w="6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Borrower</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from</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5"/>
          </w:tcPr>
          <w:p>
            <w:pPr>
              <w:spacing w:after="0"/>
              <w:rPr>
                <w:sz w:val="20"/>
                <w:szCs w:val="20"/>
                <w:color w:val="auto"/>
              </w:rPr>
            </w:pPr>
            <w:r>
              <w:rPr>
                <w:rFonts w:ascii="Courier New" w:cs="Courier New" w:eastAsia="Courier New" w:hAnsi="Courier New"/>
                <w:sz w:val="12"/>
                <w:szCs w:val="12"/>
                <w:color w:val="auto"/>
                <w:w w:val="98"/>
              </w:rPr>
              <w:t>non-Israeli</w:t>
            </w:r>
          </w:p>
        </w:tc>
        <w:tc>
          <w:tcPr>
            <w:tcW w:w="300" w:type="dxa"/>
            <w:vAlign w:val="bottom"/>
          </w:tcPr>
          <w:p>
            <w:pPr>
              <w:spacing w:after="0"/>
              <w:rPr>
                <w:sz w:val="12"/>
                <w:szCs w:val="12"/>
                <w:color w:val="auto"/>
              </w:rPr>
            </w:pPr>
          </w:p>
        </w:tc>
        <w:tc>
          <w:tcPr>
            <w:tcW w:w="800" w:type="dxa"/>
            <w:vAlign w:val="bottom"/>
            <w:gridSpan w:val="5"/>
          </w:tcPr>
          <w:p>
            <w:pPr>
              <w:spacing w:after="0"/>
              <w:rPr>
                <w:sz w:val="20"/>
                <w:szCs w:val="20"/>
                <w:color w:val="auto"/>
              </w:rPr>
            </w:pPr>
            <w:r>
              <w:rPr>
                <w:rFonts w:ascii="Courier New" w:cs="Courier New" w:eastAsia="Courier New" w:hAnsi="Courier New"/>
                <w:sz w:val="12"/>
                <w:szCs w:val="12"/>
                <w:color w:val="auto"/>
              </w:rPr>
              <w:t>investors</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shall</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be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5"/>
          </w:tcPr>
          <w:p>
            <w:pPr>
              <w:spacing w:after="0"/>
              <w:rPr>
                <w:sz w:val="20"/>
                <w:szCs w:val="20"/>
                <w:color w:val="auto"/>
              </w:rPr>
            </w:pPr>
            <w:r>
              <w:rPr>
                <w:rFonts w:ascii="Courier New" w:cs="Courier New" w:eastAsia="Courier New" w:hAnsi="Courier New"/>
                <w:sz w:val="12"/>
                <w:szCs w:val="12"/>
                <w:color w:val="auto"/>
              </w:rPr>
              <w:t>deposited,</w:t>
            </w: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provided,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5"/>
          </w:tcPr>
          <w:p>
            <w:pPr>
              <w:spacing w:after="0"/>
              <w:rPr>
                <w:sz w:val="20"/>
                <w:szCs w:val="20"/>
                <w:color w:val="auto"/>
              </w:rPr>
            </w:pPr>
            <w:r>
              <w:rPr>
                <w:rFonts w:ascii="Courier New" w:cs="Courier New" w:eastAsia="Courier New" w:hAnsi="Courier New"/>
                <w:sz w:val="12"/>
                <w:szCs w:val="12"/>
                <w:color w:val="auto"/>
              </w:rPr>
              <w:t>for the removal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of</w:t>
            </w:r>
          </w:p>
        </w:tc>
        <w:tc>
          <w:tcPr>
            <w:tcW w:w="60" w:type="dxa"/>
            <w:vAlign w:val="bottom"/>
          </w:tcPr>
          <w:p>
            <w:pPr>
              <w:spacing w:after="0"/>
              <w:rPr>
                <w:sz w:val="12"/>
                <w:szCs w:val="12"/>
                <w:color w:val="auto"/>
              </w:rPr>
            </w:pP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rPr>
              <w:t>doubt,</w:t>
            </w:r>
          </w:p>
        </w:tc>
        <w:tc>
          <w:tcPr>
            <w:tcW w:w="52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that</w:t>
            </w:r>
          </w:p>
        </w:tc>
        <w:tc>
          <w:tcPr>
            <w:tcW w:w="3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0"/>
              </w:rPr>
              <w:t>such</w:t>
            </w:r>
          </w:p>
        </w:tc>
        <w:tc>
          <w:tcPr>
            <w:tcW w:w="22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account</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gridSpan w:val="15"/>
          </w:tcPr>
          <w:p>
            <w:pPr>
              <w:spacing w:after="0"/>
              <w:rPr>
                <w:sz w:val="20"/>
                <w:szCs w:val="20"/>
                <w:color w:val="auto"/>
              </w:rPr>
            </w:pPr>
            <w:r>
              <w:rPr>
                <w:rFonts w:ascii="Courier New" w:cs="Courier New" w:eastAsia="Courier New" w:hAnsi="Courier New"/>
                <w:sz w:val="12"/>
                <w:szCs w:val="12"/>
                <w:color w:val="auto"/>
              </w:rPr>
              <w:t>accounts  are first  duly  pledged  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rPr>
              <w:t>favour</w:t>
            </w:r>
          </w:p>
        </w:tc>
        <w:tc>
          <w:tcPr>
            <w:tcW w:w="8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12"/>
                <w:szCs w:val="12"/>
                <w:color w:val="auto"/>
                <w:w w:val="99"/>
              </w:rPr>
              <w:t>of  the</w:t>
            </w:r>
          </w:p>
        </w:tc>
        <w:tc>
          <w:tcPr>
            <w:tcW w:w="800" w:type="dxa"/>
            <w:vAlign w:val="bottom"/>
            <w:gridSpan w:val="5"/>
          </w:tcPr>
          <w:p>
            <w:pPr>
              <w:ind w:left="140"/>
              <w:spacing w:after="0"/>
              <w:rPr>
                <w:sz w:val="20"/>
                <w:szCs w:val="20"/>
                <w:color w:val="auto"/>
              </w:rPr>
            </w:pPr>
            <w:r>
              <w:rPr>
                <w:rFonts w:ascii="Courier New" w:cs="Courier New" w:eastAsia="Courier New" w:hAnsi="Courier New"/>
                <w:sz w:val="12"/>
                <w:szCs w:val="12"/>
                <w:color w:val="auto"/>
                <w:w w:val="98"/>
              </w:rPr>
              <w:t>Banks  by</w:t>
            </w:r>
          </w:p>
        </w:tc>
        <w:tc>
          <w:tcPr>
            <w:tcW w:w="5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way</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of  a</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6"/>
          </w:tcPr>
          <w:p>
            <w:pPr>
              <w:spacing w:after="0"/>
              <w:rPr>
                <w:sz w:val="20"/>
                <w:szCs w:val="20"/>
                <w:color w:val="auto"/>
              </w:rPr>
            </w:pPr>
            <w:r>
              <w:rPr>
                <w:rFonts w:ascii="Courier New" w:cs="Courier New" w:eastAsia="Courier New" w:hAnsi="Courier New"/>
                <w:sz w:val="12"/>
                <w:szCs w:val="12"/>
                <w:color w:val="auto"/>
              </w:rPr>
              <w:t>first-ranking</w:t>
            </w:r>
          </w:p>
        </w:tc>
        <w:tc>
          <w:tcPr>
            <w:tcW w:w="52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9"/>
              </w:rPr>
              <w:t>fixed</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pledge</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w w:val="95"/>
              </w:rPr>
              <w:t>charge,</w:t>
            </w:r>
          </w:p>
        </w:tc>
        <w:tc>
          <w:tcPr>
            <w:tcW w:w="80" w:type="dxa"/>
            <w:vAlign w:val="bottom"/>
          </w:tcPr>
          <w:p>
            <w:pPr>
              <w:spacing w:after="0"/>
              <w:rPr>
                <w:sz w:val="12"/>
                <w:szCs w:val="12"/>
                <w:color w:val="auto"/>
              </w:rPr>
            </w:pP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in a manner</w:t>
            </w:r>
          </w:p>
        </w:tc>
        <w:tc>
          <w:tcPr>
            <w:tcW w:w="80" w:type="dxa"/>
            <w:vAlign w:val="bottom"/>
          </w:tcPr>
          <w:p>
            <w:pPr>
              <w:spacing w:after="0"/>
              <w:rPr>
                <w:sz w:val="12"/>
                <w:szCs w:val="12"/>
                <w:color w:val="auto"/>
              </w:rPr>
            </w:pPr>
          </w:p>
        </w:tc>
        <w:tc>
          <w:tcPr>
            <w:tcW w:w="880" w:type="dxa"/>
            <w:vAlign w:val="bottom"/>
            <w:gridSpan w:val="5"/>
          </w:tcPr>
          <w:p>
            <w:pPr>
              <w:spacing w:after="0"/>
              <w:rPr>
                <w:sz w:val="20"/>
                <w:szCs w:val="20"/>
                <w:color w:val="auto"/>
              </w:rPr>
            </w:pPr>
            <w:r>
              <w:rPr>
                <w:rFonts w:ascii="Courier New" w:cs="Courier New" w:eastAsia="Courier New" w:hAnsi="Courier New"/>
                <w:sz w:val="12"/>
                <w:szCs w:val="12"/>
                <w:color w:val="auto"/>
                <w:w w:val="99"/>
              </w:rPr>
              <w:t>satisfactory</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to</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60" w:type="dxa"/>
            <w:vAlign w:val="bottom"/>
          </w:tcPr>
          <w:p>
            <w:pPr>
              <w:spacing w:after="0"/>
              <w:rPr>
                <w:sz w:val="12"/>
                <w:szCs w:val="12"/>
                <w:color w:val="auto"/>
              </w:rPr>
            </w:pPr>
          </w:p>
        </w:tc>
        <w:tc>
          <w:tcPr>
            <w:tcW w:w="5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Banks,</w:t>
            </w:r>
          </w:p>
        </w:tc>
        <w:tc>
          <w:tcPr>
            <w:tcW w:w="5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as</w:t>
            </w:r>
          </w:p>
        </w:tc>
        <w:tc>
          <w:tcPr>
            <w:tcW w:w="8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security</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for</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5"/>
          </w:tcPr>
          <w:p>
            <w:pPr>
              <w:spacing w:after="0"/>
              <w:rPr>
                <w:sz w:val="20"/>
                <w:szCs w:val="20"/>
                <w:color w:val="auto"/>
              </w:rPr>
            </w:pPr>
            <w:r>
              <w:rPr>
                <w:rFonts w:ascii="Courier New" w:cs="Courier New" w:eastAsia="Courier New" w:hAnsi="Courier New"/>
                <w:sz w:val="12"/>
                <w:szCs w:val="12"/>
                <w:color w:val="auto"/>
              </w:rPr>
              <w:t>Borrower's</w:t>
            </w:r>
          </w:p>
        </w:tc>
        <w:tc>
          <w:tcPr>
            <w:tcW w:w="1100" w:type="dxa"/>
            <w:vAlign w:val="bottom"/>
            <w:gridSpan w:val="6"/>
          </w:tcPr>
          <w:p>
            <w:pPr>
              <w:ind w:left="160"/>
              <w:spacing w:after="0"/>
              <w:rPr>
                <w:sz w:val="20"/>
                <w:szCs w:val="20"/>
                <w:color w:val="auto"/>
              </w:rPr>
            </w:pPr>
            <w:r>
              <w:rPr>
                <w:rFonts w:ascii="Courier New" w:cs="Courier New" w:eastAsia="Courier New" w:hAnsi="Courier New"/>
                <w:sz w:val="12"/>
                <w:szCs w:val="12"/>
                <w:color w:val="auto"/>
              </w:rPr>
              <w:t>obligations</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under</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gridSpan w:val="15"/>
          </w:tcPr>
          <w:p>
            <w:pPr>
              <w:spacing w:after="0"/>
              <w:rPr>
                <w:sz w:val="20"/>
                <w:szCs w:val="20"/>
                <w:color w:val="auto"/>
              </w:rPr>
            </w:pPr>
            <w:r>
              <w:rPr>
                <w:rFonts w:ascii="Courier New" w:cs="Courier New" w:eastAsia="Courier New" w:hAnsi="Courier New"/>
                <w:sz w:val="12"/>
                <w:szCs w:val="12"/>
                <w:color w:val="auto"/>
              </w:rPr>
              <w:t>Finance  Documents  (such  account  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5"/>
          </w:tcPr>
          <w:p>
            <w:pPr>
              <w:spacing w:after="0"/>
              <w:rPr>
                <w:sz w:val="20"/>
                <w:szCs w:val="20"/>
                <w:color w:val="auto"/>
              </w:rPr>
            </w:pPr>
            <w:r>
              <w:rPr>
                <w:rFonts w:ascii="Courier New" w:cs="Courier New" w:eastAsia="Courier New" w:hAnsi="Courier New"/>
                <w:sz w:val="12"/>
                <w:szCs w:val="12"/>
                <w:color w:val="auto"/>
              </w:rPr>
              <w:t>accounts,</w:t>
            </w:r>
          </w:p>
        </w:tc>
        <w:tc>
          <w:tcPr>
            <w:tcW w:w="2000" w:type="dxa"/>
            <w:vAlign w:val="bottom"/>
            <w:gridSpan w:val="10"/>
          </w:tcPr>
          <w:p>
            <w:pPr>
              <w:spacing w:after="0"/>
              <w:rPr>
                <w:sz w:val="20"/>
                <w:szCs w:val="20"/>
                <w:color w:val="auto"/>
              </w:rPr>
            </w:pPr>
            <w:r>
              <w:rPr>
                <w:rFonts w:ascii="Courier New" w:cs="Courier New" w:eastAsia="Courier New" w:hAnsi="Courier New"/>
                <w:sz w:val="12"/>
                <w:szCs w:val="12"/>
                <w:color w:val="auto"/>
              </w:rPr>
              <w:t>"THE FOREIGN PAID-IN EQUITY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5"/>
          </w:tcPr>
          <w:p>
            <w:pPr>
              <w:spacing w:after="0"/>
              <w:rPr>
                <w:sz w:val="20"/>
                <w:szCs w:val="20"/>
                <w:color w:val="auto"/>
              </w:rPr>
            </w:pPr>
            <w:r>
              <w:rPr>
                <w:rFonts w:ascii="Courier New" w:cs="Courier New" w:eastAsia="Courier New" w:hAnsi="Courier New"/>
                <w:sz w:val="12"/>
                <w:szCs w:val="12"/>
                <w:color w:val="auto"/>
              </w:rPr>
              <w:t>ACCOUNT");</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25"/>
        </w:trPr>
        <w:tc>
          <w:tcPr>
            <w:tcW w:w="1020" w:type="dxa"/>
            <w:vAlign w:val="bottom"/>
          </w:tcPr>
          <w:p>
            <w:pPr>
              <w:spacing w:after="0"/>
              <w:rPr>
                <w:sz w:val="24"/>
                <w:szCs w:val="24"/>
                <w:color w:val="auto"/>
              </w:rPr>
            </w:pPr>
          </w:p>
        </w:tc>
        <w:tc>
          <w:tcPr>
            <w:tcW w:w="2660" w:type="dxa"/>
            <w:vAlign w:val="bottom"/>
          </w:tcPr>
          <w:p>
            <w:pPr>
              <w:ind w:left="1700"/>
              <w:spacing w:after="0"/>
              <w:rPr>
                <w:sz w:val="20"/>
                <w:szCs w:val="20"/>
                <w:color w:val="auto"/>
              </w:rPr>
            </w:pPr>
            <w:r>
              <w:rPr>
                <w:rFonts w:ascii="Courier New" w:cs="Courier New" w:eastAsia="Courier New" w:hAnsi="Courier New"/>
                <w:sz w:val="12"/>
                <w:szCs w:val="12"/>
                <w:color w:val="auto"/>
              </w:rPr>
              <w:t>- 11 -</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(c)</w:t>
            </w:r>
          </w:p>
        </w:tc>
        <w:tc>
          <w:tcPr>
            <w:tcW w:w="220" w:type="dxa"/>
            <w:vAlign w:val="bottom"/>
          </w:tcPr>
          <w:p>
            <w:pPr>
              <w:spacing w:after="0"/>
              <w:rPr>
                <w:sz w:val="24"/>
                <w:szCs w:val="24"/>
                <w:color w:val="auto"/>
              </w:rPr>
            </w:pPr>
          </w:p>
        </w:tc>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rPr>
              <w:t>in the</w:t>
            </w:r>
          </w:p>
        </w:tc>
        <w:tc>
          <w:tcPr>
            <w:tcW w:w="8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12"/>
                <w:szCs w:val="12"/>
                <w:color w:val="auto"/>
              </w:rPr>
              <w:t>event</w:t>
            </w: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that</w:t>
            </w:r>
          </w:p>
        </w:tc>
        <w:tc>
          <w:tcPr>
            <w:tcW w:w="360" w:type="dxa"/>
            <w:vAlign w:val="bottom"/>
            <w:gridSpan w:val="3"/>
          </w:tcPr>
          <w:p>
            <w:pPr>
              <w:spacing w:after="0"/>
              <w:rPr>
                <w:sz w:val="20"/>
                <w:szCs w:val="20"/>
                <w:color w:val="auto"/>
              </w:rPr>
            </w:pPr>
            <w:r>
              <w:rPr>
                <w:rFonts w:ascii="Courier New" w:cs="Courier New" w:eastAsia="Courier New" w:hAnsi="Courier New"/>
                <w:sz w:val="12"/>
                <w:szCs w:val="12"/>
                <w:color w:val="auto"/>
                <w:w w:val="94"/>
              </w:rPr>
              <w:t>there</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shall be a</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New</w:t>
            </w:r>
          </w:p>
        </w:tc>
        <w:tc>
          <w:tcPr>
            <w:tcW w:w="60" w:type="dxa"/>
            <w:vAlign w:val="bottom"/>
          </w:tcPr>
          <w:p>
            <w:pPr>
              <w:spacing w:after="0"/>
              <w:rPr>
                <w:sz w:val="12"/>
                <w:szCs w:val="12"/>
                <w:color w:val="auto"/>
              </w:rPr>
            </w:pPr>
          </w:p>
        </w:tc>
        <w:tc>
          <w:tcPr>
            <w:tcW w:w="52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Bank</w:t>
            </w:r>
          </w:p>
        </w:tc>
        <w:tc>
          <w:tcPr>
            <w:tcW w:w="52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(as</w:t>
            </w:r>
          </w:p>
        </w:tc>
        <w:tc>
          <w:tcPr>
            <w:tcW w:w="88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referred</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to</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5"/>
          </w:tcPr>
          <w:p>
            <w:pPr>
              <w:spacing w:after="0"/>
              <w:rPr>
                <w:sz w:val="20"/>
                <w:szCs w:val="20"/>
                <w:color w:val="auto"/>
              </w:rPr>
            </w:pPr>
            <w:r>
              <w:rPr>
                <w:rFonts w:ascii="Courier New" w:cs="Courier New" w:eastAsia="Courier New" w:hAnsi="Courier New"/>
                <w:sz w:val="12"/>
                <w:szCs w:val="12"/>
                <w:color w:val="auto"/>
                <w:w w:val="98"/>
              </w:rPr>
              <w:t>clause 20.1</w:t>
            </w:r>
          </w:p>
        </w:tc>
        <w:tc>
          <w:tcPr>
            <w:tcW w:w="74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below),</w:t>
            </w:r>
          </w:p>
        </w:tc>
        <w:tc>
          <w:tcPr>
            <w:tcW w:w="80" w:type="dxa"/>
            <w:vAlign w:val="bottom"/>
          </w:tcPr>
          <w:p>
            <w:pPr>
              <w:spacing w:after="0"/>
              <w:rPr>
                <w:sz w:val="12"/>
                <w:szCs w:val="12"/>
                <w:color w:val="auto"/>
              </w:rPr>
            </w:pPr>
          </w:p>
        </w:tc>
        <w:tc>
          <w:tcPr>
            <w:tcW w:w="1180" w:type="dxa"/>
            <w:vAlign w:val="bottom"/>
            <w:gridSpan w:val="6"/>
          </w:tcPr>
          <w:p>
            <w:pPr>
              <w:spacing w:after="0"/>
              <w:rPr>
                <w:sz w:val="20"/>
                <w:szCs w:val="20"/>
                <w:color w:val="auto"/>
              </w:rPr>
            </w:pPr>
            <w:r>
              <w:rPr>
                <w:rFonts w:ascii="Courier New" w:cs="Courier New" w:eastAsia="Courier New" w:hAnsi="Courier New"/>
                <w:sz w:val="12"/>
                <w:szCs w:val="12"/>
                <w:color w:val="auto"/>
              </w:rPr>
              <w:t>an account to be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12"/>
          </w:tcPr>
          <w:p>
            <w:pPr>
              <w:spacing w:after="0"/>
              <w:rPr>
                <w:sz w:val="20"/>
                <w:szCs w:val="20"/>
                <w:color w:val="auto"/>
              </w:rPr>
            </w:pPr>
            <w:r>
              <w:rPr>
                <w:rFonts w:ascii="Courier New" w:cs="Courier New" w:eastAsia="Courier New" w:hAnsi="Courier New"/>
                <w:sz w:val="12"/>
                <w:szCs w:val="12"/>
                <w:color w:val="auto"/>
              </w:rPr>
              <w:t>opened at Bank Leumi or Bank</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Hapoalim</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w w:val="95"/>
              </w:rPr>
              <w:t>for the</w:t>
            </w:r>
          </w:p>
        </w:tc>
        <w:tc>
          <w:tcPr>
            <w:tcW w:w="8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purposes</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w w:val="82"/>
              </w:rPr>
              <w:t>of</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5"/>
          </w:tcPr>
          <w:p>
            <w:pPr>
              <w:spacing w:after="0"/>
              <w:rPr>
                <w:sz w:val="20"/>
                <w:szCs w:val="20"/>
                <w:color w:val="auto"/>
              </w:rPr>
            </w:pPr>
            <w:r>
              <w:rPr>
                <w:rFonts w:ascii="Courier New" w:cs="Courier New" w:eastAsia="Courier New" w:hAnsi="Courier New"/>
                <w:sz w:val="12"/>
                <w:szCs w:val="12"/>
                <w:color w:val="auto"/>
              </w:rPr>
              <w:t>payments to 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w w:val="90"/>
              </w:rPr>
              <w:t>from</w:t>
            </w:r>
          </w:p>
        </w:tc>
        <w:tc>
          <w:tcPr>
            <w:tcW w:w="1260" w:type="dxa"/>
            <w:vAlign w:val="bottom"/>
            <w:gridSpan w:val="6"/>
          </w:tcPr>
          <w:p>
            <w:pPr>
              <w:ind w:left="160"/>
              <w:spacing w:after="0"/>
              <w:rPr>
                <w:sz w:val="20"/>
                <w:szCs w:val="20"/>
                <w:color w:val="auto"/>
              </w:rPr>
            </w:pPr>
            <w:r>
              <w:rPr>
                <w:rFonts w:ascii="Courier New" w:cs="Courier New" w:eastAsia="Courier New" w:hAnsi="Courier New"/>
                <w:sz w:val="12"/>
                <w:szCs w:val="12"/>
                <w:color w:val="auto"/>
              </w:rPr>
              <w:t>such New Bank</w:t>
            </w: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rPr>
              <w:t>pursuant</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to this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5"/>
          </w:tcPr>
          <w:p>
            <w:pPr>
              <w:spacing w:after="0"/>
              <w:rPr>
                <w:sz w:val="20"/>
                <w:szCs w:val="20"/>
                <w:color w:val="auto"/>
              </w:rPr>
            </w:pPr>
            <w:r>
              <w:rPr>
                <w:rFonts w:ascii="Courier New" w:cs="Courier New" w:eastAsia="Courier New" w:hAnsi="Courier New"/>
                <w:sz w:val="12"/>
                <w:szCs w:val="12"/>
                <w:color w:val="auto"/>
              </w:rPr>
              <w:t>Agreement,</w:t>
            </w:r>
          </w:p>
        </w:tc>
        <w:tc>
          <w:tcPr>
            <w:tcW w:w="52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all</w:t>
            </w:r>
          </w:p>
        </w:tc>
        <w:tc>
          <w:tcPr>
            <w:tcW w:w="220" w:type="dxa"/>
            <w:vAlign w:val="bottom"/>
          </w:tcPr>
          <w:p>
            <w:pPr>
              <w:spacing w:after="0"/>
              <w:rPr>
                <w:sz w:val="20"/>
                <w:szCs w:val="20"/>
                <w:color w:val="auto"/>
              </w:rPr>
            </w:pPr>
            <w:r>
              <w:rPr>
                <w:rFonts w:ascii="Courier New" w:cs="Courier New" w:eastAsia="Courier New" w:hAnsi="Courier New"/>
                <w:sz w:val="12"/>
                <w:szCs w:val="12"/>
                <w:color w:val="auto"/>
              </w:rPr>
              <w:t>as</w:t>
            </w:r>
          </w:p>
        </w:tc>
        <w:tc>
          <w:tcPr>
            <w:tcW w:w="80" w:type="dxa"/>
            <w:vAlign w:val="bottom"/>
          </w:tcPr>
          <w:p>
            <w:pPr>
              <w:spacing w:after="0"/>
              <w:rPr>
                <w:sz w:val="12"/>
                <w:szCs w:val="12"/>
                <w:color w:val="auto"/>
              </w:rPr>
            </w:pP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w w:val="97"/>
              </w:rPr>
              <w:t>referred</w:t>
            </w:r>
          </w:p>
        </w:tc>
        <w:tc>
          <w:tcPr>
            <w:tcW w:w="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to</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9"/>
          </w:tcPr>
          <w:p>
            <w:pPr>
              <w:spacing w:after="0"/>
              <w:rPr>
                <w:sz w:val="20"/>
                <w:szCs w:val="20"/>
                <w:color w:val="auto"/>
              </w:rPr>
            </w:pPr>
            <w:r>
              <w:rPr>
                <w:rFonts w:ascii="Courier New" w:cs="Courier New" w:eastAsia="Courier New" w:hAnsi="Courier New"/>
                <w:sz w:val="12"/>
                <w:szCs w:val="12"/>
                <w:color w:val="auto"/>
              </w:rPr>
              <w:t>clause 20.1 below; and</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(d)</w:t>
            </w:r>
          </w:p>
        </w:tc>
        <w:tc>
          <w:tcPr>
            <w:tcW w:w="220" w:type="dxa"/>
            <w:vAlign w:val="bottom"/>
          </w:tcPr>
          <w:p>
            <w:pPr>
              <w:spacing w:after="0"/>
              <w:rPr>
                <w:sz w:val="24"/>
                <w:szCs w:val="24"/>
                <w:color w:val="auto"/>
              </w:rPr>
            </w:pPr>
          </w:p>
        </w:tc>
        <w:tc>
          <w:tcPr>
            <w:tcW w:w="580" w:type="dxa"/>
            <w:vAlign w:val="bottom"/>
            <w:gridSpan w:val="4"/>
          </w:tcPr>
          <w:p>
            <w:pPr>
              <w:spacing w:after="0"/>
              <w:rPr>
                <w:sz w:val="20"/>
                <w:szCs w:val="20"/>
                <w:color w:val="auto"/>
              </w:rPr>
            </w:pPr>
            <w:r>
              <w:rPr>
                <w:rFonts w:ascii="Courier New" w:cs="Courier New" w:eastAsia="Courier New" w:hAnsi="Courier New"/>
                <w:sz w:val="12"/>
                <w:szCs w:val="12"/>
                <w:color w:val="auto"/>
                <w:w w:val="97"/>
              </w:rPr>
              <w:t>accounts</w:t>
            </w:r>
          </w:p>
        </w:tc>
        <w:tc>
          <w:tcPr>
            <w:tcW w:w="74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opened</w:t>
            </w:r>
          </w:p>
        </w:tc>
        <w:tc>
          <w:tcPr>
            <w:tcW w:w="580" w:type="dxa"/>
            <w:vAlign w:val="bottom"/>
            <w:gridSpan w:val="4"/>
          </w:tcPr>
          <w:p>
            <w:pPr>
              <w:spacing w:after="0"/>
              <w:rPr>
                <w:sz w:val="20"/>
                <w:szCs w:val="20"/>
                <w:color w:val="auto"/>
              </w:rPr>
            </w:pPr>
            <w:r>
              <w:rPr>
                <w:rFonts w:ascii="Courier New" w:cs="Courier New" w:eastAsia="Courier New" w:hAnsi="Courier New"/>
                <w:sz w:val="12"/>
                <w:szCs w:val="12"/>
                <w:color w:val="auto"/>
              </w:rPr>
              <w:t>and/or</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to be opened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w w:val="95"/>
              </w:rPr>
              <w:t>at Bank</w:t>
            </w:r>
          </w:p>
        </w:tc>
        <w:tc>
          <w:tcPr>
            <w:tcW w:w="8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Hapoalim</w:t>
            </w:r>
          </w:p>
        </w:tc>
        <w:tc>
          <w:tcPr>
            <w:tcW w:w="3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2"/>
              </w:rPr>
              <w:t>and</w:t>
            </w:r>
          </w:p>
        </w:tc>
        <w:tc>
          <w:tcPr>
            <w:tcW w:w="60" w:type="dxa"/>
            <w:vAlign w:val="bottom"/>
          </w:tcPr>
          <w:p>
            <w:pPr>
              <w:spacing w:after="0"/>
              <w:rPr>
                <w:sz w:val="12"/>
                <w:szCs w:val="12"/>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Bank</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Leumi 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5"/>
          </w:tcPr>
          <w:p>
            <w:pPr>
              <w:spacing w:after="0"/>
              <w:rPr>
                <w:sz w:val="20"/>
                <w:szCs w:val="20"/>
                <w:color w:val="auto"/>
              </w:rPr>
            </w:pPr>
            <w:r>
              <w:rPr>
                <w:rFonts w:ascii="Courier New" w:cs="Courier New" w:eastAsia="Courier New" w:hAnsi="Courier New"/>
                <w:sz w:val="12"/>
                <w:szCs w:val="12"/>
                <w:color w:val="auto"/>
              </w:rPr>
              <w:t>accordance</w:t>
            </w:r>
          </w:p>
        </w:tc>
        <w:tc>
          <w:tcPr>
            <w:tcW w:w="52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with</w:t>
            </w:r>
          </w:p>
        </w:tc>
        <w:tc>
          <w:tcPr>
            <w:tcW w:w="220" w:type="dxa"/>
            <w:vAlign w:val="bottom"/>
          </w:tcPr>
          <w:p>
            <w:pPr>
              <w:spacing w:after="0"/>
              <w:rPr>
                <w:sz w:val="12"/>
                <w:szCs w:val="12"/>
                <w:color w:val="auto"/>
              </w:rPr>
            </w:pPr>
          </w:p>
        </w:tc>
        <w:tc>
          <w:tcPr>
            <w:tcW w:w="1260" w:type="dxa"/>
            <w:vAlign w:val="bottom"/>
            <w:gridSpan w:val="7"/>
          </w:tcPr>
          <w:p>
            <w:pPr>
              <w:spacing w:after="0"/>
              <w:rPr>
                <w:sz w:val="20"/>
                <w:szCs w:val="20"/>
                <w:color w:val="auto"/>
              </w:rPr>
            </w:pPr>
            <w:r>
              <w:rPr>
                <w:rFonts w:ascii="Courier New" w:cs="Courier New" w:eastAsia="Courier New" w:hAnsi="Courier New"/>
                <w:sz w:val="12"/>
                <w:szCs w:val="12"/>
                <w:color w:val="auto"/>
              </w:rPr>
              <w:t>clause 1.1.118(e)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gridSpan w:val="13"/>
          </w:tcPr>
          <w:p>
            <w:pPr>
              <w:spacing w:after="0"/>
              <w:rPr>
                <w:sz w:val="20"/>
                <w:szCs w:val="20"/>
                <w:color w:val="auto"/>
              </w:rPr>
            </w:pPr>
            <w:r>
              <w:rPr>
                <w:rFonts w:ascii="Courier New" w:cs="Courier New" w:eastAsia="Courier New" w:hAnsi="Courier New"/>
                <w:sz w:val="12"/>
                <w:szCs w:val="12"/>
                <w:color w:val="auto"/>
              </w:rPr>
              <w:t>below ("THE RESERVE ACCOUNTS");</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1.1.20.</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1.1.21.</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1.1.22.</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1.1.23.</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"CONSENT"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28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92"/>
              </w:rPr>
              <w:t>any</w:t>
            </w:r>
          </w:p>
        </w:tc>
        <w:tc>
          <w:tcPr>
            <w:tcW w:w="2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approval,</w:t>
            </w:r>
          </w:p>
        </w:tc>
        <w:tc>
          <w:tcPr>
            <w:tcW w:w="88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consent,</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permit,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ratification,</w:t>
            </w:r>
          </w:p>
        </w:tc>
        <w:tc>
          <w:tcPr>
            <w:tcW w:w="8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waiver,</w:t>
            </w:r>
          </w:p>
        </w:tc>
        <w:tc>
          <w:tcPr>
            <w:tcW w:w="580" w:type="dxa"/>
            <w:vAlign w:val="bottom"/>
            <w:gridSpan w:val="4"/>
          </w:tcPr>
          <w:p>
            <w:pPr>
              <w:spacing w:after="0"/>
              <w:rPr>
                <w:sz w:val="20"/>
                <w:szCs w:val="20"/>
                <w:color w:val="auto"/>
              </w:rPr>
            </w:pPr>
            <w:r>
              <w:rPr>
                <w:rFonts w:ascii="Courier New" w:cs="Courier New" w:eastAsia="Courier New" w:hAnsi="Courier New"/>
                <w:sz w:val="12"/>
                <w:szCs w:val="12"/>
                <w:color w:val="auto"/>
                <w:w w:val="97"/>
              </w:rPr>
              <w:t>licence,</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exemption,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filing,</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5"/>
          </w:tcPr>
          <w:p>
            <w:pPr>
              <w:spacing w:after="0"/>
              <w:rPr>
                <w:sz w:val="20"/>
                <w:szCs w:val="20"/>
                <w:color w:val="auto"/>
              </w:rPr>
            </w:pPr>
            <w:r>
              <w:rPr>
                <w:rFonts w:ascii="Courier New" w:cs="Courier New" w:eastAsia="Courier New" w:hAnsi="Courier New"/>
                <w:sz w:val="12"/>
                <w:szCs w:val="12"/>
                <w:color w:val="auto"/>
              </w:rPr>
              <w:t>registration</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w w:val="82"/>
              </w:rPr>
              <w:t>or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authorisation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7"/>
          </w:tcPr>
          <w:p>
            <w:pPr>
              <w:ind w:left="80"/>
              <w:spacing w:after="0"/>
              <w:rPr>
                <w:sz w:val="20"/>
                <w:szCs w:val="20"/>
                <w:color w:val="auto"/>
              </w:rPr>
            </w:pPr>
            <w:r>
              <w:rPr>
                <w:rFonts w:ascii="Courier New" w:cs="Courier New" w:eastAsia="Courier New" w:hAnsi="Courier New"/>
                <w:sz w:val="12"/>
                <w:szCs w:val="12"/>
                <w:color w:val="auto"/>
              </w:rPr>
              <w:t>(including any Governmental Authorisation);</w:t>
            </w: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1.1.24.</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1.1.25.</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1.1.26.</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1.1.27.</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1.1.28.</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"CONSULTING ENGINEER"</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rPr>
              <w:t>Ludan</w:t>
            </w: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Engineering</w:t>
            </w:r>
          </w:p>
        </w:tc>
        <w:tc>
          <w:tcPr>
            <w:tcW w:w="36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2"/>
              </w:rPr>
              <w:t>Co.</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Ltd.,</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who is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w w:val="99"/>
              </w:rPr>
              <w:t>engaged by the</w:t>
            </w:r>
          </w:p>
        </w:tc>
        <w:tc>
          <w:tcPr>
            <w:tcW w:w="8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Borrower</w:t>
            </w:r>
          </w:p>
        </w:tc>
        <w:tc>
          <w:tcPr>
            <w:tcW w:w="148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to act on behalf 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the Banks</w:t>
            </w:r>
          </w:p>
        </w:tc>
        <w:tc>
          <w:tcPr>
            <w:tcW w:w="60" w:type="dxa"/>
            <w:vAlign w:val="bottom"/>
          </w:tcPr>
          <w:p>
            <w:pPr>
              <w:spacing w:after="0"/>
              <w:rPr>
                <w:sz w:val="12"/>
                <w:szCs w:val="12"/>
                <w:color w:val="auto"/>
              </w:rPr>
            </w:pP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w w:val="99"/>
              </w:rPr>
              <w:t>and the</w:t>
            </w:r>
          </w:p>
        </w:tc>
        <w:tc>
          <w:tcPr>
            <w:tcW w:w="740" w:type="dxa"/>
            <w:vAlign w:val="bottom"/>
            <w:gridSpan w:val="3"/>
          </w:tcPr>
          <w:p>
            <w:pPr>
              <w:ind w:left="160"/>
              <w:spacing w:after="0"/>
              <w:rPr>
                <w:sz w:val="20"/>
                <w:szCs w:val="20"/>
                <w:color w:val="auto"/>
              </w:rPr>
            </w:pPr>
            <w:r>
              <w:rPr>
                <w:rFonts w:ascii="Courier New" w:cs="Courier New" w:eastAsia="Courier New" w:hAnsi="Courier New"/>
                <w:sz w:val="12"/>
                <w:szCs w:val="12"/>
                <w:color w:val="auto"/>
                <w:w w:val="97"/>
              </w:rPr>
              <w:t>Borrower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as</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supervising</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engineer</w:t>
            </w:r>
          </w:p>
        </w:tc>
        <w:tc>
          <w:tcPr>
            <w:tcW w:w="60" w:type="dxa"/>
            <w:vAlign w:val="bottom"/>
          </w:tcPr>
          <w:p>
            <w:pPr>
              <w:spacing w:after="0"/>
              <w:rPr>
                <w:sz w:val="12"/>
                <w:szCs w:val="12"/>
                <w:color w:val="auto"/>
              </w:rPr>
            </w:pPr>
          </w:p>
        </w:tc>
        <w:tc>
          <w:tcPr>
            <w:tcW w:w="3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2"/>
              </w:rPr>
              <w:t>for</w:t>
            </w:r>
          </w:p>
        </w:tc>
        <w:tc>
          <w:tcPr>
            <w:tcW w:w="22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rPr>
              <w:t>the</w:t>
            </w:r>
          </w:p>
        </w:tc>
        <w:tc>
          <w:tcPr>
            <w:tcW w:w="220" w:type="dxa"/>
            <w:vAlign w:val="bottom"/>
          </w:tcPr>
          <w:p>
            <w:pPr>
              <w:spacing w:after="0"/>
              <w:rPr>
                <w:sz w:val="12"/>
                <w:szCs w:val="12"/>
                <w:color w:val="auto"/>
              </w:rPr>
            </w:pPr>
          </w:p>
        </w:tc>
        <w:tc>
          <w:tcPr>
            <w:tcW w:w="580" w:type="dxa"/>
            <w:vAlign w:val="bottom"/>
            <w:gridSpan w:val="4"/>
          </w:tcPr>
          <w:p>
            <w:pPr>
              <w:spacing w:after="0"/>
              <w:rPr>
                <w:sz w:val="20"/>
                <w:szCs w:val="20"/>
                <w:color w:val="auto"/>
              </w:rPr>
            </w:pPr>
            <w:r>
              <w:rPr>
                <w:rFonts w:ascii="Courier New" w:cs="Courier New" w:eastAsia="Courier New" w:hAnsi="Courier New"/>
                <w:sz w:val="12"/>
                <w:szCs w:val="12"/>
                <w:color w:val="auto"/>
                <w:w w:val="97"/>
              </w:rPr>
              <w:t>purposes</w:t>
            </w:r>
          </w:p>
        </w:tc>
        <w:tc>
          <w:tcPr>
            <w:tcW w:w="5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of</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this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Agreement,</w:t>
            </w:r>
          </w:p>
        </w:tc>
        <w:tc>
          <w:tcPr>
            <w:tcW w:w="60" w:type="dxa"/>
            <w:vAlign w:val="bottom"/>
          </w:tcPr>
          <w:p>
            <w:pPr>
              <w:spacing w:after="0"/>
              <w:rPr>
                <w:sz w:val="12"/>
                <w:szCs w:val="12"/>
                <w:color w:val="auto"/>
              </w:rPr>
            </w:pPr>
          </w:p>
        </w:tc>
        <w:tc>
          <w:tcPr>
            <w:tcW w:w="300" w:type="dxa"/>
            <w:vAlign w:val="bottom"/>
            <w:gridSpan w:val="2"/>
          </w:tcPr>
          <w:p>
            <w:pPr>
              <w:ind w:left="160"/>
              <w:spacing w:after="0"/>
              <w:rPr>
                <w:sz w:val="20"/>
                <w:szCs w:val="20"/>
                <w:color w:val="auto"/>
              </w:rPr>
            </w:pPr>
            <w:r>
              <w:rPr>
                <w:rFonts w:ascii="Courier New" w:cs="Courier New" w:eastAsia="Courier New" w:hAnsi="Courier New"/>
                <w:sz w:val="12"/>
                <w:szCs w:val="12"/>
                <w:color w:val="auto"/>
                <w:w w:val="82"/>
              </w:rPr>
              <w:t>as</w:t>
            </w:r>
          </w:p>
        </w:tc>
        <w:tc>
          <w:tcPr>
            <w:tcW w:w="52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such</w:t>
            </w:r>
          </w:p>
        </w:tc>
        <w:tc>
          <w:tcPr>
            <w:tcW w:w="8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engineer</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may,</w:t>
            </w:r>
          </w:p>
        </w:tc>
        <w:tc>
          <w:tcPr>
            <w:tcW w:w="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if</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so</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requested</w:t>
            </w:r>
          </w:p>
        </w:tc>
        <w:tc>
          <w:tcPr>
            <w:tcW w:w="60" w:type="dxa"/>
            <w:vAlign w:val="bottom"/>
          </w:tcPr>
          <w:p>
            <w:pPr>
              <w:spacing w:after="0"/>
              <w:rPr>
                <w:sz w:val="12"/>
                <w:szCs w:val="12"/>
                <w:color w:val="auto"/>
              </w:rPr>
            </w:pP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rPr>
              <w:t>by the</w:t>
            </w: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7"/>
              </w:rPr>
              <w:t>Banks,</w:t>
            </w:r>
          </w:p>
        </w:tc>
        <w:tc>
          <w:tcPr>
            <w:tcW w:w="30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6"/>
              </w:rPr>
              <w:t>be</w:t>
            </w:r>
          </w:p>
        </w:tc>
        <w:tc>
          <w:tcPr>
            <w:tcW w:w="6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replaced</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from</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2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time to time by another</w:t>
            </w:r>
          </w:p>
        </w:tc>
        <w:tc>
          <w:tcPr>
            <w:tcW w:w="580" w:type="dxa"/>
            <w:vAlign w:val="bottom"/>
            <w:gridSpan w:val="4"/>
          </w:tcPr>
          <w:p>
            <w:pPr>
              <w:spacing w:after="0"/>
              <w:rPr>
                <w:sz w:val="20"/>
                <w:szCs w:val="20"/>
                <w:color w:val="auto"/>
              </w:rPr>
            </w:pPr>
            <w:r>
              <w:rPr>
                <w:rFonts w:ascii="Courier New" w:cs="Courier New" w:eastAsia="Courier New" w:hAnsi="Courier New"/>
                <w:sz w:val="12"/>
                <w:szCs w:val="12"/>
                <w:color w:val="auto"/>
                <w:w w:val="97"/>
              </w:rPr>
              <w:t>engineer</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acceptable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to</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220" w:type="dxa"/>
            <w:vAlign w:val="bottom"/>
          </w:tcPr>
          <w:p>
            <w:pPr>
              <w:spacing w:after="0"/>
              <w:rPr>
                <w:sz w:val="12"/>
                <w:szCs w:val="12"/>
                <w:color w:val="auto"/>
              </w:rPr>
            </w:pPr>
          </w:p>
        </w:tc>
        <w:tc>
          <w:tcPr>
            <w:tcW w:w="360" w:type="dxa"/>
            <w:vAlign w:val="bottom"/>
            <w:gridSpan w:val="3"/>
          </w:tcPr>
          <w:p>
            <w:pPr>
              <w:spacing w:after="0"/>
              <w:rPr>
                <w:sz w:val="20"/>
                <w:szCs w:val="20"/>
                <w:color w:val="auto"/>
              </w:rPr>
            </w:pPr>
            <w:r>
              <w:rPr>
                <w:rFonts w:ascii="Courier New" w:cs="Courier New" w:eastAsia="Courier New" w:hAnsi="Courier New"/>
                <w:sz w:val="12"/>
                <w:szCs w:val="12"/>
                <w:color w:val="auto"/>
                <w:w w:val="94"/>
              </w:rPr>
              <w:t>Banks</w:t>
            </w:r>
          </w:p>
        </w:tc>
        <w:tc>
          <w:tcPr>
            <w:tcW w:w="22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rPr>
              <w:t>and</w:t>
            </w:r>
          </w:p>
        </w:tc>
        <w:tc>
          <w:tcPr>
            <w:tcW w:w="1320" w:type="dxa"/>
            <w:vAlign w:val="bottom"/>
            <w:gridSpan w:val="7"/>
          </w:tcPr>
          <w:p>
            <w:pPr>
              <w:ind w:left="140"/>
              <w:spacing w:after="0"/>
              <w:rPr>
                <w:sz w:val="20"/>
                <w:szCs w:val="20"/>
                <w:color w:val="auto"/>
              </w:rPr>
            </w:pPr>
            <w:r>
              <w:rPr>
                <w:rFonts w:ascii="Courier New" w:cs="Courier New" w:eastAsia="Courier New" w:hAnsi="Courier New"/>
                <w:sz w:val="12"/>
                <w:szCs w:val="12"/>
                <w:color w:val="auto"/>
              </w:rPr>
              <w:t>the   Borrower,</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7"/>
          </w:tcPr>
          <w:p>
            <w:pPr>
              <w:ind w:left="80"/>
              <w:spacing w:after="0"/>
              <w:rPr>
                <w:sz w:val="20"/>
                <w:szCs w:val="20"/>
                <w:color w:val="auto"/>
              </w:rPr>
            </w:pPr>
            <w:r>
              <w:rPr>
                <w:rFonts w:ascii="Courier New" w:cs="Courier New" w:eastAsia="Courier New" w:hAnsi="Courier New"/>
                <w:sz w:val="12"/>
                <w:szCs w:val="12"/>
                <w:color w:val="auto"/>
              </w:rPr>
              <w:t>Borrower's  consent  not  to be  unreasonably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withheld;</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25"/>
        </w:trPr>
        <w:tc>
          <w:tcPr>
            <w:tcW w:w="1020" w:type="dxa"/>
            <w:vAlign w:val="bottom"/>
          </w:tcPr>
          <w:p>
            <w:pPr>
              <w:spacing w:after="0"/>
              <w:rPr>
                <w:sz w:val="24"/>
                <w:szCs w:val="24"/>
                <w:color w:val="auto"/>
              </w:rPr>
            </w:pPr>
          </w:p>
        </w:tc>
        <w:tc>
          <w:tcPr>
            <w:tcW w:w="2660" w:type="dxa"/>
            <w:vAlign w:val="bottom"/>
          </w:tcPr>
          <w:p>
            <w:pPr>
              <w:ind w:left="1700"/>
              <w:spacing w:after="0"/>
              <w:rPr>
                <w:sz w:val="20"/>
                <w:szCs w:val="20"/>
                <w:color w:val="auto"/>
              </w:rPr>
            </w:pPr>
            <w:r>
              <w:rPr>
                <w:rFonts w:ascii="Courier New" w:cs="Courier New" w:eastAsia="Courier New" w:hAnsi="Courier New"/>
                <w:sz w:val="12"/>
                <w:szCs w:val="12"/>
                <w:color w:val="auto"/>
              </w:rPr>
              <w:t>- 12 -</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1.1.29.</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1.1.30.</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1.1.31.</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1.1.32.</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"CONTRACTS"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means any</w:t>
            </w:r>
          </w:p>
        </w:tc>
        <w:tc>
          <w:tcPr>
            <w:tcW w:w="6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agreement,</w:t>
            </w:r>
          </w:p>
        </w:tc>
        <w:tc>
          <w:tcPr>
            <w:tcW w:w="8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contract,</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obligation,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promise</w:t>
            </w:r>
          </w:p>
        </w:tc>
        <w:tc>
          <w:tcPr>
            <w:tcW w:w="28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82"/>
              </w:rPr>
              <w:t>or</w:t>
            </w:r>
          </w:p>
        </w:tc>
        <w:tc>
          <w:tcPr>
            <w:tcW w:w="1040" w:type="dxa"/>
            <w:vAlign w:val="bottom"/>
            <w:gridSpan w:val="5"/>
          </w:tcPr>
          <w:p>
            <w:pPr>
              <w:ind w:left="160"/>
              <w:spacing w:after="0"/>
              <w:rPr>
                <w:sz w:val="20"/>
                <w:szCs w:val="20"/>
                <w:color w:val="auto"/>
              </w:rPr>
            </w:pPr>
            <w:r>
              <w:rPr>
                <w:rFonts w:ascii="Courier New" w:cs="Courier New" w:eastAsia="Courier New" w:hAnsi="Courier New"/>
                <w:sz w:val="12"/>
                <w:szCs w:val="12"/>
                <w:color w:val="auto"/>
                <w:w w:val="99"/>
              </w:rPr>
              <w:t>undertaking,</w:t>
            </w:r>
          </w:p>
        </w:tc>
        <w:tc>
          <w:tcPr>
            <w:tcW w:w="220" w:type="dxa"/>
            <w:vAlign w:val="bottom"/>
          </w:tcPr>
          <w:p>
            <w:pPr>
              <w:spacing w:after="0"/>
              <w:rPr>
                <w:sz w:val="12"/>
                <w:szCs w:val="12"/>
                <w:color w:val="auto"/>
              </w:rPr>
            </w:pP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rPr>
              <w:t>whether</w:t>
            </w:r>
          </w:p>
        </w:tc>
        <w:tc>
          <w:tcPr>
            <w:tcW w:w="3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oral</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00" w:type="dxa"/>
            <w:vAlign w:val="bottom"/>
            <w:gridSpan w:val="13"/>
          </w:tcPr>
          <w:p>
            <w:pPr>
              <w:ind w:left="80"/>
              <w:spacing w:after="0"/>
              <w:rPr>
                <w:sz w:val="20"/>
                <w:szCs w:val="20"/>
                <w:color w:val="auto"/>
              </w:rPr>
            </w:pPr>
            <w:r>
              <w:rPr>
                <w:rFonts w:ascii="Courier New" w:cs="Courier New" w:eastAsia="Courier New" w:hAnsi="Courier New"/>
                <w:sz w:val="12"/>
                <w:szCs w:val="12"/>
                <w:color w:val="auto"/>
              </w:rPr>
              <w:t>written, that is legally binding;</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1.1.33.</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"CONTRIBUTION"</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220" w:type="dxa"/>
            <w:vAlign w:val="bottom"/>
          </w:tcPr>
          <w:p>
            <w:pPr>
              <w:ind w:left="60"/>
              <w:spacing w:after="0"/>
              <w:rPr>
                <w:sz w:val="20"/>
                <w:szCs w:val="20"/>
                <w:color w:val="auto"/>
              </w:rPr>
            </w:pPr>
            <w:r>
              <w:rPr>
                <w:rFonts w:ascii="Courier New" w:cs="Courier New" w:eastAsia="Courier New" w:hAnsi="Courier New"/>
                <w:sz w:val="12"/>
                <w:szCs w:val="12"/>
                <w:color w:val="auto"/>
                <w:w w:val="96"/>
              </w:rPr>
              <w:t>in</w:t>
            </w:r>
          </w:p>
        </w:tc>
        <w:tc>
          <w:tcPr>
            <w:tcW w:w="60" w:type="dxa"/>
            <w:vAlign w:val="bottom"/>
          </w:tcPr>
          <w:p>
            <w:pPr>
              <w:spacing w:after="0"/>
              <w:rPr>
                <w:sz w:val="24"/>
                <w:szCs w:val="24"/>
                <w:color w:val="auto"/>
              </w:rPr>
            </w:pPr>
          </w:p>
        </w:tc>
        <w:tc>
          <w:tcPr>
            <w:tcW w:w="82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relation</w:t>
            </w:r>
          </w:p>
        </w:tc>
        <w:tc>
          <w:tcPr>
            <w:tcW w:w="1320" w:type="dxa"/>
            <w:vAlign w:val="bottom"/>
            <w:gridSpan w:val="7"/>
          </w:tcPr>
          <w:p>
            <w:pPr>
              <w:spacing w:after="0"/>
              <w:rPr>
                <w:sz w:val="20"/>
                <w:szCs w:val="20"/>
                <w:color w:val="auto"/>
              </w:rPr>
            </w:pPr>
            <w:r>
              <w:rPr>
                <w:rFonts w:ascii="Courier New" w:cs="Courier New" w:eastAsia="Courier New" w:hAnsi="Courier New"/>
                <w:sz w:val="12"/>
                <w:szCs w:val="12"/>
                <w:color w:val="auto"/>
              </w:rPr>
              <w:t>to a Bank at any</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time,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w w:val="97"/>
              </w:rPr>
              <w:t>that</w:t>
            </w:r>
          </w:p>
        </w:tc>
        <w:tc>
          <w:tcPr>
            <w:tcW w:w="72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amount</w:t>
            </w: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of the</w:t>
            </w: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Total</w:t>
            </w:r>
          </w:p>
        </w:tc>
        <w:tc>
          <w:tcPr>
            <w:tcW w:w="80" w:type="dxa"/>
            <w:vAlign w:val="bottom"/>
          </w:tcPr>
          <w:p>
            <w:pPr>
              <w:spacing w:after="0"/>
              <w:rPr>
                <w:sz w:val="12"/>
                <w:szCs w:val="12"/>
                <w:color w:val="auto"/>
              </w:rPr>
            </w:pPr>
          </w:p>
        </w:tc>
        <w:tc>
          <w:tcPr>
            <w:tcW w:w="880" w:type="dxa"/>
            <w:vAlign w:val="bottom"/>
            <w:gridSpan w:val="5"/>
          </w:tcPr>
          <w:p>
            <w:pPr>
              <w:spacing w:after="0"/>
              <w:rPr>
                <w:sz w:val="20"/>
                <w:szCs w:val="20"/>
                <w:color w:val="auto"/>
              </w:rPr>
            </w:pPr>
            <w:r>
              <w:rPr>
                <w:rFonts w:ascii="Courier New" w:cs="Courier New" w:eastAsia="Courier New" w:hAnsi="Courier New"/>
                <w:sz w:val="12"/>
                <w:szCs w:val="12"/>
                <w:color w:val="auto"/>
                <w:w w:val="99"/>
              </w:rPr>
              <w:t>Outstandings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0" w:type="dxa"/>
            <w:vAlign w:val="bottom"/>
            <w:gridSpan w:val="14"/>
          </w:tcPr>
          <w:p>
            <w:pPr>
              <w:ind w:left="80"/>
              <w:spacing w:after="0"/>
              <w:rPr>
                <w:sz w:val="20"/>
                <w:szCs w:val="20"/>
                <w:color w:val="auto"/>
              </w:rPr>
            </w:pPr>
            <w:r>
              <w:rPr>
                <w:rFonts w:ascii="Courier New" w:cs="Courier New" w:eastAsia="Courier New" w:hAnsi="Courier New"/>
                <w:sz w:val="12"/>
                <w:szCs w:val="12"/>
                <w:color w:val="auto"/>
              </w:rPr>
              <w:t>the time that is owing to such Bank;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1.1.34.</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1.1.35.</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"CURRENCY HEDGING</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020" w:type="dxa"/>
            <w:vAlign w:val="bottom"/>
          </w:tcPr>
          <w:p>
            <w:pPr>
              <w:spacing w:after="0"/>
              <w:rPr>
                <w:sz w:val="12"/>
                <w:szCs w:val="12"/>
                <w:color w:val="auto"/>
              </w:rPr>
            </w:pP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TRANSACTION"</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includes</w:t>
            </w:r>
          </w:p>
        </w:tc>
        <w:tc>
          <w:tcPr>
            <w:tcW w:w="880" w:type="dxa"/>
            <w:vAlign w:val="bottom"/>
            <w:gridSpan w:val="5"/>
          </w:tcPr>
          <w:p>
            <w:pPr>
              <w:spacing w:after="0"/>
              <w:rPr>
                <w:sz w:val="20"/>
                <w:szCs w:val="20"/>
                <w:color w:val="auto"/>
              </w:rPr>
            </w:pPr>
            <w:r>
              <w:rPr>
                <w:rFonts w:ascii="Courier New" w:cs="Courier New" w:eastAsia="Courier New" w:hAnsi="Courier New"/>
                <w:sz w:val="12"/>
                <w:szCs w:val="12"/>
                <w:color w:val="auto"/>
              </w:rPr>
              <w:t>any foreign</w:t>
            </w:r>
          </w:p>
        </w:tc>
        <w:tc>
          <w:tcPr>
            <w:tcW w:w="8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exchange</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transaction,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currency</w:t>
            </w: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w w:val="90"/>
              </w:rPr>
              <w:t>swap</w:t>
            </w:r>
          </w:p>
        </w:tc>
        <w:tc>
          <w:tcPr>
            <w:tcW w:w="80" w:type="dxa"/>
            <w:vAlign w:val="bottom"/>
          </w:tcPr>
          <w:p>
            <w:pPr>
              <w:spacing w:after="0"/>
              <w:rPr>
                <w:sz w:val="12"/>
                <w:szCs w:val="12"/>
                <w:color w:val="auto"/>
              </w:rPr>
            </w:pP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9"/>
              </w:rPr>
              <w:t>transaction,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12"/>
                <w:szCs w:val="12"/>
                <w:color w:val="auto"/>
              </w:rPr>
              <w:t>cross</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currency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w w:val="97"/>
              </w:rPr>
              <w:t>rate</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7"/>
              </w:rPr>
              <w:t>swap</w:t>
            </w:r>
          </w:p>
        </w:tc>
        <w:tc>
          <w:tcPr>
            <w:tcW w:w="60" w:type="dxa"/>
            <w:vAlign w:val="bottom"/>
          </w:tcPr>
          <w:p>
            <w:pPr>
              <w:spacing w:after="0"/>
              <w:rPr>
                <w:sz w:val="12"/>
                <w:szCs w:val="12"/>
                <w:color w:val="auto"/>
              </w:rPr>
            </w:pPr>
          </w:p>
        </w:tc>
        <w:tc>
          <w:tcPr>
            <w:tcW w:w="1040" w:type="dxa"/>
            <w:vAlign w:val="bottom"/>
            <w:gridSpan w:val="5"/>
          </w:tcPr>
          <w:p>
            <w:pPr>
              <w:ind w:left="160"/>
              <w:spacing w:after="0"/>
              <w:rPr>
                <w:sz w:val="20"/>
                <w:szCs w:val="20"/>
                <w:color w:val="auto"/>
              </w:rPr>
            </w:pPr>
            <w:r>
              <w:rPr>
                <w:rFonts w:ascii="Courier New" w:cs="Courier New" w:eastAsia="Courier New" w:hAnsi="Courier New"/>
                <w:sz w:val="12"/>
                <w:szCs w:val="12"/>
                <w:color w:val="auto"/>
                <w:w w:val="99"/>
              </w:rPr>
              <w:t>transaction,</w:t>
            </w:r>
          </w:p>
        </w:tc>
        <w:tc>
          <w:tcPr>
            <w:tcW w:w="220" w:type="dxa"/>
            <w:vAlign w:val="bottom"/>
          </w:tcPr>
          <w:p>
            <w:pPr>
              <w:spacing w:after="0"/>
              <w:rPr>
                <w:sz w:val="12"/>
                <w:szCs w:val="12"/>
                <w:color w:val="auto"/>
              </w:rPr>
            </w:pP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rPr>
              <w:t>currency</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option,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collar</w:t>
            </w:r>
          </w:p>
        </w:tc>
        <w:tc>
          <w:tcPr>
            <w:tcW w:w="220" w:type="dxa"/>
            <w:vAlign w:val="bottom"/>
          </w:tcPr>
          <w:p>
            <w:pPr>
              <w:spacing w:after="0"/>
              <w:rPr>
                <w:sz w:val="12"/>
                <w:szCs w:val="12"/>
                <w:color w:val="auto"/>
              </w:rPr>
            </w:pPr>
          </w:p>
        </w:tc>
        <w:tc>
          <w:tcPr>
            <w:tcW w:w="880" w:type="dxa"/>
            <w:vAlign w:val="bottom"/>
            <w:gridSpan w:val="5"/>
          </w:tcPr>
          <w:p>
            <w:pPr>
              <w:spacing w:after="0"/>
              <w:rPr>
                <w:sz w:val="20"/>
                <w:szCs w:val="20"/>
                <w:color w:val="auto"/>
              </w:rPr>
            </w:pPr>
            <w:r>
              <w:rPr>
                <w:rFonts w:ascii="Courier New" w:cs="Courier New" w:eastAsia="Courier New" w:hAnsi="Courier New"/>
                <w:sz w:val="12"/>
                <w:szCs w:val="12"/>
                <w:color w:val="auto"/>
              </w:rPr>
              <w:t>transaction</w:t>
            </w: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12"/>
                <w:szCs w:val="12"/>
                <w:color w:val="auto"/>
              </w:rPr>
              <w:t>other</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similar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transaction</w:t>
            </w:r>
          </w:p>
        </w:tc>
        <w:tc>
          <w:tcPr>
            <w:tcW w:w="220" w:type="dxa"/>
            <w:vAlign w:val="bottom"/>
          </w:tcPr>
          <w:p>
            <w:pPr>
              <w:spacing w:after="0"/>
              <w:rPr>
                <w:sz w:val="12"/>
                <w:szCs w:val="12"/>
                <w:color w:val="auto"/>
              </w:rPr>
            </w:pP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(including</w:t>
            </w:r>
          </w:p>
        </w:tc>
        <w:tc>
          <w:tcPr>
            <w:tcW w:w="36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2"/>
              </w:rPr>
              <w:t>any</w:t>
            </w:r>
          </w:p>
        </w:tc>
        <w:tc>
          <w:tcPr>
            <w:tcW w:w="74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rPr>
              <w:t>option</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with</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respect</w:t>
            </w:r>
          </w:p>
        </w:tc>
        <w:tc>
          <w:tcPr>
            <w:tcW w:w="220" w:type="dxa"/>
            <w:vAlign w:val="bottom"/>
          </w:tcPr>
          <w:p>
            <w:pPr>
              <w:spacing w:after="0"/>
              <w:rPr>
                <w:sz w:val="12"/>
                <w:szCs w:val="12"/>
                <w:color w:val="auto"/>
              </w:rPr>
            </w:pPr>
          </w:p>
        </w:tc>
        <w:tc>
          <w:tcPr>
            <w:tcW w:w="580" w:type="dxa"/>
            <w:vAlign w:val="bottom"/>
            <w:gridSpan w:val="4"/>
          </w:tcPr>
          <w:p>
            <w:pPr>
              <w:spacing w:after="0"/>
              <w:rPr>
                <w:sz w:val="20"/>
                <w:szCs w:val="20"/>
                <w:color w:val="auto"/>
              </w:rPr>
            </w:pPr>
            <w:r>
              <w:rPr>
                <w:rFonts w:ascii="Courier New" w:cs="Courier New" w:eastAsia="Courier New" w:hAnsi="Courier New"/>
                <w:sz w:val="12"/>
                <w:szCs w:val="12"/>
                <w:color w:val="auto"/>
              </w:rPr>
              <w:t>thereto</w:t>
            </w: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w w:val="92"/>
              </w:rPr>
              <w:t>and</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any</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combination</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respect thereof);</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1.1.36.</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"DEBENTURE"</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28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92"/>
              </w:rPr>
              <w:t>the</w:t>
            </w:r>
          </w:p>
        </w:tc>
        <w:tc>
          <w:tcPr>
            <w:tcW w:w="2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debenture</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w w:val="82"/>
              </w:rPr>
              <w:t>in</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form</w:t>
            </w: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6"/>
          </w:tcPr>
          <w:p>
            <w:pPr>
              <w:ind w:left="80"/>
              <w:spacing w:after="0"/>
              <w:rPr>
                <w:sz w:val="20"/>
                <w:szCs w:val="20"/>
                <w:color w:val="auto"/>
              </w:rPr>
            </w:pPr>
            <w:r>
              <w:rPr>
                <w:rFonts w:ascii="Courier New" w:cs="Courier New" w:eastAsia="Courier New" w:hAnsi="Courier New"/>
                <w:sz w:val="12"/>
                <w:szCs w:val="12"/>
                <w:color w:val="auto"/>
                <w:w w:val="99"/>
              </w:rPr>
              <w:t>SCHEDULE 1.1.36</w:t>
            </w:r>
          </w:p>
        </w:tc>
        <w:tc>
          <w:tcPr>
            <w:tcW w:w="74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hereto</w:t>
            </w:r>
          </w:p>
        </w:tc>
        <w:tc>
          <w:tcPr>
            <w:tcW w:w="1480" w:type="dxa"/>
            <w:vAlign w:val="bottom"/>
            <w:gridSpan w:val="8"/>
          </w:tcPr>
          <w:p>
            <w:pPr>
              <w:spacing w:after="0"/>
              <w:rPr>
                <w:sz w:val="20"/>
                <w:szCs w:val="20"/>
                <w:color w:val="auto"/>
              </w:rPr>
            </w:pPr>
            <w:r>
              <w:rPr>
                <w:rFonts w:ascii="Courier New" w:cs="Courier New" w:eastAsia="Courier New" w:hAnsi="Courier New"/>
                <w:sz w:val="12"/>
                <w:szCs w:val="12"/>
                <w:color w:val="auto"/>
              </w:rPr>
              <w:t>between the Borrower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and the</w:t>
            </w:r>
          </w:p>
        </w:tc>
        <w:tc>
          <w:tcPr>
            <w:tcW w:w="58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7"/>
              </w:rPr>
              <w:t>Banks,</w:t>
            </w:r>
          </w:p>
        </w:tc>
        <w:tc>
          <w:tcPr>
            <w:tcW w:w="740" w:type="dxa"/>
            <w:vAlign w:val="bottom"/>
            <w:gridSpan w:val="3"/>
          </w:tcPr>
          <w:p>
            <w:pPr>
              <w:ind w:left="160"/>
              <w:spacing w:after="0"/>
              <w:rPr>
                <w:sz w:val="20"/>
                <w:szCs w:val="20"/>
                <w:color w:val="auto"/>
              </w:rPr>
            </w:pPr>
            <w:r>
              <w:rPr>
                <w:rFonts w:ascii="Courier New" w:cs="Courier New" w:eastAsia="Courier New" w:hAnsi="Courier New"/>
                <w:sz w:val="12"/>
                <w:szCs w:val="12"/>
                <w:color w:val="auto"/>
                <w:w w:val="97"/>
              </w:rPr>
              <w:t>pursuant</w:t>
            </w:r>
          </w:p>
        </w:tc>
        <w:tc>
          <w:tcPr>
            <w:tcW w:w="88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to which,</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subject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7"/>
          </w:tcPr>
          <w:p>
            <w:pPr>
              <w:ind w:left="80"/>
              <w:spacing w:after="0"/>
              <w:rPr>
                <w:sz w:val="20"/>
                <w:szCs w:val="20"/>
                <w:color w:val="auto"/>
              </w:rPr>
            </w:pPr>
            <w:r>
              <w:rPr>
                <w:rFonts w:ascii="Courier New" w:cs="Courier New" w:eastAsia="Courier New" w:hAnsi="Courier New"/>
                <w:sz w:val="12"/>
                <w:szCs w:val="12"/>
                <w:color w:val="auto"/>
              </w:rPr>
              <w:t>to the  terms  and  conditions  thereof,  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0" w:type="dxa"/>
            <w:vAlign w:val="bottom"/>
            <w:gridSpan w:val="14"/>
          </w:tcPr>
          <w:p>
            <w:pPr>
              <w:ind w:left="80"/>
              <w:spacing w:after="0"/>
              <w:rPr>
                <w:sz w:val="20"/>
                <w:szCs w:val="20"/>
                <w:color w:val="auto"/>
              </w:rPr>
            </w:pPr>
            <w:r>
              <w:rPr>
                <w:rFonts w:ascii="Courier New" w:cs="Courier New" w:eastAsia="Courier New" w:hAnsi="Courier New"/>
                <w:sz w:val="12"/>
                <w:szCs w:val="12"/>
                <w:color w:val="auto"/>
              </w:rPr>
              <w:t>Borrower shall grant to the Banks: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(a)</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a</w:t>
            </w:r>
          </w:p>
        </w:tc>
        <w:tc>
          <w:tcPr>
            <w:tcW w:w="1100" w:type="dxa"/>
            <w:vAlign w:val="bottom"/>
            <w:gridSpan w:val="6"/>
          </w:tcPr>
          <w:p>
            <w:pPr>
              <w:spacing w:after="0"/>
              <w:rPr>
                <w:sz w:val="20"/>
                <w:szCs w:val="20"/>
                <w:color w:val="auto"/>
              </w:rPr>
            </w:pPr>
            <w:r>
              <w:rPr>
                <w:rFonts w:ascii="Courier New" w:cs="Courier New" w:eastAsia="Courier New" w:hAnsi="Courier New"/>
                <w:sz w:val="12"/>
                <w:szCs w:val="12"/>
                <w:color w:val="auto"/>
              </w:rPr>
              <w:t>first-ranking</w:t>
            </w:r>
          </w:p>
        </w:tc>
        <w:tc>
          <w:tcPr>
            <w:tcW w:w="1480" w:type="dxa"/>
            <w:vAlign w:val="bottom"/>
            <w:gridSpan w:val="8"/>
          </w:tcPr>
          <w:p>
            <w:pPr>
              <w:spacing w:after="0"/>
              <w:rPr>
                <w:sz w:val="20"/>
                <w:szCs w:val="20"/>
                <w:color w:val="auto"/>
              </w:rPr>
            </w:pPr>
            <w:r>
              <w:rPr>
                <w:rFonts w:ascii="Courier New" w:cs="Courier New" w:eastAsia="Courier New" w:hAnsi="Courier New"/>
                <w:sz w:val="12"/>
                <w:szCs w:val="12"/>
                <w:color w:val="auto"/>
              </w:rPr>
              <w:t>floating charge over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gridSpan w:val="15"/>
          </w:tcPr>
          <w:p>
            <w:pPr>
              <w:spacing w:after="0"/>
              <w:rPr>
                <w:sz w:val="20"/>
                <w:szCs w:val="20"/>
                <w:color w:val="auto"/>
              </w:rPr>
            </w:pPr>
            <w:r>
              <w:rPr>
                <w:rFonts w:ascii="Courier New" w:cs="Courier New" w:eastAsia="Courier New" w:hAnsi="Courier New"/>
                <w:sz w:val="12"/>
                <w:szCs w:val="12"/>
                <w:color w:val="auto"/>
              </w:rPr>
              <w:t>all  of  the  Borrower's  undertaking,</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w w:val="95"/>
              </w:rPr>
              <w:t>rights,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7"/>
              </w:rPr>
              <w:t>assets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rPr>
              <w:t>and</w:t>
            </w:r>
          </w:p>
        </w:tc>
        <w:tc>
          <w:tcPr>
            <w:tcW w:w="30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property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5"/>
          </w:tcPr>
          <w:p>
            <w:pPr>
              <w:spacing w:after="0"/>
              <w:rPr>
                <w:sz w:val="20"/>
                <w:szCs w:val="20"/>
                <w:color w:val="auto"/>
              </w:rPr>
            </w:pPr>
            <w:r>
              <w:rPr>
                <w:rFonts w:ascii="Courier New" w:cs="Courier New" w:eastAsia="Courier New" w:hAnsi="Courier New"/>
                <w:sz w:val="12"/>
                <w:szCs w:val="12"/>
                <w:color w:val="auto"/>
              </w:rPr>
              <w:t>whatsoever</w:t>
            </w: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w w:val="92"/>
              </w:rPr>
              <w:t>and</w:t>
            </w:r>
          </w:p>
        </w:tc>
        <w:tc>
          <w:tcPr>
            <w:tcW w:w="1100" w:type="dxa"/>
            <w:vAlign w:val="bottom"/>
            <w:gridSpan w:val="6"/>
          </w:tcPr>
          <w:p>
            <w:pPr>
              <w:ind w:left="140"/>
              <w:spacing w:after="0"/>
              <w:rPr>
                <w:sz w:val="20"/>
                <w:szCs w:val="20"/>
                <w:color w:val="auto"/>
              </w:rPr>
            </w:pPr>
            <w:r>
              <w:rPr>
                <w:rFonts w:ascii="Courier New" w:cs="Courier New" w:eastAsia="Courier New" w:hAnsi="Courier New"/>
                <w:sz w:val="12"/>
                <w:szCs w:val="12"/>
                <w:color w:val="auto"/>
              </w:rPr>
              <w:t>wheresoever</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located,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w w:val="90"/>
              </w:rPr>
              <w:t>both</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12"/>
                <w:szCs w:val="12"/>
                <w:color w:val="auto"/>
                <w:w w:val="99"/>
              </w:rPr>
              <w:t>present</w:t>
            </w: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rPr>
              <w:t>future,</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not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5"/>
          </w:tcPr>
          <w:p>
            <w:pPr>
              <w:spacing w:after="0"/>
              <w:rPr>
                <w:sz w:val="20"/>
                <w:szCs w:val="20"/>
                <w:color w:val="auto"/>
              </w:rPr>
            </w:pPr>
            <w:r>
              <w:rPr>
                <w:rFonts w:ascii="Courier New" w:cs="Courier New" w:eastAsia="Courier New" w:hAnsi="Courier New"/>
                <w:sz w:val="12"/>
                <w:szCs w:val="12"/>
                <w:color w:val="auto"/>
              </w:rPr>
              <w:t>otherwise</w:t>
            </w:r>
          </w:p>
        </w:tc>
        <w:tc>
          <w:tcPr>
            <w:tcW w:w="1100" w:type="dxa"/>
            <w:vAlign w:val="bottom"/>
            <w:gridSpan w:val="6"/>
          </w:tcPr>
          <w:p>
            <w:pPr>
              <w:ind w:left="220"/>
              <w:spacing w:after="0"/>
              <w:rPr>
                <w:sz w:val="20"/>
                <w:szCs w:val="20"/>
                <w:color w:val="auto"/>
              </w:rPr>
            </w:pPr>
            <w:r>
              <w:rPr>
                <w:rFonts w:ascii="Courier New" w:cs="Courier New" w:eastAsia="Courier New" w:hAnsi="Courier New"/>
                <w:sz w:val="12"/>
                <w:szCs w:val="12"/>
                <w:color w:val="auto"/>
              </w:rPr>
              <w:t>effectively</w:t>
            </w:r>
          </w:p>
        </w:tc>
        <w:tc>
          <w:tcPr>
            <w:tcW w:w="30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pledged,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w w:val="95"/>
              </w:rPr>
              <w:t>charged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rPr>
              <w:t>or</w:t>
            </w:r>
          </w:p>
        </w:tc>
        <w:tc>
          <w:tcPr>
            <w:tcW w:w="220" w:type="dxa"/>
            <w:vAlign w:val="bottom"/>
          </w:tcPr>
          <w:p>
            <w:pPr>
              <w:spacing w:after="0"/>
              <w:rPr>
                <w:sz w:val="12"/>
                <w:szCs w:val="12"/>
                <w:color w:val="auto"/>
              </w:rPr>
            </w:pPr>
          </w:p>
        </w:tc>
        <w:tc>
          <w:tcPr>
            <w:tcW w:w="580" w:type="dxa"/>
            <w:vAlign w:val="bottom"/>
            <w:gridSpan w:val="4"/>
          </w:tcPr>
          <w:p>
            <w:pPr>
              <w:spacing w:after="0"/>
              <w:rPr>
                <w:sz w:val="20"/>
                <w:szCs w:val="20"/>
                <w:color w:val="auto"/>
              </w:rPr>
            </w:pPr>
            <w:r>
              <w:rPr>
                <w:rFonts w:ascii="Courier New" w:cs="Courier New" w:eastAsia="Courier New" w:hAnsi="Courier New"/>
                <w:sz w:val="12"/>
                <w:szCs w:val="12"/>
                <w:color w:val="auto"/>
                <w:w w:val="97"/>
              </w:rPr>
              <w:t>assigned</w:t>
            </w:r>
          </w:p>
        </w:tc>
        <w:tc>
          <w:tcPr>
            <w:tcW w:w="3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as</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gridSpan w:val="15"/>
          </w:tcPr>
          <w:p>
            <w:pPr>
              <w:spacing w:after="0"/>
              <w:rPr>
                <w:sz w:val="20"/>
                <w:szCs w:val="20"/>
                <w:color w:val="auto"/>
              </w:rPr>
            </w:pPr>
            <w:r>
              <w:rPr>
                <w:rFonts w:ascii="Courier New" w:cs="Courier New" w:eastAsia="Courier New" w:hAnsi="Courier New"/>
                <w:sz w:val="12"/>
                <w:szCs w:val="12"/>
                <w:color w:val="auto"/>
              </w:rPr>
              <w:t>first-ranking fixed pledge and charge;</w:t>
            </w:r>
          </w:p>
        </w:tc>
      </w:tr>
    </w:tbl>
    <w:p>
      <w:pPr>
        <w:sectPr>
          <w:pgSz w:w="11900" w:h="16865" w:orient="portrait"/>
          <w:cols w:equalWidth="0" w:num="1">
            <w:col w:w="10239"/>
          </w:cols>
          <w:pgMar w:left="220" w:top="283" w:right="1440" w:bottom="0" w:gutter="0" w:footer="0" w:header="0"/>
        </w:sectPr>
      </w:pPr>
    </w:p>
    <w:bookmarkStart w:id="79" w:name="page80"/>
    <w:bookmarkEnd w:id="79"/>
    <w:p>
      <w:pPr>
        <w:ind w:left="1500"/>
        <w:spacing w:after="0"/>
        <w:rPr>
          <w:sz w:val="20"/>
          <w:szCs w:val="20"/>
          <w:color w:val="auto"/>
        </w:rPr>
      </w:pPr>
      <w:r>
        <w:rPr>
          <w:rFonts w:ascii="Courier New" w:cs="Courier New" w:eastAsia="Courier New" w:hAnsi="Courier New"/>
          <w:sz w:val="12"/>
          <w:szCs w:val="12"/>
          <w:color w:val="auto"/>
        </w:rPr>
        <w:t>- 13 -</w:t>
      </w:r>
    </w:p>
    <w:p>
      <w:pPr>
        <w:spacing w:after="0" w:line="200" w:lineRule="exact"/>
        <w:rPr>
          <w:sz w:val="20"/>
          <w:szCs w:val="20"/>
          <w:color w:val="auto"/>
        </w:rPr>
      </w:pPr>
    </w:p>
    <w:p>
      <w:pPr>
        <w:spacing w:after="0" w:line="353" w:lineRule="exact"/>
        <w:rPr>
          <w:sz w:val="20"/>
          <w:szCs w:val="20"/>
          <w:color w:val="auto"/>
        </w:rPr>
      </w:pPr>
    </w:p>
    <w:p>
      <w:pPr>
        <w:ind w:left="3640" w:hanging="521"/>
        <w:spacing w:after="0"/>
        <w:tabs>
          <w:tab w:leader="none" w:pos="3640" w:val="left"/>
        </w:tabs>
        <w:numPr>
          <w:ilvl w:val="0"/>
          <w:numId w:val="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first-ranking   fixed  pledge  and</w:t>
      </w:r>
    </w:p>
    <w:p>
      <w:pPr>
        <w:spacing w:after="0" w:line="5" w:lineRule="exact"/>
        <w:rPr>
          <w:rFonts w:ascii="Courier New" w:cs="Courier New" w:eastAsia="Courier New" w:hAnsi="Courier New"/>
          <w:sz w:val="12"/>
          <w:szCs w:val="12"/>
          <w:color w:val="auto"/>
        </w:rPr>
      </w:pPr>
    </w:p>
    <w:p>
      <w:pPr>
        <w:jc w:val="both"/>
        <w:ind w:left="36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charge over, INTER ALIA, the following assets, from time to time, of the Borrower: all immovable property, all rights of the Borrower under development agreements and/or</w:t>
      </w:r>
    </w:p>
    <w:p>
      <w:pPr>
        <w:spacing w:after="0" w:line="2" w:lineRule="exact"/>
        <w:rPr>
          <w:rFonts w:ascii="Courier New" w:cs="Courier New" w:eastAsia="Courier New" w:hAnsi="Courier New"/>
          <w:sz w:val="12"/>
          <w:szCs w:val="12"/>
          <w:color w:val="auto"/>
        </w:rPr>
      </w:pPr>
    </w:p>
    <w:p>
      <w:pPr>
        <w:jc w:val="both"/>
        <w:ind w:left="36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lease agreements with the ILA relating to immovable property; all machinery and equipment; all moneys; all bank accounts (including the Charged Accounts), including the investments therein and the debts</w:t>
      </w:r>
    </w:p>
    <w:p>
      <w:pPr>
        <w:spacing w:after="0" w:line="3" w:lineRule="exact"/>
        <w:rPr>
          <w:rFonts w:ascii="Courier New" w:cs="Courier New" w:eastAsia="Courier New" w:hAnsi="Courier New"/>
          <w:sz w:val="12"/>
          <w:szCs w:val="12"/>
          <w:color w:val="auto"/>
        </w:rPr>
      </w:pPr>
    </w:p>
    <w:p>
      <w:pPr>
        <w:jc w:val="both"/>
        <w:ind w:left="36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represented thereby; accounts receivable; goodwill; uncalled share capital; subject to clause 16.15.2, shares and securities (including all shares, rights and securities of the Borrower (with respect to securities held as of January 18, 2001, to the extent the pledge thereof is not expressly prohibited by the terms pursuant to which Borrower acquired shares in such companies) in Azalea</w:t>
      </w:r>
    </w:p>
    <w:p>
      <w:pPr>
        <w:spacing w:after="0" w:line="5" w:lineRule="exact"/>
        <w:rPr>
          <w:rFonts w:ascii="Courier New" w:cs="Courier New" w:eastAsia="Courier New" w:hAnsi="Courier New"/>
          <w:sz w:val="12"/>
          <w:szCs w:val="12"/>
          <w:color w:val="auto"/>
        </w:rPr>
      </w:pPr>
    </w:p>
    <w:p>
      <w:pPr>
        <w:jc w:val="both"/>
        <w:ind w:left="36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Microelectronics Corporation and Tower USA, Inc., subject to the right of the Borrower to sell shares in Azalea Microelectronics Corporation</w:t>
      </w:r>
    </w:p>
    <w:p>
      <w:pPr>
        <w:spacing w:after="0" w:line="2" w:lineRule="exact"/>
        <w:rPr>
          <w:rFonts w:ascii="Courier New" w:cs="Courier New" w:eastAsia="Courier New" w:hAnsi="Courier New"/>
          <w:sz w:val="12"/>
          <w:szCs w:val="12"/>
          <w:color w:val="auto"/>
        </w:rPr>
      </w:pPr>
    </w:p>
    <w:p>
      <w:pPr>
        <w:jc w:val="both"/>
        <w:ind w:left="3640" w:right="257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contemplated by clause 16.24 below); all Intellectual Property Assets and other rights of the Borrower. For the avoidance of doubt, the pledge referred to in this paragraph (b) shall not apply to reserves for employee social benefits which have been reserved for at third party funds, which may not be pledged under law and/or contract;</w:t>
      </w:r>
    </w:p>
    <w:p>
      <w:pPr>
        <w:spacing w:after="0" w:line="283"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- 14 -</w:t>
      </w:r>
    </w:p>
    <w:p>
      <w:pPr>
        <w:spacing w:after="0" w:line="200" w:lineRule="exact"/>
        <w:rPr>
          <w:sz w:val="20"/>
          <w:szCs w:val="20"/>
          <w:color w:val="auto"/>
        </w:rPr>
      </w:pPr>
    </w:p>
    <w:p>
      <w:pPr>
        <w:spacing w:after="0" w:line="353" w:lineRule="exact"/>
        <w:rPr>
          <w:sz w:val="20"/>
          <w:szCs w:val="20"/>
          <w:color w:val="auto"/>
        </w:rPr>
      </w:pPr>
    </w:p>
    <w:p>
      <w:pPr>
        <w:jc w:val="both"/>
        <w:ind w:left="3640" w:right="2579" w:hanging="521"/>
        <w:spacing w:after="0" w:line="249" w:lineRule="auto"/>
        <w:tabs>
          <w:tab w:leader="none" w:pos="3640" w:val="left"/>
        </w:tabs>
        <w:numPr>
          <w:ilvl w:val="0"/>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first-ranking fixed pledge and charge (assignment by way of charge) over all rights and interest of the</w:t>
      </w:r>
    </w:p>
    <w:p>
      <w:pPr>
        <w:spacing w:after="0" w:line="1" w:lineRule="exact"/>
        <w:rPr>
          <w:rFonts w:ascii="Courier New" w:cs="Courier New" w:eastAsia="Courier New" w:hAnsi="Courier New"/>
          <w:sz w:val="12"/>
          <w:szCs w:val="12"/>
          <w:color w:val="auto"/>
        </w:rPr>
      </w:pPr>
    </w:p>
    <w:p>
      <w:pPr>
        <w:ind w:left="36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BorrowerunderallMaterial</w:t>
      </w:r>
    </w:p>
    <w:p>
      <w:pPr>
        <w:spacing w:after="0" w:line="5" w:lineRule="exact"/>
        <w:rPr>
          <w:rFonts w:ascii="Courier New" w:cs="Courier New" w:eastAsia="Courier New" w:hAnsi="Courier New"/>
          <w:sz w:val="12"/>
          <w:szCs w:val="12"/>
          <w:color w:val="auto"/>
        </w:rPr>
      </w:pPr>
    </w:p>
    <w:p>
      <w:pPr>
        <w:ind w:left="36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Contracts,from   time   to   time,</w:t>
      </w:r>
    </w:p>
    <w:p>
      <w:pPr>
        <w:spacing w:after="0" w:line="5" w:lineRule="exact"/>
        <w:rPr>
          <w:rFonts w:ascii="Courier New" w:cs="Courier New" w:eastAsia="Courier New" w:hAnsi="Courier New"/>
          <w:sz w:val="12"/>
          <w:szCs w:val="12"/>
          <w:color w:val="auto"/>
        </w:rPr>
      </w:pPr>
    </w:p>
    <w:p>
      <w:pPr>
        <w:jc w:val="both"/>
        <w:ind w:left="36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including under all maintenance contracts, under all Contracts with</w:t>
      </w:r>
    </w:p>
    <w:p>
      <w:pPr>
        <w:spacing w:after="0" w:line="1" w:lineRule="exact"/>
        <w:rPr>
          <w:rFonts w:ascii="Courier New" w:cs="Courier New" w:eastAsia="Courier New" w:hAnsi="Courier New"/>
          <w:sz w:val="12"/>
          <w:szCs w:val="12"/>
          <w:color w:val="auto"/>
        </w:rPr>
      </w:pPr>
    </w:p>
    <w:p>
      <w:pPr>
        <w:jc w:val="both"/>
        <w:ind w:left="36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suppliers of equipment and/or services to be supplied in connection with the Project or otherwise, as</w:t>
      </w:r>
    </w:p>
    <w:p>
      <w:pPr>
        <w:spacing w:after="0" w:line="1" w:lineRule="exact"/>
        <w:rPr>
          <w:rFonts w:ascii="Courier New" w:cs="Courier New" w:eastAsia="Courier New" w:hAnsi="Courier New"/>
          <w:sz w:val="12"/>
          <w:szCs w:val="12"/>
          <w:color w:val="auto"/>
        </w:rPr>
      </w:pPr>
    </w:p>
    <w:p>
      <w:pPr>
        <w:ind w:left="36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well   asunderallancillary</w:t>
      </w:r>
    </w:p>
    <w:p>
      <w:pPr>
        <w:spacing w:after="0" w:line="5" w:lineRule="exact"/>
        <w:rPr>
          <w:rFonts w:ascii="Courier New" w:cs="Courier New" w:eastAsia="Courier New" w:hAnsi="Courier New"/>
          <w:sz w:val="12"/>
          <w:szCs w:val="12"/>
          <w:color w:val="auto"/>
        </w:rPr>
      </w:pPr>
    </w:p>
    <w:p>
      <w:pPr>
        <w:ind w:left="36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documentationrelatingthereto,</w:t>
      </w:r>
    </w:p>
    <w:p>
      <w:pPr>
        <w:spacing w:after="0" w:line="5" w:lineRule="exact"/>
        <w:rPr>
          <w:rFonts w:ascii="Courier New" w:cs="Courier New" w:eastAsia="Courier New" w:hAnsi="Courier New"/>
          <w:sz w:val="12"/>
          <w:szCs w:val="12"/>
          <w:color w:val="auto"/>
        </w:rPr>
      </w:pPr>
    </w:p>
    <w:p>
      <w:pPr>
        <w:jc w:val="both"/>
        <w:ind w:left="36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including under all performance bonds, sureties, collateral and other securities to the obligations of the</w:t>
      </w:r>
    </w:p>
    <w:p>
      <w:pPr>
        <w:spacing w:after="0" w:line="1" w:lineRule="exact"/>
        <w:rPr>
          <w:rFonts w:ascii="Courier New" w:cs="Courier New" w:eastAsia="Courier New" w:hAnsi="Courier New"/>
          <w:sz w:val="12"/>
          <w:szCs w:val="12"/>
          <w:color w:val="auto"/>
        </w:rPr>
      </w:pPr>
    </w:p>
    <w:p>
      <w:pPr>
        <w:jc w:val="both"/>
        <w:ind w:left="3640" w:right="257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counterparties to any of the aforegoing Material Contracts, as well as an assignment by way of charge of all sums to be paid to the Borrower pursuant to any of the above, but excluding only:</w:t>
      </w:r>
    </w:p>
    <w:p>
      <w:pPr>
        <w:spacing w:after="0" w:line="141" w:lineRule="exact"/>
        <w:rPr>
          <w:rFonts w:ascii="Courier New" w:cs="Courier New" w:eastAsia="Courier New" w:hAnsi="Courier New"/>
          <w:sz w:val="12"/>
          <w:szCs w:val="12"/>
          <w:color w:val="auto"/>
        </w:rPr>
      </w:pPr>
    </w:p>
    <w:p>
      <w:pPr>
        <w:jc w:val="both"/>
        <w:ind w:left="4140" w:right="2579" w:hanging="506"/>
        <w:spacing w:after="0" w:line="249" w:lineRule="auto"/>
        <w:tabs>
          <w:tab w:leader="none" w:pos="4140" w:val="left"/>
        </w:tabs>
        <w:numPr>
          <w:ilvl w:val="1"/>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those Material Contracts in force as of January 18, 2001 which under the express terms of the Material Contract as</w:t>
      </w:r>
    </w:p>
    <w:p>
      <w:pPr>
        <w:spacing w:after="0" w:line="2" w:lineRule="exact"/>
        <w:rPr>
          <w:rFonts w:ascii="Courier New" w:cs="Courier New" w:eastAsia="Courier New" w:hAnsi="Courier New"/>
          <w:sz w:val="12"/>
          <w:szCs w:val="12"/>
          <w:color w:val="auto"/>
        </w:rPr>
      </w:pPr>
    </w:p>
    <w:p>
      <w:pPr>
        <w:ind w:left="41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interpretedbythelaw</w:t>
      </w:r>
    </w:p>
    <w:p>
      <w:pPr>
        <w:spacing w:after="0" w:line="5" w:lineRule="exact"/>
        <w:rPr>
          <w:rFonts w:ascii="Courier New" w:cs="Courier New" w:eastAsia="Courier New" w:hAnsi="Courier New"/>
          <w:sz w:val="12"/>
          <w:szCs w:val="12"/>
          <w:color w:val="auto"/>
        </w:rPr>
      </w:pPr>
    </w:p>
    <w:p>
      <w:pPr>
        <w:jc w:val="both"/>
        <w:ind w:left="41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governing such Material Contract prohibit the pledging of such Material Contract,</w:t>
      </w:r>
    </w:p>
    <w:p>
      <w:pPr>
        <w:spacing w:after="0" w:line="1" w:lineRule="exact"/>
        <w:rPr>
          <w:rFonts w:ascii="Courier New" w:cs="Courier New" w:eastAsia="Courier New" w:hAnsi="Courier New"/>
          <w:sz w:val="12"/>
          <w:szCs w:val="12"/>
          <w:color w:val="auto"/>
        </w:rPr>
      </w:pPr>
    </w:p>
    <w:p>
      <w:pPr>
        <w:jc w:val="both"/>
        <w:ind w:left="41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provided that this paragraph (i) shall not apply to those Material Contracts which were required to be pledged pursuant to clause 4</w:t>
      </w:r>
    </w:p>
    <w:p>
      <w:pPr>
        <w:spacing w:after="0" w:line="2" w:lineRule="exact"/>
        <w:rPr>
          <w:rFonts w:ascii="Courier New" w:cs="Courier New" w:eastAsia="Courier New" w:hAnsi="Courier New"/>
          <w:sz w:val="12"/>
          <w:szCs w:val="12"/>
          <w:color w:val="auto"/>
        </w:rPr>
      </w:pPr>
    </w:p>
    <w:p>
      <w:pPr>
        <w:ind w:left="41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of   the   originalFacility</w:t>
      </w:r>
    </w:p>
    <w:p>
      <w:pPr>
        <w:spacing w:after="0" w:line="5" w:lineRule="exact"/>
        <w:rPr>
          <w:rFonts w:ascii="Courier New" w:cs="Courier New" w:eastAsia="Courier New" w:hAnsi="Courier New"/>
          <w:sz w:val="12"/>
          <w:szCs w:val="12"/>
          <w:color w:val="auto"/>
        </w:rPr>
      </w:pPr>
    </w:p>
    <w:p>
      <w:pPr>
        <w:jc w:val="both"/>
        <w:ind w:left="41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Agreement as a condition precedent to the closing of</w:t>
      </w:r>
    </w:p>
    <w:p>
      <w:pPr>
        <w:spacing w:after="0" w:line="1" w:lineRule="exact"/>
        <w:rPr>
          <w:rFonts w:ascii="Courier New" w:cs="Courier New" w:eastAsia="Courier New" w:hAnsi="Courier New"/>
          <w:sz w:val="12"/>
          <w:szCs w:val="12"/>
          <w:color w:val="auto"/>
        </w:rPr>
      </w:pPr>
    </w:p>
    <w:p>
      <w:pPr>
        <w:ind w:left="4140" w:right="2579"/>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original Facility Agreement; and</w:t>
      </w:r>
    </w:p>
    <w:p>
      <w:pPr>
        <w:spacing w:after="0" w:line="280"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- 15 -</w:t>
      </w:r>
    </w:p>
    <w:p>
      <w:pPr>
        <w:spacing w:after="0" w:line="200" w:lineRule="exact"/>
        <w:rPr>
          <w:sz w:val="20"/>
          <w:szCs w:val="20"/>
          <w:color w:val="auto"/>
        </w:rPr>
      </w:pPr>
    </w:p>
    <w:p>
      <w:pPr>
        <w:spacing w:after="0" w:line="353" w:lineRule="exact"/>
        <w:rPr>
          <w:sz w:val="20"/>
          <w:szCs w:val="20"/>
          <w:color w:val="auto"/>
        </w:rPr>
      </w:pPr>
    </w:p>
    <w:p>
      <w:pPr>
        <w:jc w:val="both"/>
        <w:ind w:left="4140" w:right="2579" w:hanging="506"/>
        <w:spacing w:after="0" w:line="249" w:lineRule="auto"/>
        <w:tabs>
          <w:tab w:leader="none" w:pos="4140" w:val="left"/>
        </w:tabs>
        <w:numPr>
          <w:ilvl w:val="0"/>
          <w:numId w:val="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those Material Contracts to be entered into after January 18, 2001 which, by the express terms of the Material Contract as interpreted by the law</w:t>
      </w:r>
    </w:p>
    <w:p>
      <w:pPr>
        <w:spacing w:after="0" w:line="2" w:lineRule="exact"/>
        <w:rPr>
          <w:rFonts w:ascii="Courier New" w:cs="Courier New" w:eastAsia="Courier New" w:hAnsi="Courier New"/>
          <w:sz w:val="12"/>
          <w:szCs w:val="12"/>
          <w:color w:val="auto"/>
        </w:rPr>
      </w:pPr>
    </w:p>
    <w:p>
      <w:pPr>
        <w:jc w:val="both"/>
        <w:ind w:left="41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governing such Material Contract prohibit the pledging of such Material Contract despite the best efforts of the Borrower to have such agreement provide otherwise,</w:t>
      </w:r>
    </w:p>
    <w:p>
      <w:pPr>
        <w:spacing w:after="0" w:line="3" w:lineRule="exact"/>
        <w:rPr>
          <w:rFonts w:ascii="Courier New" w:cs="Courier New" w:eastAsia="Courier New" w:hAnsi="Courier New"/>
          <w:sz w:val="12"/>
          <w:szCs w:val="12"/>
          <w:color w:val="auto"/>
        </w:rPr>
      </w:pPr>
    </w:p>
    <w:p>
      <w:pPr>
        <w:jc w:val="both"/>
        <w:ind w:left="4140" w:right="257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provided that this paragraph (ii) shall not apply to any lease agreement to be signed between the Borrower and ILA which shall be pledged for the benefit of the Banks; and</w:t>
      </w:r>
    </w:p>
    <w:p>
      <w:pPr>
        <w:sectPr>
          <w:pgSz w:w="11900" w:h="16838" w:orient="portrait"/>
          <w:cols w:equalWidth="0" w:num="1">
            <w:col w:w="9019"/>
          </w:cols>
          <w:pgMar w:left="1440" w:top="424" w:right="1440" w:bottom="0" w:gutter="0" w:footer="0" w:header="0"/>
        </w:sectPr>
      </w:pPr>
    </w:p>
    <w:bookmarkStart w:id="80" w:name="page81"/>
    <w:bookmarkEnd w:id="80"/>
    <w:p>
      <w:pPr>
        <w:spacing w:after="0" w:line="7" w:lineRule="exact"/>
        <w:rPr>
          <w:sz w:val="20"/>
          <w:szCs w:val="20"/>
          <w:color w:val="auto"/>
        </w:rPr>
      </w:pPr>
    </w:p>
    <w:tbl>
      <w:tblPr>
        <w:tblLayout w:type="fixed"/>
        <w:tblInd w:w="4340" w:type="dxa"/>
        <w:tblCellMar>
          <w:top w:w="0" w:type="dxa"/>
          <w:left w:w="0" w:type="dxa"/>
          <w:bottom w:w="0" w:type="dxa"/>
          <w:right w:w="0" w:type="dxa"/>
        </w:tblCellMar>
      </w:tblPr>
      <w:tr>
        <w:trPr>
          <w:trHeight w:val="138"/>
        </w:trPr>
        <w:tc>
          <w:tcPr>
            <w:tcW w:w="360" w:type="dxa"/>
            <w:vAlign w:val="bottom"/>
          </w:tcPr>
          <w:p>
            <w:pPr>
              <w:spacing w:after="0"/>
              <w:rPr>
                <w:sz w:val="20"/>
                <w:szCs w:val="20"/>
                <w:color w:val="auto"/>
              </w:rPr>
            </w:pPr>
            <w:r>
              <w:rPr>
                <w:rFonts w:ascii="Courier New" w:cs="Courier New" w:eastAsia="Courier New" w:hAnsi="Courier New"/>
                <w:sz w:val="12"/>
                <w:szCs w:val="12"/>
                <w:color w:val="auto"/>
              </w:rPr>
              <w:t>(d)</w:t>
            </w:r>
          </w:p>
        </w:tc>
        <w:tc>
          <w:tcPr>
            <w:tcW w:w="148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a   first-ranking</w:t>
            </w:r>
          </w:p>
        </w:tc>
        <w:tc>
          <w:tcPr>
            <w:tcW w:w="14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fixed  pledge  and</w:t>
            </w:r>
          </w:p>
        </w:tc>
      </w:tr>
      <w:tr>
        <w:trPr>
          <w:trHeight w:val="142"/>
        </w:trPr>
        <w:tc>
          <w:tcPr>
            <w:tcW w:w="360" w:type="dxa"/>
            <w:vAlign w:val="bottom"/>
          </w:tcPr>
          <w:p>
            <w:pPr>
              <w:spacing w:after="0"/>
              <w:rPr>
                <w:sz w:val="12"/>
                <w:szCs w:val="12"/>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2"/>
                <w:szCs w:val="12"/>
                <w:color w:val="auto"/>
              </w:rPr>
              <w:t>charge</w:t>
            </w:r>
          </w:p>
        </w:tc>
        <w:tc>
          <w:tcPr>
            <w:tcW w:w="22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(assignment  by way of charge)</w:t>
            </w:r>
          </w:p>
        </w:tc>
      </w:tr>
      <w:tr>
        <w:trPr>
          <w:trHeight w:val="142"/>
        </w:trPr>
        <w:tc>
          <w:tcPr>
            <w:tcW w:w="360" w:type="dxa"/>
            <w:vAlign w:val="bottom"/>
          </w:tcPr>
          <w:p>
            <w:pPr>
              <w:spacing w:after="0"/>
              <w:rPr>
                <w:sz w:val="12"/>
                <w:szCs w:val="12"/>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2"/>
                <w:szCs w:val="12"/>
                <w:color w:val="auto"/>
                <w:w w:val="97"/>
              </w:rPr>
              <w:t>over all</w:t>
            </w:r>
          </w:p>
        </w:tc>
        <w:tc>
          <w:tcPr>
            <w:tcW w:w="740" w:type="dxa"/>
            <w:vAlign w:val="bottom"/>
          </w:tcPr>
          <w:p>
            <w:pPr>
              <w:ind w:left="160"/>
              <w:spacing w:after="0"/>
              <w:rPr>
                <w:sz w:val="20"/>
                <w:szCs w:val="20"/>
                <w:color w:val="auto"/>
              </w:rPr>
            </w:pPr>
            <w:r>
              <w:rPr>
                <w:rFonts w:ascii="Courier New" w:cs="Courier New" w:eastAsia="Courier New" w:hAnsi="Courier New"/>
                <w:sz w:val="12"/>
                <w:szCs w:val="12"/>
                <w:color w:val="auto"/>
              </w:rPr>
              <w:t>rights,</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title and</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interest</w:t>
            </w:r>
          </w:p>
        </w:tc>
      </w:tr>
      <w:tr>
        <w:trPr>
          <w:trHeight w:val="142"/>
        </w:trPr>
        <w:tc>
          <w:tcPr>
            <w:tcW w:w="360" w:type="dxa"/>
            <w:vAlign w:val="bottom"/>
          </w:tcPr>
          <w:p>
            <w:pPr>
              <w:spacing w:after="0"/>
              <w:rPr>
                <w:sz w:val="12"/>
                <w:szCs w:val="12"/>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2"/>
                <w:szCs w:val="12"/>
                <w:color w:val="auto"/>
              </w:rPr>
              <w:t>of the</w:t>
            </w:r>
          </w:p>
        </w:tc>
        <w:tc>
          <w:tcPr>
            <w:tcW w:w="740" w:type="dxa"/>
            <w:vAlign w:val="bottom"/>
          </w:tcPr>
          <w:p>
            <w:pPr>
              <w:spacing w:after="0"/>
              <w:rPr>
                <w:sz w:val="20"/>
                <w:szCs w:val="20"/>
                <w:color w:val="auto"/>
              </w:rPr>
            </w:pPr>
            <w:r>
              <w:rPr>
                <w:rFonts w:ascii="Courier New" w:cs="Courier New" w:eastAsia="Courier New" w:hAnsi="Courier New"/>
                <w:sz w:val="12"/>
                <w:szCs w:val="12"/>
                <w:color w:val="auto"/>
              </w:rPr>
              <w:t>Borrower</w:t>
            </w: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8"/>
              </w:rPr>
              <w:t>under all</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Insurance</w:t>
            </w:r>
          </w:p>
        </w:tc>
      </w:tr>
      <w:tr>
        <w:trPr>
          <w:trHeight w:val="142"/>
        </w:trPr>
        <w:tc>
          <w:tcPr>
            <w:tcW w:w="360" w:type="dxa"/>
            <w:vAlign w:val="bottom"/>
          </w:tcPr>
          <w:p>
            <w:pPr>
              <w:spacing w:after="0"/>
              <w:rPr>
                <w:sz w:val="12"/>
                <w:szCs w:val="12"/>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2"/>
                <w:szCs w:val="12"/>
                <w:color w:val="auto"/>
                <w:w w:val="97"/>
              </w:rPr>
              <w:t>Policies</w:t>
            </w:r>
          </w:p>
        </w:tc>
        <w:tc>
          <w:tcPr>
            <w:tcW w:w="22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(including in respect of all</w:t>
            </w:r>
          </w:p>
        </w:tc>
      </w:tr>
      <w:tr>
        <w:trPr>
          <w:trHeight w:val="142"/>
        </w:trPr>
        <w:tc>
          <w:tcPr>
            <w:tcW w:w="360" w:type="dxa"/>
            <w:vAlign w:val="bottom"/>
          </w:tcPr>
          <w:p>
            <w:pPr>
              <w:spacing w:after="0"/>
              <w:rPr>
                <w:sz w:val="12"/>
                <w:szCs w:val="12"/>
                <w:color w:val="auto"/>
              </w:rPr>
            </w:pPr>
          </w:p>
        </w:tc>
        <w:tc>
          <w:tcPr>
            <w:tcW w:w="222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sums payable to the Borrower</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pursuant</w:t>
            </w:r>
          </w:p>
        </w:tc>
      </w:tr>
      <w:tr>
        <w:trPr>
          <w:trHeight w:val="142"/>
        </w:trPr>
        <w:tc>
          <w:tcPr>
            <w:tcW w:w="360" w:type="dxa"/>
            <w:vAlign w:val="bottom"/>
          </w:tcPr>
          <w:p>
            <w:pPr>
              <w:spacing w:after="0"/>
              <w:rPr>
                <w:sz w:val="12"/>
                <w:szCs w:val="12"/>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2"/>
                <w:szCs w:val="12"/>
                <w:color w:val="auto"/>
                <w:w w:val="97"/>
              </w:rPr>
              <w:t>thereto)</w:t>
            </w:r>
          </w:p>
        </w:tc>
        <w:tc>
          <w:tcPr>
            <w:tcW w:w="740" w:type="dxa"/>
            <w:vAlign w:val="bottom"/>
          </w:tcPr>
          <w:p>
            <w:pPr>
              <w:ind w:left="300"/>
              <w:spacing w:after="0"/>
              <w:rPr>
                <w:sz w:val="20"/>
                <w:szCs w:val="20"/>
                <w:color w:val="auto"/>
              </w:rPr>
            </w:pPr>
            <w:r>
              <w:rPr>
                <w:rFonts w:ascii="Courier New" w:cs="Courier New" w:eastAsia="Courier New" w:hAnsi="Courier New"/>
                <w:sz w:val="12"/>
                <w:szCs w:val="12"/>
                <w:color w:val="auto"/>
                <w:w w:val="97"/>
              </w:rPr>
              <w:t>(other</w:t>
            </w: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than</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Insurance</w:t>
            </w:r>
          </w:p>
        </w:tc>
      </w:tr>
      <w:tr>
        <w:trPr>
          <w:trHeight w:val="142"/>
        </w:trPr>
        <w:tc>
          <w:tcPr>
            <w:tcW w:w="360" w:type="dxa"/>
            <w:vAlign w:val="bottom"/>
          </w:tcPr>
          <w:p>
            <w:pPr>
              <w:spacing w:after="0"/>
              <w:rPr>
                <w:sz w:val="12"/>
                <w:szCs w:val="12"/>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2"/>
                <w:szCs w:val="12"/>
                <w:color w:val="auto"/>
                <w:w w:val="97"/>
              </w:rPr>
              <w:t>Policies</w:t>
            </w:r>
          </w:p>
        </w:tc>
        <w:tc>
          <w:tcPr>
            <w:tcW w:w="14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in respect of the</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liability</w:t>
            </w:r>
          </w:p>
        </w:tc>
      </w:tr>
      <w:tr>
        <w:trPr>
          <w:trHeight w:val="142"/>
        </w:trPr>
        <w:tc>
          <w:tcPr>
            <w:tcW w:w="360" w:type="dxa"/>
            <w:vAlign w:val="bottom"/>
          </w:tcPr>
          <w:p>
            <w:pPr>
              <w:spacing w:after="0"/>
              <w:rPr>
                <w:sz w:val="12"/>
                <w:szCs w:val="12"/>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2"/>
                <w:szCs w:val="12"/>
                <w:color w:val="auto"/>
              </w:rPr>
              <w:t>of the</w:t>
            </w:r>
          </w:p>
        </w:tc>
        <w:tc>
          <w:tcPr>
            <w:tcW w:w="740" w:type="dxa"/>
            <w:vAlign w:val="bottom"/>
          </w:tcPr>
          <w:p>
            <w:pPr>
              <w:spacing w:after="0"/>
              <w:rPr>
                <w:sz w:val="20"/>
                <w:szCs w:val="20"/>
                <w:color w:val="auto"/>
              </w:rPr>
            </w:pPr>
            <w:r>
              <w:rPr>
                <w:rFonts w:ascii="Courier New" w:cs="Courier New" w:eastAsia="Courier New" w:hAnsi="Courier New"/>
                <w:sz w:val="12"/>
                <w:szCs w:val="12"/>
                <w:color w:val="auto"/>
              </w:rPr>
              <w:t>Borrower</w:t>
            </w:r>
          </w:p>
        </w:tc>
        <w:tc>
          <w:tcPr>
            <w:tcW w:w="74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7"/>
              </w:rPr>
              <w:t>to third</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w w:val="99"/>
              </w:rPr>
              <w:t>parties or</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ind w:left="160"/>
              <w:spacing w:after="0"/>
              <w:rPr>
                <w:sz w:val="20"/>
                <w:szCs w:val="20"/>
                <w:color w:val="auto"/>
              </w:rPr>
            </w:pPr>
            <w:r>
              <w:rPr>
                <w:rFonts w:ascii="Courier New" w:cs="Courier New" w:eastAsia="Courier New" w:hAnsi="Courier New"/>
                <w:sz w:val="12"/>
                <w:szCs w:val="12"/>
                <w:color w:val="auto"/>
              </w:rPr>
              <w:t>of</w:t>
            </w:r>
          </w:p>
        </w:tc>
        <w:tc>
          <w:tcPr>
            <w:tcW w:w="60" w:type="dxa"/>
            <w:vAlign w:val="bottom"/>
          </w:tcPr>
          <w:p>
            <w:pPr>
              <w:spacing w:after="0"/>
              <w:rPr>
                <w:sz w:val="12"/>
                <w:szCs w:val="12"/>
                <w:color w:val="auto"/>
              </w:rPr>
            </w:pP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liability</w:t>
            </w:r>
          </w:p>
        </w:tc>
        <w:tc>
          <w:tcPr>
            <w:tcW w:w="1700" w:type="dxa"/>
            <w:vAlign w:val="bottom"/>
            <w:gridSpan w:val="8"/>
          </w:tcPr>
          <w:p>
            <w:pPr>
              <w:spacing w:after="0"/>
              <w:rPr>
                <w:sz w:val="20"/>
                <w:szCs w:val="20"/>
                <w:color w:val="auto"/>
              </w:rPr>
            </w:pPr>
            <w:r>
              <w:rPr>
                <w:rFonts w:ascii="Courier New" w:cs="Courier New" w:eastAsia="Courier New" w:hAnsi="Courier New"/>
                <w:sz w:val="12"/>
                <w:szCs w:val="12"/>
                <w:color w:val="auto"/>
              </w:rPr>
              <w:t>of the Borrower for 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60" w:type="dxa"/>
            <w:vAlign w:val="bottom"/>
            <w:gridSpan w:val="14"/>
          </w:tcPr>
          <w:p>
            <w:pPr>
              <w:ind w:left="160"/>
              <w:spacing w:after="0"/>
              <w:rPr>
                <w:sz w:val="20"/>
                <w:szCs w:val="20"/>
                <w:color w:val="auto"/>
              </w:rPr>
            </w:pPr>
            <w:r>
              <w:rPr>
                <w:rFonts w:ascii="Courier New" w:cs="Courier New" w:eastAsia="Courier New" w:hAnsi="Courier New"/>
                <w:sz w:val="12"/>
                <w:szCs w:val="12"/>
                <w:color w:val="auto"/>
              </w:rPr>
              <w:t>damage to property of third parties);</w:t>
            </w: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1.1.37.</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"DEBT SERVICE"</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2580" w:type="dxa"/>
            <w:vAlign w:val="bottom"/>
            <w:gridSpan w:val="11"/>
          </w:tcPr>
          <w:p>
            <w:pPr>
              <w:ind w:left="80"/>
              <w:spacing w:after="0"/>
              <w:rPr>
                <w:sz w:val="20"/>
                <w:szCs w:val="20"/>
                <w:color w:val="auto"/>
              </w:rPr>
            </w:pPr>
            <w:r>
              <w:rPr>
                <w:rFonts w:ascii="Courier New" w:cs="Courier New" w:eastAsia="Courier New" w:hAnsi="Courier New"/>
                <w:sz w:val="12"/>
                <w:szCs w:val="12"/>
                <w:color w:val="auto"/>
              </w:rPr>
              <w:t>means in relation to each Quarter:</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(a)</w:t>
            </w:r>
          </w:p>
        </w:tc>
        <w:tc>
          <w:tcPr>
            <w:tcW w:w="380" w:type="dxa"/>
            <w:vAlign w:val="bottom"/>
          </w:tcPr>
          <w:p>
            <w:pPr>
              <w:ind w:left="160"/>
              <w:spacing w:after="0"/>
              <w:rPr>
                <w:sz w:val="20"/>
                <w:szCs w:val="20"/>
                <w:color w:val="auto"/>
              </w:rPr>
            </w:pPr>
            <w:r>
              <w:rPr>
                <w:rFonts w:ascii="Courier New" w:cs="Courier New" w:eastAsia="Courier New" w:hAnsi="Courier New"/>
                <w:sz w:val="12"/>
                <w:szCs w:val="12"/>
                <w:color w:val="auto"/>
                <w:w w:val="92"/>
              </w:rPr>
              <w:t>all</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Interest</w:t>
            </w:r>
          </w:p>
        </w:tc>
        <w:tc>
          <w:tcPr>
            <w:tcW w:w="30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rPr>
              <w:t>with</w:t>
            </w:r>
          </w:p>
        </w:tc>
        <w:tc>
          <w:tcPr>
            <w:tcW w:w="66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9"/>
              </w:rPr>
              <w:t>respect</w:t>
            </w: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to</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60" w:type="dxa"/>
            <w:vAlign w:val="bottom"/>
            <w:gridSpan w:val="14"/>
          </w:tcPr>
          <w:p>
            <w:pPr>
              <w:ind w:left="160"/>
              <w:spacing w:after="0"/>
              <w:rPr>
                <w:sz w:val="20"/>
                <w:szCs w:val="20"/>
                <w:color w:val="auto"/>
              </w:rPr>
            </w:pPr>
            <w:r>
              <w:rPr>
                <w:rFonts w:ascii="Courier New" w:cs="Courier New" w:eastAsia="Courier New" w:hAnsi="Courier New"/>
                <w:sz w:val="12"/>
                <w:szCs w:val="12"/>
                <w:color w:val="auto"/>
              </w:rPr>
              <w:t>Indebtedness  under the  Facility  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60" w:type="dxa"/>
            <w:vAlign w:val="bottom"/>
            <w:gridSpan w:val="14"/>
          </w:tcPr>
          <w:p>
            <w:pPr>
              <w:ind w:left="160"/>
              <w:spacing w:after="0"/>
              <w:rPr>
                <w:sz w:val="20"/>
                <w:szCs w:val="20"/>
                <w:color w:val="auto"/>
              </w:rPr>
            </w:pPr>
            <w:r>
              <w:rPr>
                <w:rFonts w:ascii="Courier New" w:cs="Courier New" w:eastAsia="Courier New" w:hAnsi="Courier New"/>
                <w:sz w:val="12"/>
                <w:szCs w:val="12"/>
                <w:color w:val="auto"/>
              </w:rPr>
              <w:t>with  respect to  Permitted  Financial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5"/>
          </w:tcPr>
          <w:p>
            <w:pPr>
              <w:ind w:left="160"/>
              <w:spacing w:after="0"/>
              <w:rPr>
                <w:sz w:val="20"/>
                <w:szCs w:val="20"/>
                <w:color w:val="auto"/>
              </w:rPr>
            </w:pPr>
            <w:r>
              <w:rPr>
                <w:rFonts w:ascii="Courier New" w:cs="Courier New" w:eastAsia="Courier New" w:hAnsi="Courier New"/>
                <w:sz w:val="12"/>
                <w:szCs w:val="12"/>
                <w:color w:val="auto"/>
                <w:w w:val="99"/>
              </w:rPr>
              <w:t>Indebtedness</w:t>
            </w:r>
          </w:p>
        </w:tc>
        <w:tc>
          <w:tcPr>
            <w:tcW w:w="22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rPr>
              <w:t>as</w:t>
            </w:r>
          </w:p>
        </w:tc>
        <w:tc>
          <w:tcPr>
            <w:tcW w:w="80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referred</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to</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gridSpan w:val="7"/>
          </w:tcPr>
          <w:p>
            <w:pPr>
              <w:ind w:left="160"/>
              <w:spacing w:after="0"/>
              <w:rPr>
                <w:sz w:val="20"/>
                <w:szCs w:val="20"/>
                <w:color w:val="auto"/>
              </w:rPr>
            </w:pPr>
            <w:r>
              <w:rPr>
                <w:rFonts w:ascii="Courier New" w:cs="Courier New" w:eastAsia="Courier New" w:hAnsi="Courier New"/>
                <w:sz w:val="12"/>
                <w:szCs w:val="12"/>
                <w:color w:val="auto"/>
              </w:rPr>
              <w:t>clauses 1.1.115(b),</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1.1.115(c),</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4"/>
          </w:tcPr>
          <w:p>
            <w:pPr>
              <w:ind w:left="160"/>
              <w:spacing w:after="0"/>
              <w:rPr>
                <w:sz w:val="20"/>
                <w:szCs w:val="20"/>
                <w:color w:val="auto"/>
              </w:rPr>
            </w:pPr>
            <w:r>
              <w:rPr>
                <w:rFonts w:ascii="Courier New" w:cs="Courier New" w:eastAsia="Courier New" w:hAnsi="Courier New"/>
                <w:sz w:val="12"/>
                <w:szCs w:val="12"/>
                <w:color w:val="auto"/>
                <w:w w:val="99"/>
              </w:rPr>
              <w:t>1.1.115(d)</w:t>
            </w:r>
          </w:p>
        </w:tc>
        <w:tc>
          <w:tcPr>
            <w:tcW w:w="140" w:type="dxa"/>
            <w:vAlign w:val="bottom"/>
          </w:tcPr>
          <w:p>
            <w:pPr>
              <w:spacing w:after="0"/>
              <w:rPr>
                <w:sz w:val="12"/>
                <w:szCs w:val="12"/>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and</w:t>
            </w:r>
          </w:p>
        </w:tc>
        <w:tc>
          <w:tcPr>
            <w:tcW w:w="800" w:type="dxa"/>
            <w:vAlign w:val="bottom"/>
            <w:gridSpan w:val="4"/>
          </w:tcPr>
          <w:p>
            <w:pPr>
              <w:spacing w:after="0"/>
              <w:rPr>
                <w:sz w:val="20"/>
                <w:szCs w:val="20"/>
                <w:color w:val="auto"/>
              </w:rPr>
            </w:pPr>
            <w:r>
              <w:rPr>
                <w:rFonts w:ascii="Courier New" w:cs="Courier New" w:eastAsia="Courier New" w:hAnsi="Courier New"/>
                <w:sz w:val="12"/>
                <w:szCs w:val="12"/>
                <w:color w:val="auto"/>
              </w:rPr>
              <w:t>1.1.115(f)</w:t>
            </w:r>
          </w:p>
        </w:tc>
        <w:tc>
          <w:tcPr>
            <w:tcW w:w="22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below</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scheduled</w:t>
            </w:r>
          </w:p>
        </w:tc>
        <w:tc>
          <w:tcPr>
            <w:tcW w:w="88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to be paid</w:t>
            </w:r>
          </w:p>
        </w:tc>
        <w:tc>
          <w:tcPr>
            <w:tcW w:w="1180" w:type="dxa"/>
            <w:vAlign w:val="bottom"/>
            <w:gridSpan w:val="6"/>
          </w:tcPr>
          <w:p>
            <w:pPr>
              <w:ind w:left="60"/>
              <w:spacing w:after="0"/>
              <w:rPr>
                <w:sz w:val="20"/>
                <w:szCs w:val="20"/>
                <w:color w:val="auto"/>
              </w:rPr>
            </w:pPr>
            <w:r>
              <w:rPr>
                <w:rFonts w:ascii="Courier New" w:cs="Courier New" w:eastAsia="Courier New" w:hAnsi="Courier New"/>
                <w:sz w:val="12"/>
                <w:szCs w:val="12"/>
                <w:color w:val="auto"/>
              </w:rPr>
              <w:t>(whether or not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paid,</w:t>
            </w:r>
          </w:p>
        </w:tc>
        <w:tc>
          <w:tcPr>
            <w:tcW w:w="1120" w:type="dxa"/>
            <w:vAlign w:val="bottom"/>
            <w:gridSpan w:val="5"/>
          </w:tcPr>
          <w:p>
            <w:pPr>
              <w:spacing w:after="0"/>
              <w:rPr>
                <w:sz w:val="20"/>
                <w:szCs w:val="20"/>
                <w:color w:val="auto"/>
              </w:rPr>
            </w:pPr>
            <w:r>
              <w:rPr>
                <w:rFonts w:ascii="Courier New" w:cs="Courier New" w:eastAsia="Courier New" w:hAnsi="Courier New"/>
                <w:sz w:val="12"/>
                <w:szCs w:val="12"/>
                <w:color w:val="auto"/>
              </w:rPr>
              <w:t>whether or not</w:t>
            </w:r>
          </w:p>
        </w:tc>
        <w:tc>
          <w:tcPr>
            <w:tcW w:w="1180" w:type="dxa"/>
            <w:vAlign w:val="bottom"/>
            <w:gridSpan w:val="6"/>
          </w:tcPr>
          <w:p>
            <w:pPr>
              <w:ind w:left="60"/>
              <w:spacing w:after="0"/>
              <w:rPr>
                <w:sz w:val="20"/>
                <w:szCs w:val="20"/>
                <w:color w:val="auto"/>
              </w:rPr>
            </w:pPr>
            <w:r>
              <w:rPr>
                <w:rFonts w:ascii="Courier New" w:cs="Courier New" w:eastAsia="Courier New" w:hAnsi="Courier New"/>
                <w:sz w:val="12"/>
                <w:szCs w:val="12"/>
                <w:color w:val="auto"/>
              </w:rPr>
              <w:t>capitalised 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6"/>
          </w:tcPr>
          <w:p>
            <w:pPr>
              <w:ind w:left="160"/>
              <w:spacing w:after="0"/>
              <w:rPr>
                <w:sz w:val="20"/>
                <w:szCs w:val="20"/>
                <w:color w:val="auto"/>
              </w:rPr>
            </w:pPr>
            <w:r>
              <w:rPr>
                <w:rFonts w:ascii="Courier New" w:cs="Courier New" w:eastAsia="Courier New" w:hAnsi="Courier New"/>
                <w:sz w:val="12"/>
                <w:szCs w:val="12"/>
                <w:color w:val="auto"/>
              </w:rPr>
              <w:t>whether or not</w:t>
            </w: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accumulated</w:t>
            </w:r>
          </w:p>
        </w:tc>
        <w:tc>
          <w:tcPr>
            <w:tcW w:w="8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and added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60" w:type="dxa"/>
            <w:vAlign w:val="bottom"/>
            <w:gridSpan w:val="14"/>
          </w:tcPr>
          <w:p>
            <w:pPr>
              <w:ind w:left="160"/>
              <w:spacing w:after="0"/>
              <w:rPr>
                <w:sz w:val="20"/>
                <w:szCs w:val="20"/>
                <w:color w:val="auto"/>
              </w:rPr>
            </w:pPr>
            <w:r>
              <w:rPr>
                <w:rFonts w:ascii="Courier New" w:cs="Courier New" w:eastAsia="Courier New" w:hAnsi="Courier New"/>
                <w:sz w:val="12"/>
                <w:szCs w:val="12"/>
                <w:color w:val="auto"/>
              </w:rPr>
              <w:t>to  the  principal)  by the  Group  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3"/>
          </w:tcPr>
          <w:p>
            <w:pPr>
              <w:ind w:left="160"/>
              <w:spacing w:after="0"/>
              <w:rPr>
                <w:sz w:val="20"/>
                <w:szCs w:val="20"/>
                <w:color w:val="auto"/>
              </w:rPr>
            </w:pPr>
            <w:r>
              <w:rPr>
                <w:rFonts w:ascii="Courier New" w:cs="Courier New" w:eastAsia="Courier New" w:hAnsi="Courier New"/>
                <w:sz w:val="12"/>
                <w:szCs w:val="12"/>
                <w:color w:val="auto"/>
                <w:w w:val="95"/>
              </w:rPr>
              <w:t>respect</w:t>
            </w:r>
          </w:p>
        </w:tc>
        <w:tc>
          <w:tcPr>
            <w:tcW w:w="38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of</w:t>
            </w: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the  12</w:t>
            </w: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w w:val="97"/>
              </w:rPr>
              <w:t>(twelve)</w:t>
            </w:r>
          </w:p>
        </w:tc>
        <w:tc>
          <w:tcPr>
            <w:tcW w:w="22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month</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period</w:t>
            </w:r>
          </w:p>
        </w:tc>
        <w:tc>
          <w:tcPr>
            <w:tcW w:w="2300" w:type="dxa"/>
            <w:vAlign w:val="bottom"/>
            <w:gridSpan w:val="11"/>
          </w:tcPr>
          <w:p>
            <w:pPr>
              <w:ind w:left="80"/>
              <w:spacing w:after="0"/>
              <w:rPr>
                <w:sz w:val="20"/>
                <w:szCs w:val="20"/>
                <w:color w:val="auto"/>
              </w:rPr>
            </w:pPr>
            <w:r>
              <w:rPr>
                <w:rFonts w:ascii="Courier New" w:cs="Courier New" w:eastAsia="Courier New" w:hAnsi="Courier New"/>
                <w:sz w:val="12"/>
                <w:szCs w:val="12"/>
                <w:color w:val="auto"/>
              </w:rPr>
              <w:t>commencing on the first day 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ind w:left="160"/>
              <w:spacing w:after="0"/>
              <w:rPr>
                <w:sz w:val="20"/>
                <w:szCs w:val="20"/>
                <w:color w:val="auto"/>
              </w:rPr>
            </w:pPr>
            <w:r>
              <w:rPr>
                <w:rFonts w:ascii="Courier New" w:cs="Courier New" w:eastAsia="Courier New" w:hAnsi="Courier New"/>
                <w:sz w:val="12"/>
                <w:szCs w:val="12"/>
                <w:color w:val="auto"/>
                <w:w w:val="92"/>
              </w:rPr>
              <w:t>the</w:t>
            </w:r>
          </w:p>
        </w:tc>
        <w:tc>
          <w:tcPr>
            <w:tcW w:w="60" w:type="dxa"/>
            <w:vAlign w:val="bottom"/>
          </w:tcPr>
          <w:p>
            <w:pPr>
              <w:spacing w:after="0"/>
              <w:rPr>
                <w:sz w:val="12"/>
                <w:szCs w:val="12"/>
                <w:color w:val="auto"/>
              </w:rPr>
            </w:pPr>
          </w:p>
        </w:tc>
        <w:tc>
          <w:tcPr>
            <w:tcW w:w="60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Quarter</w:t>
            </w:r>
          </w:p>
        </w:tc>
        <w:tc>
          <w:tcPr>
            <w:tcW w:w="22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rPr>
              <w:t>immediately</w:t>
            </w:r>
          </w:p>
        </w:tc>
        <w:tc>
          <w:tcPr>
            <w:tcW w:w="8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following</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gridSpan w:val="2"/>
          </w:tcPr>
          <w:p>
            <w:pPr>
              <w:ind w:left="160"/>
              <w:spacing w:after="0"/>
              <w:rPr>
                <w:sz w:val="20"/>
                <w:szCs w:val="20"/>
                <w:color w:val="auto"/>
              </w:rPr>
            </w:pPr>
            <w:r>
              <w:rPr>
                <w:rFonts w:ascii="Courier New" w:cs="Courier New" w:eastAsia="Courier New" w:hAnsi="Courier New"/>
                <w:sz w:val="12"/>
                <w:szCs w:val="12"/>
                <w:color w:val="auto"/>
                <w:w w:val="90"/>
              </w:rPr>
              <w:t>such</w:t>
            </w:r>
          </w:p>
        </w:tc>
        <w:tc>
          <w:tcPr>
            <w:tcW w:w="220" w:type="dxa"/>
            <w:vAlign w:val="bottom"/>
          </w:tcPr>
          <w:p>
            <w:pPr>
              <w:spacing w:after="0"/>
              <w:rPr>
                <w:sz w:val="12"/>
                <w:szCs w:val="12"/>
                <w:color w:val="auto"/>
              </w:rPr>
            </w:pPr>
          </w:p>
        </w:tc>
        <w:tc>
          <w:tcPr>
            <w:tcW w:w="60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Quarter</w:t>
            </w:r>
          </w:p>
        </w:tc>
        <w:tc>
          <w:tcPr>
            <w:tcW w:w="300" w:type="dxa"/>
            <w:vAlign w:val="bottom"/>
          </w:tcPr>
          <w:p>
            <w:pPr>
              <w:spacing w:after="0"/>
              <w:rPr>
                <w:sz w:val="12"/>
                <w:szCs w:val="12"/>
                <w:color w:val="auto"/>
              </w:rPr>
            </w:pPr>
          </w:p>
        </w:tc>
        <w:tc>
          <w:tcPr>
            <w:tcW w:w="58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("THE</w:t>
            </w:r>
          </w:p>
        </w:tc>
        <w:tc>
          <w:tcPr>
            <w:tcW w:w="22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RELEVANT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80" w:type="dxa"/>
            <w:vAlign w:val="bottom"/>
            <w:gridSpan w:val="8"/>
          </w:tcPr>
          <w:p>
            <w:pPr>
              <w:ind w:left="160"/>
              <w:spacing w:after="0"/>
              <w:rPr>
                <w:sz w:val="20"/>
                <w:szCs w:val="20"/>
                <w:color w:val="auto"/>
              </w:rPr>
            </w:pPr>
            <w:r>
              <w:rPr>
                <w:rFonts w:ascii="Courier New" w:cs="Courier New" w:eastAsia="Courier New" w:hAnsi="Courier New"/>
                <w:sz w:val="12"/>
                <w:szCs w:val="12"/>
                <w:color w:val="auto"/>
              </w:rPr>
              <w:t>TWELVE-MONTH PERIOD");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25"/>
        </w:trPr>
        <w:tc>
          <w:tcPr>
            <w:tcW w:w="1020" w:type="dxa"/>
            <w:vAlign w:val="bottom"/>
          </w:tcPr>
          <w:p>
            <w:pPr>
              <w:spacing w:after="0"/>
              <w:rPr>
                <w:sz w:val="24"/>
                <w:szCs w:val="24"/>
                <w:color w:val="auto"/>
              </w:rPr>
            </w:pPr>
          </w:p>
        </w:tc>
        <w:tc>
          <w:tcPr>
            <w:tcW w:w="2660" w:type="dxa"/>
            <w:vAlign w:val="bottom"/>
          </w:tcPr>
          <w:p>
            <w:pPr>
              <w:ind w:left="1700"/>
              <w:spacing w:after="0"/>
              <w:rPr>
                <w:sz w:val="20"/>
                <w:szCs w:val="20"/>
                <w:color w:val="auto"/>
              </w:rPr>
            </w:pPr>
            <w:r>
              <w:rPr>
                <w:rFonts w:ascii="Courier New" w:cs="Courier New" w:eastAsia="Courier New" w:hAnsi="Courier New"/>
                <w:sz w:val="12"/>
                <w:szCs w:val="12"/>
                <w:color w:val="auto"/>
              </w:rPr>
              <w:t>- 16 -</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(b)</w:t>
            </w:r>
          </w:p>
        </w:tc>
        <w:tc>
          <w:tcPr>
            <w:tcW w:w="90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scheduled</w:t>
            </w:r>
          </w:p>
        </w:tc>
        <w:tc>
          <w:tcPr>
            <w:tcW w:w="88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repayments</w:t>
            </w:r>
          </w:p>
        </w:tc>
        <w:tc>
          <w:tcPr>
            <w:tcW w:w="1180" w:type="dxa"/>
            <w:vAlign w:val="bottom"/>
            <w:gridSpan w:val="6"/>
          </w:tcPr>
          <w:p>
            <w:pPr>
              <w:ind w:left="60"/>
              <w:spacing w:after="0"/>
              <w:rPr>
                <w:sz w:val="20"/>
                <w:szCs w:val="20"/>
                <w:color w:val="auto"/>
              </w:rPr>
            </w:pPr>
            <w:r>
              <w:rPr>
                <w:rFonts w:ascii="Courier New" w:cs="Courier New" w:eastAsia="Courier New" w:hAnsi="Courier New"/>
                <w:sz w:val="12"/>
                <w:szCs w:val="12"/>
                <w:color w:val="auto"/>
              </w:rPr>
              <w:t>of principal by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60" w:type="dxa"/>
            <w:vAlign w:val="bottom"/>
            <w:gridSpan w:val="14"/>
          </w:tcPr>
          <w:p>
            <w:pPr>
              <w:ind w:left="160"/>
              <w:spacing w:after="0"/>
              <w:rPr>
                <w:sz w:val="20"/>
                <w:szCs w:val="20"/>
                <w:color w:val="auto"/>
              </w:rPr>
            </w:pPr>
            <w:r>
              <w:rPr>
                <w:rFonts w:ascii="Courier New" w:cs="Courier New" w:eastAsia="Courier New" w:hAnsi="Courier New"/>
                <w:sz w:val="12"/>
                <w:szCs w:val="12"/>
                <w:color w:val="auto"/>
              </w:rPr>
              <w:t>the  Borrower  under the  Facility  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6"/>
          </w:tcPr>
          <w:p>
            <w:pPr>
              <w:ind w:left="160"/>
              <w:spacing w:after="0"/>
              <w:rPr>
                <w:sz w:val="20"/>
                <w:szCs w:val="20"/>
                <w:color w:val="auto"/>
              </w:rPr>
            </w:pPr>
            <w:r>
              <w:rPr>
                <w:rFonts w:ascii="Courier New" w:cs="Courier New" w:eastAsia="Courier New" w:hAnsi="Courier New"/>
                <w:sz w:val="12"/>
                <w:szCs w:val="12"/>
                <w:color w:val="auto"/>
              </w:rPr>
              <w:t>respect of the</w:t>
            </w: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Relevant</w:t>
            </w:r>
          </w:p>
        </w:tc>
        <w:tc>
          <w:tcPr>
            <w:tcW w:w="104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Twelve-Month</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Period; and</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(c)</w:t>
            </w:r>
          </w:p>
        </w:tc>
        <w:tc>
          <w:tcPr>
            <w:tcW w:w="90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scheduled</w:t>
            </w:r>
          </w:p>
        </w:tc>
        <w:tc>
          <w:tcPr>
            <w:tcW w:w="88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payments or</w:t>
            </w:r>
          </w:p>
        </w:tc>
        <w:tc>
          <w:tcPr>
            <w:tcW w:w="140" w:type="dxa"/>
            <w:vAlign w:val="bottom"/>
          </w:tcPr>
          <w:p>
            <w:pPr>
              <w:spacing w:after="0"/>
              <w:rPr>
                <w:sz w:val="24"/>
                <w:szCs w:val="24"/>
                <w:color w:val="auto"/>
              </w:rPr>
            </w:pP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w w:val="99"/>
              </w:rPr>
              <w:t>repayments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principal</w:t>
            </w:r>
          </w:p>
        </w:tc>
        <w:tc>
          <w:tcPr>
            <w:tcW w:w="1240" w:type="dxa"/>
            <w:vAlign w:val="bottom"/>
            <w:gridSpan w:val="6"/>
          </w:tcPr>
          <w:p>
            <w:pPr>
              <w:ind w:left="60"/>
              <w:spacing w:after="0"/>
              <w:rPr>
                <w:sz w:val="20"/>
                <w:szCs w:val="20"/>
                <w:color w:val="auto"/>
              </w:rPr>
            </w:pPr>
            <w:r>
              <w:rPr>
                <w:rFonts w:ascii="Courier New" w:cs="Courier New" w:eastAsia="Courier New" w:hAnsi="Courier New"/>
                <w:sz w:val="12"/>
                <w:szCs w:val="12"/>
                <w:color w:val="auto"/>
              </w:rPr>
              <w:t>by the Group in</w:t>
            </w:r>
          </w:p>
        </w:tc>
        <w:tc>
          <w:tcPr>
            <w:tcW w:w="8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respect 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Permitted</w:t>
            </w:r>
          </w:p>
        </w:tc>
        <w:tc>
          <w:tcPr>
            <w:tcW w:w="88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Financial</w:t>
            </w:r>
          </w:p>
        </w:tc>
        <w:tc>
          <w:tcPr>
            <w:tcW w:w="880" w:type="dxa"/>
            <w:vAlign w:val="bottom"/>
            <w:gridSpan w:val="5"/>
          </w:tcPr>
          <w:p>
            <w:pPr>
              <w:spacing w:after="0"/>
              <w:rPr>
                <w:sz w:val="20"/>
                <w:szCs w:val="20"/>
                <w:color w:val="auto"/>
              </w:rPr>
            </w:pPr>
            <w:r>
              <w:rPr>
                <w:rFonts w:ascii="Courier New" w:cs="Courier New" w:eastAsia="Courier New" w:hAnsi="Courier New"/>
                <w:sz w:val="12"/>
                <w:szCs w:val="12"/>
                <w:color w:val="auto"/>
                <w:w w:val="99"/>
              </w:rPr>
              <w:t>Indebtedness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referred</w:t>
            </w:r>
          </w:p>
        </w:tc>
        <w:tc>
          <w:tcPr>
            <w:tcW w:w="140" w:type="dxa"/>
            <w:vAlign w:val="bottom"/>
          </w:tcPr>
          <w:p>
            <w:pPr>
              <w:spacing w:after="0"/>
              <w:rPr>
                <w:sz w:val="20"/>
                <w:szCs w:val="20"/>
                <w:color w:val="auto"/>
              </w:rPr>
            </w:pPr>
            <w:r>
              <w:rPr>
                <w:rFonts w:ascii="Courier New" w:cs="Courier New" w:eastAsia="Courier New" w:hAnsi="Courier New"/>
                <w:sz w:val="12"/>
                <w:szCs w:val="12"/>
                <w:color w:val="auto"/>
                <w:w w:val="82"/>
              </w:rPr>
              <w:t>to</w:t>
            </w:r>
          </w:p>
        </w:tc>
        <w:tc>
          <w:tcPr>
            <w:tcW w:w="5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in</w:t>
            </w:r>
          </w:p>
        </w:tc>
        <w:tc>
          <w:tcPr>
            <w:tcW w:w="1400" w:type="dxa"/>
            <w:vAlign w:val="bottom"/>
            <w:gridSpan w:val="7"/>
          </w:tcPr>
          <w:p>
            <w:pPr>
              <w:spacing w:after="0"/>
              <w:rPr>
                <w:sz w:val="20"/>
                <w:szCs w:val="20"/>
                <w:color w:val="auto"/>
              </w:rPr>
            </w:pPr>
            <w:r>
              <w:rPr>
                <w:rFonts w:ascii="Courier New" w:cs="Courier New" w:eastAsia="Courier New" w:hAnsi="Courier New"/>
                <w:sz w:val="12"/>
                <w:szCs w:val="12"/>
                <w:color w:val="auto"/>
              </w:rPr>
              <w:t>clauses 1.1.115(b),</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4"/>
          </w:tcPr>
          <w:p>
            <w:pPr>
              <w:ind w:left="160"/>
              <w:spacing w:after="0"/>
              <w:rPr>
                <w:sz w:val="20"/>
                <w:szCs w:val="20"/>
                <w:color w:val="auto"/>
              </w:rPr>
            </w:pPr>
            <w:r>
              <w:rPr>
                <w:rFonts w:ascii="Courier New" w:cs="Courier New" w:eastAsia="Courier New" w:hAnsi="Courier New"/>
                <w:sz w:val="12"/>
                <w:szCs w:val="12"/>
                <w:color w:val="auto"/>
                <w:w w:val="99"/>
              </w:rPr>
              <w:t>1.1.115(c)</w:t>
            </w:r>
          </w:p>
        </w:tc>
        <w:tc>
          <w:tcPr>
            <w:tcW w:w="14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and</w:t>
            </w:r>
          </w:p>
        </w:tc>
        <w:tc>
          <w:tcPr>
            <w:tcW w:w="1700" w:type="dxa"/>
            <w:vAlign w:val="bottom"/>
            <w:gridSpan w:val="8"/>
          </w:tcPr>
          <w:p>
            <w:pPr>
              <w:ind w:left="140"/>
              <w:spacing w:after="0"/>
              <w:rPr>
                <w:sz w:val="20"/>
                <w:szCs w:val="20"/>
                <w:color w:val="auto"/>
              </w:rPr>
            </w:pPr>
            <w:r>
              <w:rPr>
                <w:rFonts w:ascii="Courier New" w:cs="Courier New" w:eastAsia="Courier New" w:hAnsi="Courier New"/>
                <w:sz w:val="12"/>
                <w:szCs w:val="12"/>
                <w:color w:val="auto"/>
              </w:rPr>
              <w:t>1.1.115(d) in respect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60" w:type="dxa"/>
            <w:vAlign w:val="bottom"/>
            <w:gridSpan w:val="14"/>
          </w:tcPr>
          <w:p>
            <w:pPr>
              <w:ind w:left="160"/>
              <w:spacing w:after="0"/>
              <w:rPr>
                <w:sz w:val="20"/>
                <w:szCs w:val="20"/>
                <w:color w:val="auto"/>
              </w:rPr>
            </w:pPr>
            <w:r>
              <w:rPr>
                <w:rFonts w:ascii="Courier New" w:cs="Courier New" w:eastAsia="Courier New" w:hAnsi="Courier New"/>
                <w:sz w:val="12"/>
                <w:szCs w:val="12"/>
                <w:color w:val="auto"/>
              </w:rPr>
              <w:t>of the Relevant Twelve-Month Period,</w:t>
            </w: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all of the above</w:t>
            </w:r>
          </w:p>
        </w:tc>
        <w:tc>
          <w:tcPr>
            <w:tcW w:w="88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amounts as</w:t>
            </w:r>
          </w:p>
        </w:tc>
        <w:tc>
          <w:tcPr>
            <w:tcW w:w="800" w:type="dxa"/>
            <w:vAlign w:val="bottom"/>
            <w:gridSpan w:val="4"/>
          </w:tcPr>
          <w:p>
            <w:pPr>
              <w:ind w:left="60"/>
              <w:spacing w:after="0"/>
              <w:rPr>
                <w:sz w:val="20"/>
                <w:szCs w:val="20"/>
                <w:color w:val="auto"/>
              </w:rPr>
            </w:pPr>
            <w:r>
              <w:rPr>
                <w:rFonts w:ascii="Courier New" w:cs="Courier New" w:eastAsia="Courier New" w:hAnsi="Courier New"/>
                <w:sz w:val="12"/>
                <w:szCs w:val="12"/>
                <w:color w:val="auto"/>
                <w:w w:val="99"/>
              </w:rPr>
              <w:t>determined</w:t>
            </w: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certified</w:t>
            </w:r>
          </w:p>
        </w:tc>
        <w:tc>
          <w:tcPr>
            <w:tcW w:w="60" w:type="dxa"/>
            <w:vAlign w:val="bottom"/>
          </w:tcPr>
          <w:p>
            <w:pPr>
              <w:spacing w:after="0"/>
              <w:rPr>
                <w:sz w:val="12"/>
                <w:szCs w:val="12"/>
                <w:color w:val="auto"/>
              </w:rPr>
            </w:pPr>
          </w:p>
        </w:tc>
        <w:tc>
          <w:tcPr>
            <w:tcW w:w="1120" w:type="dxa"/>
            <w:vAlign w:val="bottom"/>
            <w:gridSpan w:val="5"/>
          </w:tcPr>
          <w:p>
            <w:pPr>
              <w:spacing w:after="0"/>
              <w:rPr>
                <w:sz w:val="20"/>
                <w:szCs w:val="20"/>
                <w:color w:val="auto"/>
              </w:rPr>
            </w:pPr>
            <w:r>
              <w:rPr>
                <w:rFonts w:ascii="Courier New" w:cs="Courier New" w:eastAsia="Courier New" w:hAnsi="Courier New"/>
                <w:sz w:val="12"/>
                <w:szCs w:val="12"/>
                <w:color w:val="auto"/>
              </w:rPr>
              <w:t>as correct by:</w:t>
            </w:r>
          </w:p>
        </w:tc>
        <w:tc>
          <w:tcPr>
            <w:tcW w:w="1400" w:type="dxa"/>
            <w:vAlign w:val="bottom"/>
            <w:gridSpan w:val="7"/>
          </w:tcPr>
          <w:p>
            <w:pPr>
              <w:ind w:left="60"/>
              <w:spacing w:after="0"/>
              <w:rPr>
                <w:sz w:val="20"/>
                <w:szCs w:val="20"/>
                <w:color w:val="auto"/>
              </w:rPr>
            </w:pPr>
            <w:r>
              <w:rPr>
                <w:rFonts w:ascii="Courier New" w:cs="Courier New" w:eastAsia="Courier New" w:hAnsi="Courier New"/>
                <w:sz w:val="12"/>
                <w:szCs w:val="12"/>
                <w:color w:val="auto"/>
              </w:rPr>
              <w:t>(i) the CFO of 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Borrower,</w:t>
            </w:r>
          </w:p>
        </w:tc>
        <w:tc>
          <w:tcPr>
            <w:tcW w:w="60" w:type="dxa"/>
            <w:vAlign w:val="bottom"/>
          </w:tcPr>
          <w:p>
            <w:pPr>
              <w:spacing w:after="0"/>
              <w:rPr>
                <w:sz w:val="12"/>
                <w:szCs w:val="12"/>
                <w:color w:val="auto"/>
              </w:rPr>
            </w:pPr>
          </w:p>
        </w:tc>
        <w:tc>
          <w:tcPr>
            <w:tcW w:w="2520" w:type="dxa"/>
            <w:vAlign w:val="bottom"/>
            <w:gridSpan w:val="12"/>
          </w:tcPr>
          <w:p>
            <w:pPr>
              <w:spacing w:after="0"/>
              <w:rPr>
                <w:sz w:val="20"/>
                <w:szCs w:val="20"/>
                <w:color w:val="auto"/>
              </w:rPr>
            </w:pPr>
            <w:r>
              <w:rPr>
                <w:rFonts w:ascii="Courier New" w:cs="Courier New" w:eastAsia="Courier New" w:hAnsi="Courier New"/>
                <w:sz w:val="12"/>
                <w:szCs w:val="12"/>
                <w:color w:val="auto"/>
              </w:rPr>
              <w:t>if  with  respect  to  any  of 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first three</w:t>
            </w:r>
          </w:p>
        </w:tc>
        <w:tc>
          <w:tcPr>
            <w:tcW w:w="82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Quarters</w:t>
            </w: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rPr>
              <w:t>of</w:t>
            </w: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rPr>
              <w:t>each</w:t>
            </w: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Fiscal</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Year;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and</w:t>
            </w: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(ii) the</w:t>
            </w:r>
          </w:p>
        </w:tc>
        <w:tc>
          <w:tcPr>
            <w:tcW w:w="90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Auditors,</w:t>
            </w:r>
          </w:p>
        </w:tc>
        <w:tc>
          <w:tcPr>
            <w:tcW w:w="1400" w:type="dxa"/>
            <w:vAlign w:val="bottom"/>
            <w:gridSpan w:val="7"/>
          </w:tcPr>
          <w:p>
            <w:pPr>
              <w:spacing w:after="0"/>
              <w:rPr>
                <w:sz w:val="20"/>
                <w:szCs w:val="20"/>
                <w:color w:val="auto"/>
              </w:rPr>
            </w:pPr>
            <w:r>
              <w:rPr>
                <w:rFonts w:ascii="Courier New" w:cs="Courier New" w:eastAsia="Courier New" w:hAnsi="Courier New"/>
                <w:sz w:val="12"/>
                <w:szCs w:val="12"/>
                <w:color w:val="auto"/>
              </w:rPr>
              <w:t>with respect to 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last</w:t>
            </w: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Quarter</w:t>
            </w:r>
          </w:p>
        </w:tc>
        <w:tc>
          <w:tcPr>
            <w:tcW w:w="60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of any</w:t>
            </w: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7"/>
              </w:rPr>
              <w:t>Fiscal</w:t>
            </w:r>
          </w:p>
        </w:tc>
        <w:tc>
          <w:tcPr>
            <w:tcW w:w="140" w:type="dxa"/>
            <w:vAlign w:val="bottom"/>
          </w:tcPr>
          <w:p>
            <w:pPr>
              <w:spacing w:after="0"/>
              <w:rPr>
                <w:sz w:val="12"/>
                <w:szCs w:val="12"/>
                <w:color w:val="auto"/>
              </w:rPr>
            </w:pPr>
          </w:p>
        </w:tc>
        <w:tc>
          <w:tcPr>
            <w:tcW w:w="1040" w:type="dxa"/>
            <w:vAlign w:val="bottom"/>
            <w:gridSpan w:val="5"/>
          </w:tcPr>
          <w:p>
            <w:pPr>
              <w:spacing w:after="0"/>
              <w:rPr>
                <w:sz w:val="20"/>
                <w:szCs w:val="20"/>
                <w:color w:val="auto"/>
              </w:rPr>
            </w:pPr>
            <w:r>
              <w:rPr>
                <w:rFonts w:ascii="Courier New" w:cs="Courier New" w:eastAsia="Courier New" w:hAnsi="Courier New"/>
                <w:sz w:val="12"/>
                <w:szCs w:val="12"/>
                <w:color w:val="auto"/>
              </w:rPr>
              <w:t>Year (that is,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80" w:type="dxa"/>
            <w:vAlign w:val="bottom"/>
            <w:gridSpan w:val="11"/>
          </w:tcPr>
          <w:p>
            <w:pPr>
              <w:ind w:left="80"/>
              <w:spacing w:after="0"/>
              <w:rPr>
                <w:sz w:val="20"/>
                <w:szCs w:val="20"/>
                <w:color w:val="auto"/>
              </w:rPr>
            </w:pPr>
            <w:r>
              <w:rPr>
                <w:rFonts w:ascii="Courier New" w:cs="Courier New" w:eastAsia="Courier New" w:hAnsi="Courier New"/>
                <w:sz w:val="12"/>
                <w:szCs w:val="12"/>
                <w:color w:val="auto"/>
              </w:rPr>
              <w:t>the Quarter ending December 31st);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1.1.38.</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1.1.39.</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"DEFAULT"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means</w:t>
            </w:r>
          </w:p>
        </w:tc>
        <w:tc>
          <w:tcPr>
            <w:tcW w:w="380" w:type="dxa"/>
            <w:vAlign w:val="bottom"/>
          </w:tcPr>
          <w:p>
            <w:pPr>
              <w:ind w:left="160"/>
              <w:spacing w:after="0"/>
              <w:rPr>
                <w:sz w:val="20"/>
                <w:szCs w:val="20"/>
                <w:color w:val="auto"/>
              </w:rPr>
            </w:pPr>
            <w:r>
              <w:rPr>
                <w:rFonts w:ascii="Courier New" w:cs="Courier New" w:eastAsia="Courier New" w:hAnsi="Courier New"/>
                <w:sz w:val="12"/>
                <w:szCs w:val="12"/>
                <w:color w:val="auto"/>
                <w:w w:val="92"/>
              </w:rPr>
              <w:t>any</w:t>
            </w:r>
          </w:p>
        </w:tc>
        <w:tc>
          <w:tcPr>
            <w:tcW w:w="60" w:type="dxa"/>
            <w:vAlign w:val="bottom"/>
          </w:tcPr>
          <w:p>
            <w:pPr>
              <w:spacing w:after="0"/>
              <w:rPr>
                <w:sz w:val="24"/>
                <w:szCs w:val="24"/>
                <w:color w:val="auto"/>
              </w:rPr>
            </w:pPr>
          </w:p>
        </w:tc>
        <w:tc>
          <w:tcPr>
            <w:tcW w:w="2520" w:type="dxa"/>
            <w:vAlign w:val="bottom"/>
            <w:gridSpan w:val="12"/>
          </w:tcPr>
          <w:p>
            <w:pPr>
              <w:ind w:left="80"/>
              <w:spacing w:after="0"/>
              <w:rPr>
                <w:sz w:val="20"/>
                <w:szCs w:val="20"/>
                <w:color w:val="auto"/>
              </w:rPr>
            </w:pPr>
            <w:r>
              <w:rPr>
                <w:rFonts w:ascii="Courier New" w:cs="Courier New" w:eastAsia="Courier New" w:hAnsi="Courier New"/>
                <w:sz w:val="12"/>
                <w:szCs w:val="12"/>
                <w:color w:val="auto"/>
              </w:rPr>
              <w:t>Event  of  Default  or any  event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which</w:t>
            </w:r>
          </w:p>
        </w:tc>
        <w:tc>
          <w:tcPr>
            <w:tcW w:w="90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with the</w:t>
            </w:r>
          </w:p>
        </w:tc>
        <w:tc>
          <w:tcPr>
            <w:tcW w:w="2060" w:type="dxa"/>
            <w:vAlign w:val="bottom"/>
            <w:gridSpan w:val="10"/>
          </w:tcPr>
          <w:p>
            <w:pPr>
              <w:spacing w:after="0"/>
              <w:rPr>
                <w:sz w:val="20"/>
                <w:szCs w:val="20"/>
                <w:color w:val="auto"/>
              </w:rPr>
            </w:pPr>
            <w:r>
              <w:rPr>
                <w:rFonts w:ascii="Courier New" w:cs="Courier New" w:eastAsia="Courier New" w:hAnsi="Courier New"/>
                <w:sz w:val="12"/>
                <w:szCs w:val="12"/>
                <w:color w:val="auto"/>
              </w:rPr>
              <w:t>giving of notice or lapse 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time,</w:t>
            </w:r>
          </w:p>
        </w:tc>
        <w:tc>
          <w:tcPr>
            <w:tcW w:w="2960" w:type="dxa"/>
            <w:vAlign w:val="bottom"/>
            <w:gridSpan w:val="14"/>
          </w:tcPr>
          <w:p>
            <w:pPr>
              <w:ind w:left="160"/>
              <w:spacing w:after="0"/>
              <w:rPr>
                <w:sz w:val="20"/>
                <w:szCs w:val="20"/>
                <w:color w:val="auto"/>
              </w:rPr>
            </w:pPr>
            <w:r>
              <w:rPr>
                <w:rFonts w:ascii="Courier New" w:cs="Courier New" w:eastAsia="Courier New" w:hAnsi="Courier New"/>
                <w:sz w:val="12"/>
                <w:szCs w:val="12"/>
                <w:color w:val="auto"/>
              </w:rPr>
              <w:t>or the  making  of  any  determination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hereunder,</w:t>
            </w:r>
          </w:p>
        </w:tc>
        <w:tc>
          <w:tcPr>
            <w:tcW w:w="60" w:type="dxa"/>
            <w:vAlign w:val="bottom"/>
          </w:tcPr>
          <w:p>
            <w:pPr>
              <w:spacing w:after="0"/>
              <w:rPr>
                <w:sz w:val="12"/>
                <w:szCs w:val="12"/>
                <w:color w:val="auto"/>
              </w:rPr>
            </w:pPr>
          </w:p>
        </w:tc>
        <w:tc>
          <w:tcPr>
            <w:tcW w:w="60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or the</w:t>
            </w:r>
          </w:p>
        </w:tc>
        <w:tc>
          <w:tcPr>
            <w:tcW w:w="192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satisfaction of any other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condition</w:t>
            </w:r>
          </w:p>
        </w:tc>
        <w:tc>
          <w:tcPr>
            <w:tcW w:w="60" w:type="dxa"/>
            <w:vAlign w:val="bottom"/>
          </w:tcPr>
          <w:p>
            <w:pPr>
              <w:spacing w:after="0"/>
              <w:rPr>
                <w:sz w:val="12"/>
                <w:szCs w:val="12"/>
                <w:color w:val="auto"/>
              </w:rPr>
            </w:pPr>
          </w:p>
        </w:tc>
        <w:tc>
          <w:tcPr>
            <w:tcW w:w="4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(or</w:t>
            </w: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rPr>
              <w:t>any</w:t>
            </w: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combination</w:t>
            </w:r>
          </w:p>
        </w:tc>
        <w:tc>
          <w:tcPr>
            <w:tcW w:w="22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thereof)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0" w:type="dxa"/>
            <w:vAlign w:val="bottom"/>
            <w:gridSpan w:val="12"/>
          </w:tcPr>
          <w:p>
            <w:pPr>
              <w:ind w:left="80"/>
              <w:spacing w:after="0"/>
              <w:rPr>
                <w:sz w:val="20"/>
                <w:szCs w:val="20"/>
                <w:color w:val="auto"/>
              </w:rPr>
            </w:pPr>
            <w:r>
              <w:rPr>
                <w:rFonts w:ascii="Courier New" w:cs="Courier New" w:eastAsia="Courier New" w:hAnsi="Courier New"/>
                <w:sz w:val="12"/>
                <w:szCs w:val="12"/>
                <w:color w:val="auto"/>
              </w:rPr>
              <w:t>would constitute an Event of Default;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25"/>
        </w:trPr>
        <w:tc>
          <w:tcPr>
            <w:tcW w:w="1020" w:type="dxa"/>
            <w:vAlign w:val="bottom"/>
          </w:tcPr>
          <w:p>
            <w:pPr>
              <w:spacing w:after="0"/>
              <w:rPr>
                <w:sz w:val="24"/>
                <w:szCs w:val="24"/>
                <w:color w:val="auto"/>
              </w:rPr>
            </w:pPr>
          </w:p>
        </w:tc>
        <w:tc>
          <w:tcPr>
            <w:tcW w:w="2660" w:type="dxa"/>
            <w:vAlign w:val="bottom"/>
          </w:tcPr>
          <w:p>
            <w:pPr>
              <w:ind w:left="1700"/>
              <w:spacing w:after="0"/>
              <w:rPr>
                <w:sz w:val="20"/>
                <w:szCs w:val="20"/>
                <w:color w:val="auto"/>
              </w:rPr>
            </w:pPr>
            <w:r>
              <w:rPr>
                <w:rFonts w:ascii="Courier New" w:cs="Courier New" w:eastAsia="Courier New" w:hAnsi="Courier New"/>
                <w:sz w:val="12"/>
                <w:szCs w:val="12"/>
                <w:color w:val="auto"/>
              </w:rPr>
              <w:t>- 17 -</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1.1.40.</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"DISTRIBUTION"</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means</w:t>
            </w:r>
          </w:p>
        </w:tc>
        <w:tc>
          <w:tcPr>
            <w:tcW w:w="380" w:type="dxa"/>
            <w:vAlign w:val="bottom"/>
          </w:tcPr>
          <w:p>
            <w:pPr>
              <w:ind w:left="160"/>
              <w:spacing w:after="0"/>
              <w:rPr>
                <w:sz w:val="20"/>
                <w:szCs w:val="20"/>
                <w:color w:val="auto"/>
              </w:rPr>
            </w:pPr>
            <w:r>
              <w:rPr>
                <w:rFonts w:ascii="Courier New" w:cs="Courier New" w:eastAsia="Courier New" w:hAnsi="Courier New"/>
                <w:sz w:val="12"/>
                <w:szCs w:val="12"/>
                <w:color w:val="auto"/>
                <w:w w:val="92"/>
              </w:rPr>
              <w:t>the</w:t>
            </w:r>
          </w:p>
        </w:tc>
        <w:tc>
          <w:tcPr>
            <w:tcW w:w="60" w:type="dxa"/>
            <w:vAlign w:val="bottom"/>
          </w:tcPr>
          <w:p>
            <w:pPr>
              <w:spacing w:after="0"/>
              <w:rPr>
                <w:sz w:val="24"/>
                <w:szCs w:val="24"/>
                <w:color w:val="auto"/>
              </w:rPr>
            </w:pPr>
          </w:p>
        </w:tc>
        <w:tc>
          <w:tcPr>
            <w:tcW w:w="2520" w:type="dxa"/>
            <w:vAlign w:val="bottom"/>
            <w:gridSpan w:val="12"/>
          </w:tcPr>
          <w:p>
            <w:pPr>
              <w:ind w:left="80"/>
              <w:spacing w:after="0"/>
              <w:rPr>
                <w:sz w:val="20"/>
                <w:szCs w:val="20"/>
                <w:color w:val="auto"/>
              </w:rPr>
            </w:pPr>
            <w:r>
              <w:rPr>
                <w:rFonts w:ascii="Courier New" w:cs="Courier New" w:eastAsia="Courier New" w:hAnsi="Courier New"/>
                <w:sz w:val="12"/>
                <w:szCs w:val="12"/>
                <w:color w:val="auto"/>
              </w:rPr>
              <w:t>declaration  or  payment  of  any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dividend</w:t>
            </w: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rPr>
              <w:t>or</w:t>
            </w:r>
          </w:p>
        </w:tc>
        <w:tc>
          <w:tcPr>
            <w:tcW w:w="900" w:type="dxa"/>
            <w:vAlign w:val="bottom"/>
            <w:gridSpan w:val="4"/>
          </w:tcPr>
          <w:p>
            <w:pPr>
              <w:spacing w:after="0"/>
              <w:rPr>
                <w:sz w:val="20"/>
                <w:szCs w:val="20"/>
                <w:color w:val="auto"/>
              </w:rPr>
            </w:pPr>
            <w:r>
              <w:rPr>
                <w:rFonts w:ascii="Courier New" w:cs="Courier New" w:eastAsia="Courier New" w:hAnsi="Courier New"/>
                <w:sz w:val="12"/>
                <w:szCs w:val="12"/>
                <w:color w:val="auto"/>
              </w:rPr>
              <w:t>distribution</w:t>
            </w:r>
          </w:p>
        </w:tc>
        <w:tc>
          <w:tcPr>
            <w:tcW w:w="80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on or in</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respect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of  any</w:t>
            </w: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rPr>
              <w:t>shares</w:t>
            </w:r>
          </w:p>
        </w:tc>
        <w:tc>
          <w:tcPr>
            <w:tcW w:w="36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of</w:t>
            </w:r>
          </w:p>
        </w:tc>
        <w:tc>
          <w:tcPr>
            <w:tcW w:w="300" w:type="dxa"/>
            <w:vAlign w:val="bottom"/>
          </w:tcPr>
          <w:p>
            <w:pPr>
              <w:spacing w:after="0"/>
              <w:rPr>
                <w:sz w:val="20"/>
                <w:szCs w:val="20"/>
                <w:color w:val="auto"/>
              </w:rPr>
            </w:pPr>
            <w:r>
              <w:rPr>
                <w:rFonts w:ascii="Courier New" w:cs="Courier New" w:eastAsia="Courier New" w:hAnsi="Courier New"/>
                <w:sz w:val="12"/>
                <w:szCs w:val="12"/>
                <w:color w:val="auto"/>
              </w:rPr>
              <w:t>any</w:t>
            </w:r>
          </w:p>
        </w:tc>
        <w:tc>
          <w:tcPr>
            <w:tcW w:w="58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class</w:t>
            </w: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of</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capital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5"/>
          </w:tcPr>
          <w:p>
            <w:pPr>
              <w:ind w:left="80"/>
              <w:spacing w:after="0"/>
              <w:rPr>
                <w:sz w:val="20"/>
                <w:szCs w:val="20"/>
                <w:color w:val="auto"/>
              </w:rPr>
            </w:pPr>
            <w:r>
              <w:rPr>
                <w:rFonts w:ascii="Courier New" w:cs="Courier New" w:eastAsia="Courier New" w:hAnsi="Courier New"/>
                <w:sz w:val="12"/>
                <w:szCs w:val="12"/>
                <w:color w:val="auto"/>
              </w:rPr>
              <w:t>stock;  the  purchase,  redemption  or  other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retirement,</w:t>
            </w:r>
          </w:p>
        </w:tc>
        <w:tc>
          <w:tcPr>
            <w:tcW w:w="600" w:type="dxa"/>
            <w:vAlign w:val="bottom"/>
            <w:gridSpan w:val="3"/>
          </w:tcPr>
          <w:p>
            <w:pPr>
              <w:ind w:left="160"/>
              <w:spacing w:after="0"/>
              <w:rPr>
                <w:sz w:val="20"/>
                <w:szCs w:val="20"/>
                <w:color w:val="auto"/>
              </w:rPr>
            </w:pPr>
            <w:r>
              <w:rPr>
                <w:rFonts w:ascii="Courier New" w:cs="Courier New" w:eastAsia="Courier New" w:hAnsi="Courier New"/>
                <w:sz w:val="12"/>
                <w:szCs w:val="12"/>
                <w:color w:val="auto"/>
                <w:w w:val="97"/>
              </w:rPr>
              <w:t>or the</w:t>
            </w:r>
          </w:p>
        </w:tc>
        <w:tc>
          <w:tcPr>
            <w:tcW w:w="110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giving of any</w:t>
            </w:r>
          </w:p>
        </w:tc>
        <w:tc>
          <w:tcPr>
            <w:tcW w:w="8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financing</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for the purchase,</w:t>
            </w:r>
          </w:p>
        </w:tc>
        <w:tc>
          <w:tcPr>
            <w:tcW w:w="140" w:type="dxa"/>
            <w:vAlign w:val="bottom"/>
          </w:tcPr>
          <w:p>
            <w:pPr>
              <w:spacing w:after="0"/>
              <w:rPr>
                <w:sz w:val="12"/>
                <w:szCs w:val="12"/>
                <w:color w:val="auto"/>
              </w:rPr>
            </w:pPr>
          </w:p>
        </w:tc>
        <w:tc>
          <w:tcPr>
            <w:tcW w:w="1100" w:type="dxa"/>
            <w:vAlign w:val="bottom"/>
            <w:gridSpan w:val="5"/>
          </w:tcPr>
          <w:p>
            <w:pPr>
              <w:spacing w:after="0"/>
              <w:rPr>
                <w:sz w:val="20"/>
                <w:szCs w:val="20"/>
                <w:color w:val="auto"/>
              </w:rPr>
            </w:pPr>
            <w:r>
              <w:rPr>
                <w:rFonts w:ascii="Courier New" w:cs="Courier New" w:eastAsia="Courier New" w:hAnsi="Courier New"/>
                <w:sz w:val="12"/>
                <w:szCs w:val="12"/>
                <w:color w:val="auto"/>
              </w:rPr>
              <w:t>redemption or</w:t>
            </w:r>
          </w:p>
        </w:tc>
        <w:tc>
          <w:tcPr>
            <w:tcW w:w="8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retirement,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2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of any shares of any class of</w:t>
            </w:r>
          </w:p>
        </w:tc>
        <w:tc>
          <w:tcPr>
            <w:tcW w:w="14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capital</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stock</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(including</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4"/>
          </w:tcPr>
          <w:p>
            <w:pPr>
              <w:spacing w:after="0"/>
              <w:rPr>
                <w:sz w:val="20"/>
                <w:szCs w:val="20"/>
                <w:color w:val="auto"/>
              </w:rPr>
            </w:pPr>
            <w:r>
              <w:rPr>
                <w:rFonts w:ascii="Courier New" w:cs="Courier New" w:eastAsia="Courier New" w:hAnsi="Courier New"/>
                <w:sz w:val="12"/>
                <w:szCs w:val="12"/>
                <w:color w:val="auto"/>
              </w:rPr>
              <w:t>redeemable</w:t>
            </w:r>
          </w:p>
        </w:tc>
        <w:tc>
          <w:tcPr>
            <w:tcW w:w="80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shares)</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convertible</w:t>
            </w:r>
          </w:p>
        </w:tc>
        <w:tc>
          <w:tcPr>
            <w:tcW w:w="220" w:type="dxa"/>
            <w:vAlign w:val="bottom"/>
          </w:tcPr>
          <w:p>
            <w:pPr>
              <w:spacing w:after="0"/>
              <w:rPr>
                <w:sz w:val="12"/>
                <w:szCs w:val="12"/>
                <w:color w:val="auto"/>
              </w:rPr>
            </w:pPr>
          </w:p>
        </w:tc>
        <w:tc>
          <w:tcPr>
            <w:tcW w:w="90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securities,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directly</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indirectly</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through</w:t>
            </w:r>
          </w:p>
        </w:tc>
        <w:tc>
          <w:tcPr>
            <w:tcW w:w="300" w:type="dxa"/>
            <w:vAlign w:val="bottom"/>
          </w:tcPr>
          <w:p>
            <w:pPr>
              <w:ind w:left="140"/>
              <w:spacing w:after="0"/>
              <w:rPr>
                <w:sz w:val="20"/>
                <w:szCs w:val="20"/>
                <w:color w:val="auto"/>
              </w:rPr>
            </w:pPr>
            <w:r>
              <w:rPr>
                <w:rFonts w:ascii="Courier New" w:cs="Courier New" w:eastAsia="Courier New" w:hAnsi="Courier New"/>
                <w:sz w:val="12"/>
                <w:szCs w:val="12"/>
                <w:color w:val="auto"/>
              </w:rPr>
              <w:t>a</w:t>
            </w:r>
          </w:p>
        </w:tc>
        <w:tc>
          <w:tcPr>
            <w:tcW w:w="220" w:type="dxa"/>
            <w:vAlign w:val="bottom"/>
          </w:tcPr>
          <w:p>
            <w:pPr>
              <w:spacing w:after="0"/>
              <w:rPr>
                <w:sz w:val="12"/>
                <w:szCs w:val="12"/>
                <w:color w:val="auto"/>
              </w:rPr>
            </w:pPr>
          </w:p>
        </w:tc>
        <w:tc>
          <w:tcPr>
            <w:tcW w:w="800" w:type="dxa"/>
            <w:vAlign w:val="bottom"/>
            <w:gridSpan w:val="4"/>
          </w:tcPr>
          <w:p>
            <w:pPr>
              <w:spacing w:after="0"/>
              <w:rPr>
                <w:sz w:val="20"/>
                <w:szCs w:val="20"/>
                <w:color w:val="auto"/>
              </w:rPr>
            </w:pPr>
            <w:r>
              <w:rPr>
                <w:rFonts w:ascii="Courier New" w:cs="Courier New" w:eastAsia="Courier New" w:hAnsi="Courier New"/>
                <w:sz w:val="12"/>
                <w:szCs w:val="12"/>
                <w:color w:val="auto"/>
              </w:rPr>
              <w:t>Subsidiary</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otherwise;</w:t>
            </w:r>
          </w:p>
        </w:tc>
        <w:tc>
          <w:tcPr>
            <w:tcW w:w="60" w:type="dxa"/>
            <w:vAlign w:val="bottom"/>
          </w:tcPr>
          <w:p>
            <w:pPr>
              <w:spacing w:after="0"/>
              <w:rPr>
                <w:sz w:val="12"/>
                <w:szCs w:val="12"/>
                <w:color w:val="auto"/>
              </w:rPr>
            </w:pPr>
          </w:p>
        </w:tc>
        <w:tc>
          <w:tcPr>
            <w:tcW w:w="4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the</w:t>
            </w:r>
          </w:p>
        </w:tc>
        <w:tc>
          <w:tcPr>
            <w:tcW w:w="1240" w:type="dxa"/>
            <w:vAlign w:val="bottom"/>
            <w:gridSpan w:val="6"/>
          </w:tcPr>
          <w:p>
            <w:pPr>
              <w:spacing w:after="0"/>
              <w:rPr>
                <w:sz w:val="20"/>
                <w:szCs w:val="20"/>
                <w:color w:val="auto"/>
              </w:rPr>
            </w:pPr>
            <w:r>
              <w:rPr>
                <w:rFonts w:ascii="Courier New" w:cs="Courier New" w:eastAsia="Courier New" w:hAnsi="Courier New"/>
                <w:sz w:val="12"/>
                <w:szCs w:val="12"/>
                <w:color w:val="auto"/>
              </w:rPr>
              <w:t>return of equity</w:t>
            </w:r>
          </w:p>
        </w:tc>
        <w:tc>
          <w:tcPr>
            <w:tcW w:w="8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capital by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any</w:t>
            </w: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person</w:t>
            </w:r>
          </w:p>
        </w:tc>
        <w:tc>
          <w:tcPr>
            <w:tcW w:w="46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to</w:t>
            </w: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rPr>
              <w:t>its</w:t>
            </w:r>
          </w:p>
        </w:tc>
        <w:tc>
          <w:tcPr>
            <w:tcW w:w="1100" w:type="dxa"/>
            <w:vAlign w:val="bottom"/>
            <w:gridSpan w:val="5"/>
          </w:tcPr>
          <w:p>
            <w:pPr>
              <w:spacing w:after="0"/>
              <w:rPr>
                <w:sz w:val="20"/>
                <w:szCs w:val="20"/>
                <w:color w:val="auto"/>
              </w:rPr>
            </w:pPr>
            <w:r>
              <w:rPr>
                <w:rFonts w:ascii="Courier New" w:cs="Courier New" w:eastAsia="Courier New" w:hAnsi="Courier New"/>
                <w:sz w:val="12"/>
                <w:szCs w:val="12"/>
                <w:color w:val="auto"/>
              </w:rPr>
              <w:t>shareholders;</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other</w:t>
            </w:r>
          </w:p>
        </w:tc>
        <w:tc>
          <w:tcPr>
            <w:tcW w:w="2960" w:type="dxa"/>
            <w:vAlign w:val="bottom"/>
            <w:gridSpan w:val="14"/>
          </w:tcPr>
          <w:p>
            <w:pPr>
              <w:ind w:left="160"/>
              <w:spacing w:after="0"/>
              <w:rPr>
                <w:sz w:val="20"/>
                <w:szCs w:val="20"/>
                <w:color w:val="auto"/>
              </w:rPr>
            </w:pPr>
            <w:r>
              <w:rPr>
                <w:rFonts w:ascii="Courier New" w:cs="Courier New" w:eastAsia="Courier New" w:hAnsi="Courier New"/>
                <w:sz w:val="12"/>
                <w:szCs w:val="12"/>
                <w:color w:val="auto"/>
              </w:rPr>
              <w:t>distribution  (within  the  meaning 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such</w:t>
            </w: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term as</w:t>
            </w:r>
          </w:p>
        </w:tc>
        <w:tc>
          <w:tcPr>
            <w:tcW w:w="60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defined</w:t>
            </w:r>
          </w:p>
        </w:tc>
        <w:tc>
          <w:tcPr>
            <w:tcW w:w="300" w:type="dxa"/>
            <w:vAlign w:val="bottom"/>
          </w:tcPr>
          <w:p>
            <w:pPr>
              <w:ind w:left="140"/>
              <w:spacing w:after="0"/>
              <w:rPr>
                <w:sz w:val="20"/>
                <w:szCs w:val="20"/>
                <w:color w:val="auto"/>
              </w:rPr>
            </w:pPr>
            <w:r>
              <w:rPr>
                <w:rFonts w:ascii="Courier New" w:cs="Courier New" w:eastAsia="Courier New" w:hAnsi="Courier New"/>
                <w:sz w:val="12"/>
                <w:szCs w:val="12"/>
                <w:color w:val="auto"/>
                <w:w w:val="96"/>
              </w:rPr>
              <w:t>in</w:t>
            </w:r>
          </w:p>
        </w:tc>
        <w:tc>
          <w:tcPr>
            <w:tcW w:w="80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8"/>
              </w:rPr>
              <w:t>Section 1</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of 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Companies</w:t>
            </w:r>
          </w:p>
        </w:tc>
        <w:tc>
          <w:tcPr>
            <w:tcW w:w="60" w:type="dxa"/>
            <w:vAlign w:val="bottom"/>
          </w:tcPr>
          <w:p>
            <w:pPr>
              <w:spacing w:after="0"/>
              <w:rPr>
                <w:sz w:val="12"/>
                <w:szCs w:val="12"/>
                <w:color w:val="auto"/>
              </w:rPr>
            </w:pPr>
          </w:p>
        </w:tc>
        <w:tc>
          <w:tcPr>
            <w:tcW w:w="460" w:type="dxa"/>
            <w:vAlign w:val="bottom"/>
            <w:gridSpan w:val="2"/>
          </w:tcPr>
          <w:p>
            <w:pPr>
              <w:spacing w:after="0"/>
              <w:rPr>
                <w:sz w:val="20"/>
                <w:szCs w:val="20"/>
                <w:color w:val="auto"/>
              </w:rPr>
            </w:pPr>
            <w:r>
              <w:rPr>
                <w:rFonts w:ascii="Courier New" w:cs="Courier New" w:eastAsia="Courier New" w:hAnsi="Courier New"/>
                <w:sz w:val="12"/>
                <w:szCs w:val="12"/>
                <w:color w:val="auto"/>
              </w:rPr>
              <w:t>Law,</w:t>
            </w: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w w:val="94"/>
              </w:rPr>
              <w:t>1999)</w:t>
            </w:r>
          </w:p>
        </w:tc>
        <w:tc>
          <w:tcPr>
            <w:tcW w:w="88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on or in</w:t>
            </w: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w w:val="99"/>
              </w:rPr>
              <w:t>respect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any</w:t>
            </w: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shares</w:t>
            </w:r>
          </w:p>
        </w:tc>
        <w:tc>
          <w:tcPr>
            <w:tcW w:w="1340" w:type="dxa"/>
            <w:vAlign w:val="bottom"/>
            <w:gridSpan w:val="6"/>
          </w:tcPr>
          <w:p>
            <w:pPr>
              <w:ind w:left="160"/>
              <w:spacing w:after="0"/>
              <w:rPr>
                <w:sz w:val="20"/>
                <w:szCs w:val="20"/>
                <w:color w:val="auto"/>
              </w:rPr>
            </w:pPr>
            <w:r>
              <w:rPr>
                <w:rFonts w:ascii="Courier New" w:cs="Courier New" w:eastAsia="Courier New" w:hAnsi="Courier New"/>
                <w:sz w:val="12"/>
                <w:szCs w:val="12"/>
                <w:color w:val="auto"/>
              </w:rPr>
              <w:t>of any class of</w:t>
            </w:r>
          </w:p>
        </w:tc>
        <w:tc>
          <w:tcPr>
            <w:tcW w:w="580" w:type="dxa"/>
            <w:vAlign w:val="bottom"/>
            <w:gridSpan w:val="3"/>
          </w:tcPr>
          <w:p>
            <w:pPr>
              <w:ind w:left="60"/>
              <w:spacing w:after="0"/>
              <w:rPr>
                <w:sz w:val="20"/>
                <w:szCs w:val="20"/>
                <w:color w:val="auto"/>
              </w:rPr>
            </w:pPr>
            <w:r>
              <w:rPr>
                <w:rFonts w:ascii="Courier New" w:cs="Courier New" w:eastAsia="Courier New" w:hAnsi="Courier New"/>
                <w:sz w:val="12"/>
                <w:szCs w:val="12"/>
                <w:color w:val="auto"/>
                <w:w w:val="99"/>
              </w:rPr>
              <w:t>capital</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stock;</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or</w:t>
            </w:r>
          </w:p>
        </w:tc>
        <w:tc>
          <w:tcPr>
            <w:tcW w:w="380" w:type="dxa"/>
            <w:vAlign w:val="bottom"/>
          </w:tcPr>
          <w:p>
            <w:pPr>
              <w:spacing w:after="0"/>
              <w:rPr>
                <w:sz w:val="20"/>
                <w:szCs w:val="20"/>
                <w:color w:val="auto"/>
              </w:rPr>
            </w:pPr>
            <w:r>
              <w:rPr>
                <w:rFonts w:ascii="Courier New" w:cs="Courier New" w:eastAsia="Courier New" w:hAnsi="Courier New"/>
                <w:sz w:val="12"/>
                <w:szCs w:val="12"/>
                <w:color w:val="auto"/>
              </w:rPr>
              <w:t>any</w:t>
            </w:r>
          </w:p>
        </w:tc>
        <w:tc>
          <w:tcPr>
            <w:tcW w:w="60" w:type="dxa"/>
            <w:vAlign w:val="bottom"/>
          </w:tcPr>
          <w:p>
            <w:pPr>
              <w:spacing w:after="0"/>
              <w:rPr>
                <w:sz w:val="12"/>
                <w:szCs w:val="12"/>
                <w:color w:val="auto"/>
              </w:rPr>
            </w:pP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undertaking</w:t>
            </w:r>
          </w:p>
        </w:tc>
        <w:tc>
          <w:tcPr>
            <w:tcW w:w="5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to</w:t>
            </w:r>
          </w:p>
        </w:tc>
        <w:tc>
          <w:tcPr>
            <w:tcW w:w="140" w:type="dxa"/>
            <w:vAlign w:val="bottom"/>
          </w:tcPr>
          <w:p>
            <w:pPr>
              <w:spacing w:after="0"/>
              <w:rPr>
                <w:sz w:val="20"/>
                <w:szCs w:val="20"/>
                <w:color w:val="auto"/>
              </w:rPr>
            </w:pPr>
            <w:r>
              <w:rPr>
                <w:rFonts w:ascii="Courier New" w:cs="Courier New" w:eastAsia="Courier New" w:hAnsi="Courier New"/>
                <w:sz w:val="12"/>
                <w:szCs w:val="12"/>
                <w:color w:val="auto"/>
                <w:w w:val="82"/>
              </w:rPr>
              <w:t>do</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any</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aforegoing;</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1.1.41.</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1.1.42.</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1.1.43.</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"EBITDA"</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(1)</w:t>
            </w:r>
          </w:p>
        </w:tc>
        <w:tc>
          <w:tcPr>
            <w:tcW w:w="380" w:type="dxa"/>
            <w:vAlign w:val="bottom"/>
          </w:tcPr>
          <w:p>
            <w:pPr>
              <w:ind w:left="160"/>
              <w:spacing w:after="0"/>
              <w:rPr>
                <w:sz w:val="20"/>
                <w:szCs w:val="20"/>
                <w:color w:val="auto"/>
              </w:rPr>
            </w:pPr>
            <w:r>
              <w:rPr>
                <w:rFonts w:ascii="Courier New" w:cs="Courier New" w:eastAsia="Courier New" w:hAnsi="Courier New"/>
                <w:sz w:val="12"/>
                <w:szCs w:val="12"/>
                <w:color w:val="auto"/>
                <w:w w:val="92"/>
              </w:rPr>
              <w:t>for</w:t>
            </w:r>
          </w:p>
        </w:tc>
        <w:tc>
          <w:tcPr>
            <w:tcW w:w="6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any</w:t>
            </w:r>
          </w:p>
        </w:tc>
        <w:tc>
          <w:tcPr>
            <w:tcW w:w="14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12"/>
                <w:szCs w:val="12"/>
                <w:color w:val="auto"/>
                <w:w w:val="99"/>
              </w:rPr>
              <w:t>Quarter</w:t>
            </w:r>
          </w:p>
        </w:tc>
        <w:tc>
          <w:tcPr>
            <w:tcW w:w="22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w w:val="94"/>
              </w:rPr>
              <w:t>(save</w:t>
            </w:r>
          </w:p>
        </w:tc>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for</w:t>
            </w: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40" w:type="dxa"/>
            <w:vAlign w:val="bottom"/>
            <w:gridSpan w:val="10"/>
          </w:tcPr>
          <w:p>
            <w:pPr>
              <w:ind w:left="160"/>
              <w:spacing w:after="0"/>
              <w:rPr>
                <w:sz w:val="20"/>
                <w:szCs w:val="20"/>
                <w:color w:val="auto"/>
              </w:rPr>
            </w:pPr>
            <w:r>
              <w:rPr>
                <w:rFonts w:ascii="Courier New" w:cs="Courier New" w:eastAsia="Courier New" w:hAnsi="Courier New"/>
                <w:sz w:val="12"/>
                <w:szCs w:val="12"/>
                <w:color w:val="auto"/>
              </w:rPr>
              <w:t>purposes of clause 16.29.5</w:t>
            </w:r>
          </w:p>
        </w:tc>
        <w:tc>
          <w:tcPr>
            <w:tcW w:w="8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below) 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80" w:type="dxa"/>
            <w:vAlign w:val="bottom"/>
            <w:gridSpan w:val="8"/>
          </w:tcPr>
          <w:p>
            <w:pPr>
              <w:ind w:left="160"/>
              <w:spacing w:after="0"/>
              <w:rPr>
                <w:sz w:val="20"/>
                <w:szCs w:val="20"/>
                <w:color w:val="auto"/>
              </w:rPr>
            </w:pPr>
            <w:r>
              <w:rPr>
                <w:rFonts w:ascii="Courier New" w:cs="Courier New" w:eastAsia="Courier New" w:hAnsi="Courier New"/>
                <w:sz w:val="12"/>
                <w:szCs w:val="12"/>
                <w:color w:val="auto"/>
              </w:rPr>
              <w:t>for any Fiscal Year,</w:t>
            </w:r>
          </w:p>
        </w:tc>
        <w:tc>
          <w:tcPr>
            <w:tcW w:w="1180" w:type="dxa"/>
            <w:vAlign w:val="bottom"/>
            <w:gridSpan w:val="6"/>
          </w:tcPr>
          <w:p>
            <w:pPr>
              <w:spacing w:after="0"/>
              <w:rPr>
                <w:sz w:val="20"/>
                <w:szCs w:val="20"/>
                <w:color w:val="auto"/>
              </w:rPr>
            </w:pPr>
            <w:r>
              <w:rPr>
                <w:rFonts w:ascii="Courier New" w:cs="Courier New" w:eastAsia="Courier New" w:hAnsi="Courier New"/>
                <w:sz w:val="12"/>
                <w:szCs w:val="12"/>
                <w:color w:val="auto"/>
              </w:rPr>
              <w:t>the following 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60" w:type="dxa"/>
            <w:vAlign w:val="bottom"/>
            <w:gridSpan w:val="14"/>
          </w:tcPr>
          <w:p>
            <w:pPr>
              <w:ind w:left="160"/>
              <w:spacing w:after="0"/>
              <w:rPr>
                <w:sz w:val="20"/>
                <w:szCs w:val="20"/>
                <w:color w:val="auto"/>
              </w:rPr>
            </w:pPr>
            <w:r>
              <w:rPr>
                <w:rFonts w:ascii="Courier New" w:cs="Courier New" w:eastAsia="Courier New" w:hAnsi="Courier New"/>
                <w:sz w:val="12"/>
                <w:szCs w:val="12"/>
                <w:color w:val="auto"/>
              </w:rPr>
              <w:t>respect  of  the  period  of 4  (four)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consecutive</w:t>
            </w: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Quarters</w:t>
            </w:r>
          </w:p>
        </w:tc>
        <w:tc>
          <w:tcPr>
            <w:tcW w:w="58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ending</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on</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gridSpan w:val="2"/>
          </w:tcPr>
          <w:p>
            <w:pPr>
              <w:ind w:left="160"/>
              <w:spacing w:after="0"/>
              <w:rPr>
                <w:sz w:val="20"/>
                <w:szCs w:val="20"/>
                <w:color w:val="auto"/>
              </w:rPr>
            </w:pPr>
            <w:r>
              <w:rPr>
                <w:rFonts w:ascii="Courier New" w:cs="Courier New" w:eastAsia="Courier New" w:hAnsi="Courier New"/>
                <w:sz w:val="12"/>
                <w:szCs w:val="12"/>
                <w:color w:val="auto"/>
                <w:w w:val="90"/>
              </w:rPr>
              <w:t>last</w:t>
            </w:r>
          </w:p>
        </w:tc>
        <w:tc>
          <w:tcPr>
            <w:tcW w:w="112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day of such</w:t>
            </w: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rPr>
              <w:t>Quarter</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w w:val="82"/>
              </w:rPr>
              <w:t>or</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Fiscal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80" w:type="dxa"/>
            <w:vAlign w:val="bottom"/>
            <w:gridSpan w:val="12"/>
          </w:tcPr>
          <w:p>
            <w:pPr>
              <w:ind w:left="160"/>
              <w:spacing w:after="0"/>
              <w:rPr>
                <w:sz w:val="20"/>
                <w:szCs w:val="20"/>
                <w:color w:val="auto"/>
              </w:rPr>
            </w:pPr>
            <w:r>
              <w:rPr>
                <w:rFonts w:ascii="Courier New" w:cs="Courier New" w:eastAsia="Courier New" w:hAnsi="Courier New"/>
                <w:sz w:val="12"/>
                <w:szCs w:val="12"/>
                <w:color w:val="auto"/>
              </w:rPr>
              <w:t>Year ("THE FOUR-QUARTER PERIOD"):</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ind w:left="160"/>
              <w:spacing w:after="0"/>
              <w:rPr>
                <w:sz w:val="20"/>
                <w:szCs w:val="20"/>
                <w:color w:val="auto"/>
              </w:rPr>
            </w:pPr>
            <w:r>
              <w:rPr>
                <w:rFonts w:ascii="Courier New" w:cs="Courier New" w:eastAsia="Courier New" w:hAnsi="Courier New"/>
                <w:sz w:val="12"/>
                <w:szCs w:val="12"/>
                <w:color w:val="auto"/>
                <w:w w:val="92"/>
              </w:rPr>
              <w:t>(a)</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Courier New" w:cs="Courier New" w:eastAsia="Courier New" w:hAnsi="Courier New"/>
                <w:sz w:val="12"/>
                <w:szCs w:val="12"/>
                <w:color w:val="auto"/>
              </w:rPr>
              <w:t>the</w:t>
            </w:r>
          </w:p>
        </w:tc>
        <w:tc>
          <w:tcPr>
            <w:tcW w:w="1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Courier New" w:cs="Courier New" w:eastAsia="Courier New" w:hAnsi="Courier New"/>
                <w:sz w:val="12"/>
                <w:szCs w:val="12"/>
                <w:color w:val="auto"/>
                <w:w w:val="99"/>
              </w:rPr>
              <w:t>sum of the</w:t>
            </w:r>
          </w:p>
        </w:tc>
        <w:tc>
          <w:tcPr>
            <w:tcW w:w="140" w:type="dxa"/>
            <w:vAlign w:val="bottom"/>
          </w:tcPr>
          <w:p>
            <w:pPr>
              <w:spacing w:after="0"/>
              <w:rPr>
                <w:sz w:val="24"/>
                <w:szCs w:val="24"/>
                <w:color w:val="auto"/>
              </w:rPr>
            </w:pP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w w:val="99"/>
              </w:rPr>
              <w:t>following,</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11"/>
          </w:tcPr>
          <w:p>
            <w:pPr>
              <w:spacing w:after="0"/>
              <w:rPr>
                <w:sz w:val="20"/>
                <w:szCs w:val="20"/>
                <w:color w:val="auto"/>
              </w:rPr>
            </w:pPr>
            <w:r>
              <w:rPr>
                <w:rFonts w:ascii="Courier New" w:cs="Courier New" w:eastAsia="Courier New" w:hAnsi="Courier New"/>
                <w:sz w:val="12"/>
                <w:szCs w:val="12"/>
                <w:color w:val="auto"/>
              </w:rPr>
              <w:t>respect  of  such  Four-Quarter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Period: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25"/>
        </w:trPr>
        <w:tc>
          <w:tcPr>
            <w:tcW w:w="1020" w:type="dxa"/>
            <w:vAlign w:val="bottom"/>
          </w:tcPr>
          <w:p>
            <w:pPr>
              <w:spacing w:after="0"/>
              <w:rPr>
                <w:sz w:val="24"/>
                <w:szCs w:val="24"/>
                <w:color w:val="auto"/>
              </w:rPr>
            </w:pPr>
          </w:p>
        </w:tc>
        <w:tc>
          <w:tcPr>
            <w:tcW w:w="2660" w:type="dxa"/>
            <w:vAlign w:val="bottom"/>
          </w:tcPr>
          <w:p>
            <w:pPr>
              <w:ind w:left="1700"/>
              <w:spacing w:after="0"/>
              <w:rPr>
                <w:sz w:val="20"/>
                <w:szCs w:val="20"/>
                <w:color w:val="auto"/>
              </w:rPr>
            </w:pPr>
            <w:r>
              <w:rPr>
                <w:rFonts w:ascii="Courier New" w:cs="Courier New" w:eastAsia="Courier New" w:hAnsi="Courier New"/>
                <w:sz w:val="12"/>
                <w:szCs w:val="12"/>
                <w:color w:val="auto"/>
              </w:rPr>
              <w:t>- 18 -</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Courier New" w:cs="Courier New" w:eastAsia="Courier New" w:hAnsi="Courier New"/>
                <w:sz w:val="12"/>
                <w:szCs w:val="12"/>
                <w:color w:val="auto"/>
              </w:rPr>
              <w:t>(i)</w:t>
            </w:r>
          </w:p>
        </w:tc>
        <w:tc>
          <w:tcPr>
            <w:tcW w:w="140" w:type="dxa"/>
            <w:vAlign w:val="bottom"/>
          </w:tcPr>
          <w:p>
            <w:pPr>
              <w:spacing w:after="0"/>
              <w:rPr>
                <w:sz w:val="24"/>
                <w:szCs w:val="24"/>
                <w:color w:val="auto"/>
              </w:rPr>
            </w:pPr>
          </w:p>
        </w:tc>
        <w:tc>
          <w:tcPr>
            <w:tcW w:w="110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the operating</w:t>
            </w:r>
          </w:p>
        </w:tc>
        <w:tc>
          <w:tcPr>
            <w:tcW w:w="8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profit 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the</w:t>
            </w:r>
          </w:p>
        </w:tc>
        <w:tc>
          <w:tcPr>
            <w:tcW w:w="80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8"/>
              </w:rPr>
              <w:t>Borrower,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plus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Employee</w:t>
            </w:r>
          </w:p>
        </w:tc>
        <w:tc>
          <w:tcPr>
            <w:tcW w:w="140" w:type="dxa"/>
            <w:vAlign w:val="bottom"/>
          </w:tcPr>
          <w:p>
            <w:pPr>
              <w:spacing w:after="0"/>
              <w:rPr>
                <w:sz w:val="12"/>
                <w:szCs w:val="12"/>
                <w:color w:val="auto"/>
              </w:rPr>
            </w:pP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and</w:t>
            </w:r>
          </w:p>
        </w:tc>
        <w:tc>
          <w:tcPr>
            <w:tcW w:w="22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Other</w:t>
            </w:r>
          </w:p>
        </w:tc>
      </w:tr>
    </w:tbl>
    <w:p>
      <w:pPr>
        <w:sectPr>
          <w:pgSz w:w="11900" w:h="16846" w:orient="portrait"/>
          <w:cols w:equalWidth="0" w:num="1">
            <w:col w:w="10239"/>
          </w:cols>
          <w:pgMar w:left="220" w:top="141" w:right="1440" w:bottom="0" w:gutter="0" w:footer="0" w:header="0"/>
        </w:sectPr>
      </w:pPr>
    </w:p>
    <w:bookmarkStart w:id="81" w:name="page82"/>
    <w:bookmarkEnd w:id="81"/>
    <w:p>
      <w:pPr>
        <w:spacing w:after="0" w:line="26" w:lineRule="exact"/>
        <w:rPr>
          <w:sz w:val="20"/>
          <w:szCs w:val="20"/>
          <w:color w:val="auto"/>
        </w:rPr>
      </w:pPr>
    </w:p>
    <w:p>
      <w:pPr>
        <w:jc w:val="both"/>
        <w:ind w:left="5880"/>
        <w:spacing w:after="0"/>
        <w:tabs>
          <w:tab w:leader="none" w:pos="7200" w:val="left"/>
        </w:tabs>
        <w:rPr>
          <w:sz w:val="20"/>
          <w:szCs w:val="20"/>
          <w:color w:val="auto"/>
        </w:rPr>
      </w:pPr>
      <w:r>
        <w:rPr>
          <w:rFonts w:ascii="Courier New" w:cs="Courier New" w:eastAsia="Courier New" w:hAnsi="Courier New"/>
          <w:sz w:val="12"/>
          <w:szCs w:val="12"/>
          <w:color w:val="auto"/>
        </w:rPr>
        <w:t>Option</w:t>
      </w:r>
      <w:r>
        <w:rPr>
          <w:sz w:val="20"/>
          <w:szCs w:val="20"/>
          <w:color w:val="auto"/>
        </w:rPr>
        <w:tab/>
      </w:r>
      <w:r>
        <w:rPr>
          <w:rFonts w:ascii="Courier New" w:cs="Courier New" w:eastAsia="Courier New" w:hAnsi="Courier New"/>
          <w:sz w:val="12"/>
          <w:szCs w:val="12"/>
          <w:color w:val="auto"/>
        </w:rPr>
        <w:t>Costs.</w:t>
      </w:r>
    </w:p>
    <w:p>
      <w:pPr>
        <w:spacing w:after="0" w:line="6" w:lineRule="exact"/>
        <w:rPr>
          <w:sz w:val="20"/>
          <w:szCs w:val="20"/>
          <w:color w:val="auto"/>
        </w:rPr>
      </w:pPr>
    </w:p>
    <w:p>
      <w:pPr>
        <w:jc w:val="both"/>
        <w:ind w:left="5880"/>
        <w:spacing w:after="0"/>
        <w:tabs>
          <w:tab w:leader="none" w:pos="6820" w:val="left"/>
          <w:tab w:leader="none" w:pos="7260" w:val="left"/>
        </w:tabs>
        <w:rPr>
          <w:sz w:val="20"/>
          <w:szCs w:val="20"/>
          <w:color w:val="auto"/>
        </w:rPr>
      </w:pPr>
      <w:r>
        <w:rPr>
          <w:rFonts w:ascii="Courier New" w:cs="Courier New" w:eastAsia="Courier New" w:hAnsi="Courier New"/>
          <w:sz w:val="12"/>
          <w:szCs w:val="12"/>
          <w:color w:val="auto"/>
        </w:rPr>
        <w:t>"EMPLOYEE</w:t>
      </w:r>
      <w:r>
        <w:rPr>
          <w:sz w:val="20"/>
          <w:szCs w:val="20"/>
          <w:color w:val="auto"/>
        </w:rPr>
        <w:tab/>
      </w:r>
      <w:r>
        <w:rPr>
          <w:rFonts w:ascii="Courier New" w:cs="Courier New" w:eastAsia="Courier New" w:hAnsi="Courier New"/>
          <w:sz w:val="12"/>
          <w:szCs w:val="12"/>
          <w:color w:val="auto"/>
        </w:rPr>
        <w:t>AND</w:t>
        <w:tab/>
        <w:t>OTHER</w:t>
      </w:r>
    </w:p>
    <w:p>
      <w:pPr>
        <w:spacing w:after="0" w:line="6" w:lineRule="exact"/>
        <w:rPr>
          <w:sz w:val="20"/>
          <w:szCs w:val="20"/>
          <w:color w:val="auto"/>
        </w:rPr>
      </w:pPr>
    </w:p>
    <w:p>
      <w:pPr>
        <w:ind w:left="5880"/>
        <w:spacing w:after="0"/>
        <w:tabs>
          <w:tab w:leader="none" w:pos="6600" w:val="left"/>
          <w:tab w:leader="none" w:pos="7260" w:val="left"/>
        </w:tabs>
        <w:rPr>
          <w:sz w:val="20"/>
          <w:szCs w:val="20"/>
          <w:color w:val="auto"/>
        </w:rPr>
      </w:pPr>
      <w:r>
        <w:rPr>
          <w:rFonts w:ascii="Courier New" w:cs="Courier New" w:eastAsia="Courier New" w:hAnsi="Courier New"/>
          <w:sz w:val="12"/>
          <w:szCs w:val="12"/>
          <w:color w:val="auto"/>
        </w:rPr>
        <w:t>OPTION</w:t>
      </w:r>
      <w:r>
        <w:rPr>
          <w:sz w:val="20"/>
          <w:szCs w:val="20"/>
          <w:color w:val="auto"/>
        </w:rPr>
        <w:tab/>
      </w:r>
      <w:r>
        <w:rPr>
          <w:rFonts w:ascii="Courier New" w:cs="Courier New" w:eastAsia="Courier New" w:hAnsi="Courier New"/>
          <w:sz w:val="12"/>
          <w:szCs w:val="12"/>
          <w:color w:val="auto"/>
        </w:rPr>
        <w:t>COSTS"</w:t>
        <w:tab/>
        <w:t>shall</w:t>
      </w:r>
    </w:p>
    <w:p>
      <w:pPr>
        <w:spacing w:after="0" w:line="6" w:lineRule="exact"/>
        <w:rPr>
          <w:sz w:val="20"/>
          <w:szCs w:val="20"/>
          <w:color w:val="auto"/>
        </w:rPr>
      </w:pPr>
    </w:p>
    <w:p>
      <w:pPr>
        <w:ind w:left="5880"/>
        <w:spacing w:after="0"/>
        <w:tabs>
          <w:tab w:leader="none" w:pos="7040" w:val="left"/>
        </w:tabs>
        <w:rPr>
          <w:sz w:val="20"/>
          <w:szCs w:val="20"/>
          <w:color w:val="auto"/>
        </w:rPr>
      </w:pPr>
      <w:r>
        <w:rPr>
          <w:rFonts w:ascii="Courier New" w:cs="Courier New" w:eastAsia="Courier New" w:hAnsi="Courier New"/>
          <w:sz w:val="12"/>
          <w:szCs w:val="12"/>
          <w:color w:val="auto"/>
        </w:rPr>
        <w:t>mean costs and</w:t>
        <w:tab/>
        <w:t>expenses</w:t>
      </w:r>
    </w:p>
    <w:p>
      <w:pPr>
        <w:spacing w:after="0" w:line="6" w:lineRule="exact"/>
        <w:rPr>
          <w:sz w:val="20"/>
          <w:szCs w:val="20"/>
          <w:color w:val="auto"/>
        </w:rPr>
      </w:pPr>
    </w:p>
    <w:p>
      <w:pPr>
        <w:jc w:val="both"/>
        <w:ind w:left="5880"/>
        <w:spacing w:after="0"/>
        <w:tabs>
          <w:tab w:leader="none" w:pos="6680" w:val="left"/>
          <w:tab w:leader="none" w:pos="7480" w:val="left"/>
        </w:tabs>
        <w:rPr>
          <w:sz w:val="20"/>
          <w:szCs w:val="20"/>
          <w:color w:val="auto"/>
        </w:rPr>
      </w:pPr>
      <w:r>
        <w:rPr>
          <w:rFonts w:ascii="Courier New" w:cs="Courier New" w:eastAsia="Courier New" w:hAnsi="Courier New"/>
          <w:sz w:val="12"/>
          <w:szCs w:val="12"/>
          <w:color w:val="auto"/>
        </w:rPr>
        <w:t>already</w:t>
      </w:r>
      <w:r>
        <w:rPr>
          <w:sz w:val="20"/>
          <w:szCs w:val="20"/>
          <w:color w:val="auto"/>
        </w:rPr>
        <w:tab/>
      </w:r>
      <w:r>
        <w:rPr>
          <w:rFonts w:ascii="Courier New" w:cs="Courier New" w:eastAsia="Courier New" w:hAnsi="Courier New"/>
          <w:sz w:val="12"/>
          <w:szCs w:val="12"/>
          <w:color w:val="auto"/>
        </w:rPr>
        <w:t>deducted</w:t>
        <w:tab/>
        <w:t>in</w:t>
      </w:r>
    </w:p>
    <w:p>
      <w:pPr>
        <w:spacing w:after="0" w:line="6" w:lineRule="exact"/>
        <w:rPr>
          <w:sz w:val="20"/>
          <w:szCs w:val="20"/>
          <w:color w:val="auto"/>
        </w:rPr>
      </w:pPr>
    </w:p>
    <w:p>
      <w:pPr>
        <w:ind w:left="5880"/>
        <w:spacing w:after="0"/>
        <w:tabs>
          <w:tab w:leader="none" w:pos="6960" w:val="left"/>
        </w:tabs>
        <w:rPr>
          <w:sz w:val="20"/>
          <w:szCs w:val="20"/>
          <w:color w:val="auto"/>
        </w:rPr>
      </w:pPr>
      <w:r>
        <w:rPr>
          <w:rFonts w:ascii="Courier New" w:cs="Courier New" w:eastAsia="Courier New" w:hAnsi="Courier New"/>
          <w:sz w:val="12"/>
          <w:szCs w:val="12"/>
          <w:color w:val="auto"/>
        </w:rPr>
        <w:t>determining</w:t>
      </w:r>
      <w:r>
        <w:rPr>
          <w:sz w:val="20"/>
          <w:szCs w:val="20"/>
          <w:color w:val="auto"/>
        </w:rPr>
        <w:tab/>
      </w:r>
      <w:r>
        <w:rPr>
          <w:rFonts w:ascii="Courier New" w:cs="Courier New" w:eastAsia="Courier New" w:hAnsi="Courier New"/>
          <w:sz w:val="12"/>
          <w:szCs w:val="12"/>
          <w:color w:val="auto"/>
        </w:rPr>
        <w:t>operating</w:t>
      </w:r>
    </w:p>
    <w:p>
      <w:pPr>
        <w:spacing w:after="0" w:line="6" w:lineRule="exact"/>
        <w:rPr>
          <w:sz w:val="20"/>
          <w:szCs w:val="20"/>
          <w:color w:val="auto"/>
        </w:rPr>
      </w:pPr>
    </w:p>
    <w:p>
      <w:pPr>
        <w:ind w:left="5880"/>
        <w:spacing w:after="0"/>
        <w:tabs>
          <w:tab w:leader="none" w:pos="6520" w:val="left"/>
          <w:tab w:leader="none" w:pos="6900" w:val="left"/>
        </w:tabs>
        <w:rPr>
          <w:sz w:val="20"/>
          <w:szCs w:val="20"/>
          <w:color w:val="auto"/>
        </w:rPr>
      </w:pPr>
      <w:r>
        <w:rPr>
          <w:rFonts w:ascii="Courier New" w:cs="Courier New" w:eastAsia="Courier New" w:hAnsi="Courier New"/>
          <w:sz w:val="12"/>
          <w:szCs w:val="12"/>
          <w:color w:val="auto"/>
        </w:rPr>
        <w:t>profit,</w:t>
        <w:tab/>
        <w:t>(as</w:t>
        <w:tab/>
        <w:t>determined</w:t>
      </w:r>
    </w:p>
    <w:p>
      <w:pPr>
        <w:spacing w:after="0" w:line="6" w:lineRule="exact"/>
        <w:rPr>
          <w:sz w:val="20"/>
          <w:szCs w:val="20"/>
          <w:color w:val="auto"/>
        </w:rPr>
      </w:pPr>
    </w:p>
    <w:p>
      <w:pPr>
        <w:ind w:left="5880"/>
        <w:spacing w:after="0"/>
        <w:tabs>
          <w:tab w:leader="none" w:pos="6300" w:val="left"/>
          <w:tab w:leader="none" w:pos="7340" w:val="left"/>
        </w:tabs>
        <w:rPr>
          <w:sz w:val="20"/>
          <w:szCs w:val="20"/>
          <w:color w:val="auto"/>
        </w:rPr>
      </w:pPr>
      <w:r>
        <w:rPr>
          <w:rFonts w:ascii="Courier New" w:cs="Courier New" w:eastAsia="Courier New" w:hAnsi="Courier New"/>
          <w:sz w:val="12"/>
          <w:szCs w:val="12"/>
          <w:color w:val="auto"/>
        </w:rPr>
        <w:t>in</w:t>
      </w:r>
      <w:r>
        <w:rPr>
          <w:sz w:val="20"/>
          <w:szCs w:val="20"/>
          <w:color w:val="auto"/>
        </w:rPr>
        <w:tab/>
      </w:r>
      <w:r>
        <w:rPr>
          <w:rFonts w:ascii="Courier New" w:cs="Courier New" w:eastAsia="Courier New" w:hAnsi="Courier New"/>
          <w:sz w:val="12"/>
          <w:szCs w:val="12"/>
          <w:color w:val="auto"/>
        </w:rPr>
        <w:t>accordance</w:t>
      </w:r>
      <w:r>
        <w:rPr>
          <w:sz w:val="20"/>
          <w:szCs w:val="20"/>
          <w:color w:val="auto"/>
        </w:rPr>
        <w:tab/>
      </w:r>
      <w:r>
        <w:rPr>
          <w:rFonts w:ascii="Courier New" w:cs="Courier New" w:eastAsia="Courier New" w:hAnsi="Courier New"/>
          <w:sz w:val="12"/>
          <w:szCs w:val="12"/>
          <w:color w:val="auto"/>
        </w:rPr>
        <w:t>with</w:t>
      </w:r>
    </w:p>
    <w:p>
      <w:pPr>
        <w:spacing w:after="0" w:line="6" w:lineRule="exact"/>
        <w:rPr>
          <w:sz w:val="20"/>
          <w:szCs w:val="20"/>
          <w:color w:val="auto"/>
        </w:rPr>
      </w:pPr>
    </w:p>
    <w:p>
      <w:pPr>
        <w:ind w:left="5880"/>
        <w:spacing w:after="0"/>
        <w:tabs>
          <w:tab w:leader="none" w:pos="6520" w:val="left"/>
          <w:tab w:leader="none" w:pos="7340" w:val="left"/>
        </w:tabs>
        <w:rPr>
          <w:sz w:val="20"/>
          <w:szCs w:val="20"/>
          <w:color w:val="auto"/>
        </w:rPr>
      </w:pPr>
      <w:r>
        <w:rPr>
          <w:rFonts w:ascii="Courier New" w:cs="Courier New" w:eastAsia="Courier New" w:hAnsi="Courier New"/>
          <w:sz w:val="12"/>
          <w:szCs w:val="12"/>
          <w:color w:val="auto"/>
        </w:rPr>
        <w:t>GAAP),</w:t>
        <w:tab/>
        <w:t>resulting</w:t>
        <w:tab/>
        <w:t>from</w:t>
      </w:r>
    </w:p>
    <w:p>
      <w:pPr>
        <w:spacing w:after="0" w:line="6" w:lineRule="exact"/>
        <w:rPr>
          <w:sz w:val="20"/>
          <w:szCs w:val="20"/>
          <w:color w:val="auto"/>
        </w:rPr>
      </w:pPr>
    </w:p>
    <w:p>
      <w:pPr>
        <w:ind w:left="5880"/>
        <w:spacing w:after="0"/>
        <w:tabs>
          <w:tab w:leader="none" w:pos="6240" w:val="left"/>
          <w:tab w:leader="none" w:pos="6740" w:val="left"/>
          <w:tab w:leader="none" w:pos="7040" w:val="left"/>
        </w:tabs>
        <w:rPr>
          <w:sz w:val="20"/>
          <w:szCs w:val="20"/>
          <w:color w:val="auto"/>
        </w:rPr>
      </w:pPr>
      <w:r>
        <w:rPr>
          <w:rFonts w:ascii="Courier New" w:cs="Courier New" w:eastAsia="Courier New" w:hAnsi="Courier New"/>
          <w:sz w:val="12"/>
          <w:szCs w:val="12"/>
          <w:color w:val="auto"/>
        </w:rPr>
        <w:t>the</w:t>
        <w:tab/>
        <w:t>grant</w:t>
        <w:tab/>
        <w:t>or</w:t>
        <w:tab/>
        <w:t>issuance</w:t>
      </w:r>
    </w:p>
    <w:p>
      <w:pPr>
        <w:spacing w:after="0" w:line="6" w:lineRule="exact"/>
        <w:rPr>
          <w:sz w:val="20"/>
          <w:szCs w:val="20"/>
          <w:color w:val="auto"/>
        </w:rPr>
      </w:pPr>
    </w:p>
    <w:p>
      <w:pPr>
        <w:ind w:left="5880"/>
        <w:spacing w:after="0"/>
        <w:tabs>
          <w:tab w:leader="none" w:pos="6960" w:val="left"/>
        </w:tabs>
        <w:rPr>
          <w:sz w:val="20"/>
          <w:szCs w:val="20"/>
          <w:color w:val="auto"/>
        </w:rPr>
      </w:pPr>
      <w:r>
        <w:rPr>
          <w:rFonts w:ascii="Courier New" w:cs="Courier New" w:eastAsia="Courier New" w:hAnsi="Courier New"/>
          <w:sz w:val="12"/>
          <w:szCs w:val="12"/>
          <w:color w:val="auto"/>
        </w:rPr>
        <w:t>to employees,</w:t>
        <w:tab/>
        <w:t>officers,</w:t>
      </w:r>
    </w:p>
    <w:p>
      <w:pPr>
        <w:spacing w:after="0" w:line="6" w:lineRule="exact"/>
        <w:rPr>
          <w:sz w:val="20"/>
          <w:szCs w:val="20"/>
          <w:color w:val="auto"/>
        </w:rPr>
      </w:pPr>
    </w:p>
    <w:p>
      <w:pPr>
        <w:jc w:val="both"/>
        <w:ind w:left="5880"/>
        <w:spacing w:after="0"/>
        <w:tabs>
          <w:tab w:leader="none" w:pos="6900" w:val="left"/>
        </w:tabs>
        <w:rPr>
          <w:sz w:val="20"/>
          <w:szCs w:val="20"/>
          <w:color w:val="auto"/>
        </w:rPr>
      </w:pPr>
      <w:r>
        <w:rPr>
          <w:rFonts w:ascii="Courier New" w:cs="Courier New" w:eastAsia="Courier New" w:hAnsi="Courier New"/>
          <w:sz w:val="12"/>
          <w:szCs w:val="12"/>
          <w:color w:val="auto"/>
        </w:rPr>
        <w:t>service</w:t>
      </w:r>
      <w:r>
        <w:rPr>
          <w:sz w:val="20"/>
          <w:szCs w:val="20"/>
          <w:color w:val="auto"/>
        </w:rPr>
        <w:tab/>
      </w:r>
      <w:r>
        <w:rPr>
          <w:rFonts w:ascii="Courier New" w:cs="Courier New" w:eastAsia="Courier New" w:hAnsi="Courier New"/>
          <w:sz w:val="12"/>
          <w:szCs w:val="12"/>
          <w:color w:val="auto"/>
        </w:rPr>
        <w:t>providers,</w:t>
      </w:r>
    </w:p>
    <w:p>
      <w:pPr>
        <w:spacing w:after="0" w:line="6" w:lineRule="exact"/>
        <w:rPr>
          <w:sz w:val="20"/>
          <w:szCs w:val="20"/>
          <w:color w:val="auto"/>
        </w:rPr>
      </w:pPr>
    </w:p>
    <w:p>
      <w:pPr>
        <w:ind w:left="5880"/>
        <w:spacing w:after="0"/>
        <w:tabs>
          <w:tab w:leader="none" w:pos="6900" w:val="left"/>
        </w:tabs>
        <w:rPr>
          <w:sz w:val="20"/>
          <w:szCs w:val="20"/>
          <w:color w:val="auto"/>
        </w:rPr>
      </w:pPr>
      <w:r>
        <w:rPr>
          <w:rFonts w:ascii="Courier New" w:cs="Courier New" w:eastAsia="Courier New" w:hAnsi="Courier New"/>
          <w:sz w:val="12"/>
          <w:szCs w:val="12"/>
          <w:color w:val="auto"/>
        </w:rPr>
        <w:t>suppliers</w:t>
      </w:r>
      <w:r>
        <w:rPr>
          <w:sz w:val="20"/>
          <w:szCs w:val="20"/>
          <w:color w:val="auto"/>
        </w:rPr>
        <w:tab/>
      </w:r>
      <w:r>
        <w:rPr>
          <w:rFonts w:ascii="Courier New" w:cs="Courier New" w:eastAsia="Courier New" w:hAnsi="Courier New"/>
          <w:sz w:val="12"/>
          <w:szCs w:val="12"/>
          <w:color w:val="auto"/>
        </w:rPr>
        <w:t>(including</w:t>
      </w:r>
    </w:p>
    <w:p>
      <w:pPr>
        <w:spacing w:after="0" w:line="6" w:lineRule="exact"/>
        <w:rPr>
          <w:sz w:val="20"/>
          <w:szCs w:val="20"/>
          <w:color w:val="auto"/>
        </w:rPr>
      </w:pPr>
    </w:p>
    <w:p>
      <w:pPr>
        <w:ind w:left="5880"/>
        <w:spacing w:after="0"/>
        <w:tabs>
          <w:tab w:leader="none" w:pos="6960" w:val="left"/>
        </w:tabs>
        <w:rPr>
          <w:sz w:val="20"/>
          <w:szCs w:val="20"/>
          <w:color w:val="auto"/>
        </w:rPr>
      </w:pPr>
      <w:r>
        <w:rPr>
          <w:rFonts w:ascii="Courier New" w:cs="Courier New" w:eastAsia="Courier New" w:hAnsi="Courier New"/>
          <w:sz w:val="12"/>
          <w:szCs w:val="12"/>
          <w:color w:val="auto"/>
        </w:rPr>
        <w:t>the Banks) or</w:t>
        <w:tab/>
        <w:t>directors</w:t>
      </w:r>
    </w:p>
    <w:p>
      <w:pPr>
        <w:spacing w:after="0" w:line="6" w:lineRule="exact"/>
        <w:rPr>
          <w:sz w:val="20"/>
          <w:szCs w:val="20"/>
          <w:color w:val="auto"/>
        </w:rPr>
      </w:pPr>
    </w:p>
    <w:p>
      <w:pPr>
        <w:ind w:left="5880"/>
        <w:spacing w:after="0"/>
        <w:tabs>
          <w:tab w:leader="none" w:pos="6460" w:val="left"/>
          <w:tab w:leader="none" w:pos="7200" w:val="left"/>
        </w:tabs>
        <w:rPr>
          <w:sz w:val="20"/>
          <w:szCs w:val="20"/>
          <w:color w:val="auto"/>
        </w:rPr>
      </w:pPr>
      <w:r>
        <w:rPr>
          <w:rFonts w:ascii="Courier New" w:cs="Courier New" w:eastAsia="Courier New" w:hAnsi="Courier New"/>
          <w:sz w:val="12"/>
          <w:szCs w:val="12"/>
          <w:color w:val="auto"/>
        </w:rPr>
        <w:t>of the</w:t>
        <w:tab/>
        <w:t>Borrower</w:t>
        <w:tab/>
        <w:t>or its</w:t>
      </w:r>
    </w:p>
    <w:p>
      <w:pPr>
        <w:spacing w:after="0" w:line="6" w:lineRule="exact"/>
        <w:rPr>
          <w:sz w:val="20"/>
          <w:szCs w:val="20"/>
          <w:color w:val="auto"/>
        </w:rPr>
      </w:pPr>
    </w:p>
    <w:p>
      <w:pPr>
        <w:ind w:left="5880"/>
        <w:spacing w:after="0"/>
        <w:tabs>
          <w:tab w:leader="none" w:pos="7480" w:val="left"/>
        </w:tabs>
        <w:rPr>
          <w:sz w:val="20"/>
          <w:szCs w:val="20"/>
          <w:color w:val="auto"/>
        </w:rPr>
      </w:pPr>
      <w:r>
        <w:rPr>
          <w:rFonts w:ascii="Courier New" w:cs="Courier New" w:eastAsia="Courier New" w:hAnsi="Courier New"/>
          <w:sz w:val="12"/>
          <w:szCs w:val="12"/>
          <w:color w:val="auto"/>
        </w:rPr>
        <w:t>Subsidiaries,</w:t>
      </w:r>
      <w:r>
        <w:rPr>
          <w:sz w:val="20"/>
          <w:szCs w:val="20"/>
          <w:color w:val="auto"/>
        </w:rPr>
        <w:tab/>
      </w:r>
      <w:r>
        <w:rPr>
          <w:rFonts w:ascii="Courier New" w:cs="Courier New" w:eastAsia="Courier New" w:hAnsi="Courier New"/>
          <w:sz w:val="12"/>
          <w:szCs w:val="12"/>
          <w:color w:val="auto"/>
        </w:rPr>
        <w:t>of</w:t>
      </w:r>
    </w:p>
    <w:p>
      <w:pPr>
        <w:spacing w:after="0" w:line="6" w:lineRule="exact"/>
        <w:rPr>
          <w:sz w:val="20"/>
          <w:szCs w:val="20"/>
          <w:color w:val="auto"/>
        </w:rPr>
      </w:pPr>
    </w:p>
    <w:p>
      <w:pPr>
        <w:ind w:left="5880"/>
        <w:spacing w:after="0"/>
        <w:tabs>
          <w:tab w:leader="none" w:pos="6740" w:val="left"/>
          <w:tab w:leader="none" w:pos="7480" w:val="left"/>
        </w:tabs>
        <w:rPr>
          <w:sz w:val="20"/>
          <w:szCs w:val="20"/>
          <w:color w:val="auto"/>
        </w:rPr>
      </w:pPr>
      <w:r>
        <w:rPr>
          <w:rFonts w:ascii="Courier New" w:cs="Courier New" w:eastAsia="Courier New" w:hAnsi="Courier New"/>
          <w:sz w:val="12"/>
          <w:szCs w:val="12"/>
          <w:color w:val="auto"/>
        </w:rPr>
        <w:t>options or</w:t>
        <w:tab/>
        <w:t>warrants</w:t>
        <w:tab/>
        <w:t>to</w:t>
      </w:r>
    </w:p>
    <w:p>
      <w:pPr>
        <w:spacing w:after="0" w:line="6" w:lineRule="exact"/>
        <w:rPr>
          <w:sz w:val="20"/>
          <w:szCs w:val="20"/>
          <w:color w:val="auto"/>
        </w:rPr>
      </w:pPr>
    </w:p>
    <w:p>
      <w:pPr>
        <w:ind w:left="5880"/>
        <w:spacing w:after="0"/>
        <w:tabs>
          <w:tab w:leader="none" w:pos="6600" w:val="left"/>
          <w:tab w:leader="none" w:pos="7200" w:val="left"/>
        </w:tabs>
        <w:rPr>
          <w:sz w:val="20"/>
          <w:szCs w:val="20"/>
          <w:color w:val="auto"/>
        </w:rPr>
      </w:pPr>
      <w:r>
        <w:rPr>
          <w:rFonts w:ascii="Courier New" w:cs="Courier New" w:eastAsia="Courier New" w:hAnsi="Courier New"/>
          <w:sz w:val="12"/>
          <w:szCs w:val="12"/>
          <w:color w:val="auto"/>
        </w:rPr>
        <w:t>purchase</w:t>
        <w:tab/>
        <w:t>shares</w:t>
        <w:tab/>
        <w:t>of the</w:t>
      </w:r>
    </w:p>
    <w:p>
      <w:pPr>
        <w:spacing w:after="0" w:line="6" w:lineRule="exact"/>
        <w:rPr>
          <w:sz w:val="20"/>
          <w:szCs w:val="20"/>
          <w:color w:val="auto"/>
        </w:rPr>
      </w:pPr>
    </w:p>
    <w:p>
      <w:pPr>
        <w:jc w:val="both"/>
        <w:ind w:left="5880"/>
        <w:spacing w:after="0"/>
        <w:tabs>
          <w:tab w:leader="none" w:pos="6900" w:val="left"/>
          <w:tab w:leader="none" w:pos="7480" w:val="left"/>
        </w:tabs>
        <w:rPr>
          <w:sz w:val="20"/>
          <w:szCs w:val="20"/>
          <w:color w:val="auto"/>
        </w:rPr>
      </w:pPr>
      <w:r>
        <w:rPr>
          <w:rFonts w:ascii="Courier New" w:cs="Courier New" w:eastAsia="Courier New" w:hAnsi="Courier New"/>
          <w:sz w:val="12"/>
          <w:szCs w:val="12"/>
          <w:color w:val="auto"/>
        </w:rPr>
        <w:t>Borrower,</w:t>
      </w:r>
      <w:r>
        <w:rPr>
          <w:sz w:val="20"/>
          <w:szCs w:val="20"/>
          <w:color w:val="auto"/>
        </w:rPr>
        <w:tab/>
      </w:r>
      <w:r>
        <w:rPr>
          <w:rFonts w:ascii="Courier New" w:cs="Courier New" w:eastAsia="Courier New" w:hAnsi="Courier New"/>
          <w:sz w:val="12"/>
          <w:szCs w:val="12"/>
          <w:color w:val="auto"/>
        </w:rPr>
        <w:t>all</w:t>
      </w:r>
      <w:r>
        <w:rPr>
          <w:sz w:val="20"/>
          <w:szCs w:val="20"/>
          <w:color w:val="auto"/>
        </w:rPr>
        <w:tab/>
      </w:r>
      <w:r>
        <w:rPr>
          <w:rFonts w:ascii="Courier New" w:cs="Courier New" w:eastAsia="Courier New" w:hAnsi="Courier New"/>
          <w:sz w:val="12"/>
          <w:szCs w:val="12"/>
          <w:color w:val="auto"/>
        </w:rPr>
        <w:t>as</w:t>
      </w:r>
    </w:p>
    <w:p>
      <w:pPr>
        <w:spacing w:after="0" w:line="6" w:lineRule="exact"/>
        <w:rPr>
          <w:sz w:val="20"/>
          <w:szCs w:val="20"/>
          <w:color w:val="auto"/>
        </w:rPr>
      </w:pPr>
    </w:p>
    <w:p>
      <w:pPr>
        <w:jc w:val="both"/>
        <w:ind w:left="5880"/>
        <w:spacing w:after="0"/>
        <w:tabs>
          <w:tab w:leader="none" w:pos="6900" w:val="left"/>
          <w:tab w:leader="none" w:pos="7420" w:val="left"/>
        </w:tabs>
        <w:rPr>
          <w:sz w:val="20"/>
          <w:szCs w:val="20"/>
          <w:color w:val="auto"/>
        </w:rPr>
      </w:pPr>
      <w:r>
        <w:rPr>
          <w:rFonts w:ascii="Courier New" w:cs="Courier New" w:eastAsia="Courier New" w:hAnsi="Courier New"/>
          <w:sz w:val="12"/>
          <w:szCs w:val="12"/>
          <w:color w:val="auto"/>
        </w:rPr>
        <w:t>reflected</w:t>
      </w:r>
      <w:r>
        <w:rPr>
          <w:sz w:val="20"/>
          <w:szCs w:val="20"/>
          <w:color w:val="auto"/>
        </w:rPr>
        <w:tab/>
      </w:r>
      <w:r>
        <w:rPr>
          <w:rFonts w:ascii="Courier New" w:cs="Courier New" w:eastAsia="Courier New" w:hAnsi="Courier New"/>
          <w:sz w:val="12"/>
          <w:szCs w:val="12"/>
          <w:color w:val="auto"/>
        </w:rPr>
        <w:t>in</w:t>
      </w:r>
      <w:r>
        <w:rPr>
          <w:sz w:val="20"/>
          <w:szCs w:val="20"/>
          <w:color w:val="auto"/>
        </w:rPr>
        <w:tab/>
      </w:r>
      <w:r>
        <w:rPr>
          <w:rFonts w:ascii="Courier New" w:cs="Courier New" w:eastAsia="Courier New" w:hAnsi="Courier New"/>
          <w:sz w:val="12"/>
          <w:szCs w:val="12"/>
          <w:color w:val="auto"/>
        </w:rPr>
        <w:t>the</w:t>
      </w:r>
    </w:p>
    <w:p>
      <w:pPr>
        <w:spacing w:after="0" w:line="6" w:lineRule="exact"/>
        <w:rPr>
          <w:sz w:val="20"/>
          <w:szCs w:val="20"/>
          <w:color w:val="auto"/>
        </w:rPr>
      </w:pPr>
    </w:p>
    <w:p>
      <w:pPr>
        <w:ind w:left="5880"/>
        <w:spacing w:after="0"/>
        <w:tabs>
          <w:tab w:leader="none" w:pos="6740" w:val="left"/>
          <w:tab w:leader="none" w:pos="7200" w:val="left"/>
        </w:tabs>
        <w:rPr>
          <w:sz w:val="20"/>
          <w:szCs w:val="20"/>
          <w:color w:val="auto"/>
        </w:rPr>
      </w:pPr>
      <w:r>
        <w:rPr>
          <w:rFonts w:ascii="Courier New" w:cs="Courier New" w:eastAsia="Courier New" w:hAnsi="Courier New"/>
          <w:sz w:val="12"/>
          <w:szCs w:val="12"/>
          <w:color w:val="auto"/>
        </w:rPr>
        <w:t>Accounts</w:t>
      </w:r>
      <w:r>
        <w:rPr>
          <w:sz w:val="20"/>
          <w:szCs w:val="20"/>
          <w:color w:val="auto"/>
        </w:rPr>
        <w:tab/>
      </w:r>
      <w:r>
        <w:rPr>
          <w:rFonts w:ascii="Courier New" w:cs="Courier New" w:eastAsia="Courier New" w:hAnsi="Courier New"/>
          <w:sz w:val="12"/>
          <w:szCs w:val="12"/>
          <w:color w:val="auto"/>
        </w:rPr>
        <w:t>and</w:t>
      </w:r>
      <w:r>
        <w:rPr>
          <w:sz w:val="20"/>
          <w:szCs w:val="20"/>
          <w:color w:val="auto"/>
        </w:rPr>
        <w:tab/>
      </w:r>
      <w:r>
        <w:rPr>
          <w:rFonts w:ascii="Courier New" w:cs="Courier New" w:eastAsia="Courier New" w:hAnsi="Courier New"/>
          <w:sz w:val="12"/>
          <w:szCs w:val="12"/>
          <w:color w:val="auto"/>
        </w:rPr>
        <w:t>which,</w:t>
      </w:r>
    </w:p>
    <w:p>
      <w:pPr>
        <w:spacing w:after="0" w:line="6" w:lineRule="exact"/>
        <w:rPr>
          <w:sz w:val="20"/>
          <w:szCs w:val="20"/>
          <w:color w:val="auto"/>
        </w:rPr>
      </w:pPr>
    </w:p>
    <w:p>
      <w:pPr>
        <w:ind w:left="5880"/>
        <w:spacing w:after="0"/>
        <w:tabs>
          <w:tab w:leader="none" w:pos="7040" w:val="left"/>
        </w:tabs>
        <w:rPr>
          <w:sz w:val="20"/>
          <w:szCs w:val="20"/>
          <w:color w:val="auto"/>
        </w:rPr>
      </w:pPr>
      <w:r>
        <w:rPr>
          <w:rFonts w:ascii="Courier New" w:cs="Courier New" w:eastAsia="Courier New" w:hAnsi="Courier New"/>
          <w:sz w:val="12"/>
          <w:szCs w:val="12"/>
          <w:color w:val="auto"/>
        </w:rPr>
        <w:t>prior to 2006,</w:t>
        <w:tab/>
        <w:t>were not</w:t>
      </w:r>
    </w:p>
    <w:p>
      <w:pPr>
        <w:spacing w:after="0" w:line="6" w:lineRule="exact"/>
        <w:rPr>
          <w:sz w:val="20"/>
          <w:szCs w:val="20"/>
          <w:color w:val="auto"/>
        </w:rPr>
      </w:pPr>
    </w:p>
    <w:p>
      <w:pPr>
        <w:ind w:left="5880"/>
        <w:spacing w:after="0"/>
        <w:tabs>
          <w:tab w:leader="none" w:pos="6600" w:val="left"/>
        </w:tabs>
        <w:rPr>
          <w:sz w:val="20"/>
          <w:szCs w:val="20"/>
          <w:color w:val="auto"/>
        </w:rPr>
      </w:pPr>
      <w:r>
        <w:rPr>
          <w:rFonts w:ascii="Courier New" w:cs="Courier New" w:eastAsia="Courier New" w:hAnsi="Courier New"/>
          <w:sz w:val="12"/>
          <w:szCs w:val="12"/>
          <w:color w:val="auto"/>
        </w:rPr>
        <w:t>required</w:t>
        <w:tab/>
        <w:t>to be deducted</w:t>
      </w:r>
    </w:p>
    <w:p>
      <w:pPr>
        <w:spacing w:after="0" w:line="6" w:lineRule="exact"/>
        <w:rPr>
          <w:sz w:val="20"/>
          <w:szCs w:val="20"/>
          <w:color w:val="auto"/>
        </w:rPr>
      </w:pPr>
    </w:p>
    <w:p>
      <w:pPr>
        <w:ind w:left="5880"/>
        <w:spacing w:after="0"/>
        <w:tabs>
          <w:tab w:leader="none" w:pos="6300" w:val="left"/>
          <w:tab w:leader="none" w:pos="7340" w:val="left"/>
        </w:tabs>
        <w:rPr>
          <w:sz w:val="20"/>
          <w:szCs w:val="20"/>
          <w:color w:val="auto"/>
        </w:rPr>
      </w:pPr>
      <w:r>
        <w:rPr>
          <w:rFonts w:ascii="Courier New" w:cs="Courier New" w:eastAsia="Courier New" w:hAnsi="Courier New"/>
          <w:sz w:val="12"/>
          <w:szCs w:val="12"/>
          <w:color w:val="auto"/>
        </w:rPr>
        <w:t>in</w:t>
      </w:r>
      <w:r>
        <w:rPr>
          <w:sz w:val="20"/>
          <w:szCs w:val="20"/>
          <w:color w:val="auto"/>
        </w:rPr>
        <w:tab/>
      </w:r>
      <w:r>
        <w:rPr>
          <w:rFonts w:ascii="Courier New" w:cs="Courier New" w:eastAsia="Courier New" w:hAnsi="Courier New"/>
          <w:sz w:val="12"/>
          <w:szCs w:val="12"/>
          <w:color w:val="auto"/>
        </w:rPr>
        <w:t>accordance</w:t>
      </w:r>
      <w:r>
        <w:rPr>
          <w:sz w:val="20"/>
          <w:szCs w:val="20"/>
          <w:color w:val="auto"/>
        </w:rPr>
        <w:tab/>
      </w:r>
      <w:r>
        <w:rPr>
          <w:rFonts w:ascii="Courier New" w:cs="Courier New" w:eastAsia="Courier New" w:hAnsi="Courier New"/>
          <w:sz w:val="12"/>
          <w:szCs w:val="12"/>
          <w:color w:val="auto"/>
        </w:rPr>
        <w:t>with</w:t>
      </w:r>
    </w:p>
    <w:p>
      <w:pPr>
        <w:spacing w:after="0" w:line="6" w:lineRule="exact"/>
        <w:rPr>
          <w:sz w:val="20"/>
          <w:szCs w:val="20"/>
          <w:color w:val="auto"/>
        </w:rPr>
      </w:pPr>
    </w:p>
    <w:p>
      <w:pPr>
        <w:ind w:left="5880"/>
        <w:spacing w:after="0"/>
        <w:rPr>
          <w:sz w:val="20"/>
          <w:szCs w:val="20"/>
          <w:color w:val="auto"/>
        </w:rPr>
      </w:pPr>
      <w:r>
        <w:rPr>
          <w:rFonts w:ascii="Courier New" w:cs="Courier New" w:eastAsia="Courier New" w:hAnsi="Courier New"/>
          <w:sz w:val="12"/>
          <w:szCs w:val="12"/>
          <w:color w:val="auto"/>
        </w:rPr>
        <w:t>GAAP; and</w:t>
      </w:r>
    </w:p>
    <w:p>
      <w:pPr>
        <w:spacing w:after="0" w:line="147" w:lineRule="exact"/>
        <w:rPr>
          <w:sz w:val="20"/>
          <w:szCs w:val="20"/>
          <w:color w:val="auto"/>
        </w:rPr>
      </w:pPr>
    </w:p>
    <w:p>
      <w:pPr>
        <w:ind w:left="5360"/>
        <w:spacing w:after="0"/>
        <w:tabs>
          <w:tab w:leader="none" w:pos="5860" w:val="left"/>
          <w:tab w:leader="none" w:pos="6300" w:val="left"/>
          <w:tab w:leader="none" w:pos="7420" w:val="left"/>
        </w:tabs>
        <w:rPr>
          <w:sz w:val="20"/>
          <w:szCs w:val="20"/>
          <w:color w:val="auto"/>
        </w:rPr>
      </w:pPr>
      <w:r>
        <w:rPr>
          <w:rFonts w:ascii="Courier New" w:cs="Courier New" w:eastAsia="Courier New" w:hAnsi="Courier New"/>
          <w:sz w:val="12"/>
          <w:szCs w:val="12"/>
          <w:color w:val="auto"/>
        </w:rPr>
        <w:t>(ii)</w:t>
        <w:tab/>
        <w:t>any</w:t>
        <w:tab/>
        <w:t>amortisation</w:t>
        <w:tab/>
        <w:t>and</w:t>
      </w:r>
    </w:p>
    <w:p>
      <w:pPr>
        <w:spacing w:after="0" w:line="6" w:lineRule="exact"/>
        <w:rPr>
          <w:sz w:val="20"/>
          <w:szCs w:val="20"/>
          <w:color w:val="auto"/>
        </w:rPr>
      </w:pPr>
    </w:p>
    <w:p>
      <w:pPr>
        <w:ind w:left="5880"/>
        <w:spacing w:after="0"/>
        <w:tabs>
          <w:tab w:leader="none" w:pos="6960" w:val="left"/>
        </w:tabs>
        <w:rPr>
          <w:sz w:val="20"/>
          <w:szCs w:val="20"/>
          <w:color w:val="auto"/>
        </w:rPr>
      </w:pPr>
      <w:r>
        <w:rPr>
          <w:rFonts w:ascii="Courier New" w:cs="Courier New" w:eastAsia="Courier New" w:hAnsi="Courier New"/>
          <w:sz w:val="12"/>
          <w:szCs w:val="12"/>
          <w:color w:val="auto"/>
        </w:rPr>
        <w:t>depreciation</w:t>
        <w:tab/>
        <w:t>reflected</w:t>
      </w:r>
    </w:p>
    <w:p>
      <w:pPr>
        <w:spacing w:after="0" w:line="6" w:lineRule="exact"/>
        <w:rPr>
          <w:sz w:val="20"/>
          <w:szCs w:val="20"/>
          <w:color w:val="auto"/>
        </w:rPr>
      </w:pPr>
    </w:p>
    <w:p>
      <w:pPr>
        <w:ind w:left="5880"/>
        <w:spacing w:after="0"/>
        <w:rPr>
          <w:sz w:val="20"/>
          <w:szCs w:val="20"/>
          <w:color w:val="auto"/>
        </w:rPr>
      </w:pPr>
      <w:r>
        <w:rPr>
          <w:rFonts w:ascii="Courier New" w:cs="Courier New" w:eastAsia="Courier New" w:hAnsi="Courier New"/>
          <w:sz w:val="12"/>
          <w:szCs w:val="12"/>
          <w:color w:val="auto"/>
        </w:rPr>
        <w:t>in the Accounts.</w:t>
      </w:r>
    </w:p>
    <w:p>
      <w:pPr>
        <w:spacing w:after="0" w:line="147" w:lineRule="exact"/>
        <w:rPr>
          <w:sz w:val="20"/>
          <w:szCs w:val="20"/>
          <w:color w:val="auto"/>
        </w:rPr>
      </w:pPr>
    </w:p>
    <w:p>
      <w:pPr>
        <w:ind w:left="4860"/>
        <w:spacing w:after="0"/>
        <w:tabs>
          <w:tab w:leader="none" w:pos="5640" w:val="left"/>
          <w:tab w:leader="none" w:pos="6380" w:val="left"/>
        </w:tabs>
        <w:rPr>
          <w:sz w:val="20"/>
          <w:szCs w:val="20"/>
          <w:color w:val="auto"/>
        </w:rPr>
      </w:pPr>
      <w:r>
        <w:rPr>
          <w:rFonts w:ascii="Courier New" w:cs="Courier New" w:eastAsia="Courier New" w:hAnsi="Courier New"/>
          <w:sz w:val="12"/>
          <w:szCs w:val="12"/>
          <w:color w:val="auto"/>
        </w:rPr>
        <w:t>All items</w:t>
        <w:tab/>
        <w:t>referred</w:t>
        <w:tab/>
        <w:t>to above shall be</w:t>
      </w:r>
    </w:p>
    <w:p>
      <w:pPr>
        <w:spacing w:after="0" w:line="6" w:lineRule="exact"/>
        <w:rPr>
          <w:sz w:val="20"/>
          <w:szCs w:val="20"/>
          <w:color w:val="auto"/>
        </w:rPr>
      </w:pPr>
    </w:p>
    <w:p>
      <w:pPr>
        <w:ind w:left="4860"/>
        <w:spacing w:after="0"/>
        <w:tabs>
          <w:tab w:leader="none" w:pos="5340" w:val="left"/>
          <w:tab w:leader="none" w:pos="5800" w:val="left"/>
          <w:tab w:leader="none" w:pos="6160" w:val="left"/>
          <w:tab w:leader="none" w:pos="7040" w:val="left"/>
        </w:tabs>
        <w:rPr>
          <w:sz w:val="20"/>
          <w:szCs w:val="20"/>
          <w:color w:val="auto"/>
        </w:rPr>
      </w:pPr>
      <w:r>
        <w:rPr>
          <w:rFonts w:ascii="Courier New" w:cs="Courier New" w:eastAsia="Courier New" w:hAnsi="Courier New"/>
          <w:sz w:val="12"/>
          <w:szCs w:val="12"/>
          <w:color w:val="auto"/>
        </w:rPr>
        <w:t>taken</w:t>
        <w:tab/>
        <w:t>from</w:t>
        <w:tab/>
        <w:t>the</w:t>
        <w:tab/>
        <w:t>Borrower's</w:t>
        <w:tab/>
        <w:t>relevant</w:t>
      </w:r>
    </w:p>
    <w:p>
      <w:pPr>
        <w:spacing w:after="0" w:line="6" w:lineRule="exact"/>
        <w:rPr>
          <w:sz w:val="20"/>
          <w:szCs w:val="20"/>
          <w:color w:val="auto"/>
        </w:rPr>
      </w:pPr>
    </w:p>
    <w:p>
      <w:pPr>
        <w:ind w:left="4860"/>
        <w:spacing w:after="0"/>
        <w:rPr>
          <w:sz w:val="20"/>
          <w:szCs w:val="20"/>
          <w:color w:val="auto"/>
        </w:rPr>
      </w:pPr>
      <w:r>
        <w:rPr>
          <w:rFonts w:ascii="Courier New" w:cs="Courier New" w:eastAsia="Courier New" w:hAnsi="Courier New"/>
          <w:sz w:val="12"/>
          <w:szCs w:val="12"/>
          <w:color w:val="auto"/>
        </w:rPr>
        <w:t>consolidated Accounts, being:</w:t>
      </w:r>
    </w:p>
    <w:p>
      <w:pPr>
        <w:spacing w:after="0" w:line="147" w:lineRule="exact"/>
        <w:rPr>
          <w:sz w:val="20"/>
          <w:szCs w:val="20"/>
          <w:color w:val="auto"/>
        </w:rPr>
      </w:pPr>
    </w:p>
    <w:p>
      <w:pPr>
        <w:jc w:val="both"/>
        <w:ind w:left="4860"/>
        <w:spacing w:after="0"/>
        <w:tabs>
          <w:tab w:leader="none" w:pos="5340" w:val="left"/>
          <w:tab w:leader="none" w:pos="5720" w:val="left"/>
          <w:tab w:leader="none" w:pos="6160" w:val="left"/>
          <w:tab w:leader="none" w:pos="6820" w:val="left"/>
          <w:tab w:leader="none" w:pos="7340" w:val="left"/>
        </w:tabs>
        <w:rPr>
          <w:sz w:val="20"/>
          <w:szCs w:val="20"/>
          <w:color w:val="auto"/>
        </w:rPr>
      </w:pPr>
      <w:r>
        <w:rPr>
          <w:rFonts w:ascii="Courier New" w:cs="Courier New" w:eastAsia="Courier New" w:hAnsi="Courier New"/>
          <w:sz w:val="12"/>
          <w:szCs w:val="12"/>
          <w:color w:val="auto"/>
        </w:rPr>
        <w:t>(A)</w:t>
      </w:r>
      <w:r>
        <w:rPr>
          <w:sz w:val="20"/>
          <w:szCs w:val="20"/>
          <w:color w:val="auto"/>
        </w:rPr>
        <w:tab/>
      </w:r>
      <w:r>
        <w:rPr>
          <w:rFonts w:ascii="Courier New" w:cs="Courier New" w:eastAsia="Courier New" w:hAnsi="Courier New"/>
          <w:sz w:val="12"/>
          <w:szCs w:val="12"/>
          <w:color w:val="auto"/>
        </w:rPr>
        <w:t>in</w:t>
        <w:tab/>
        <w:t>the</w:t>
        <w:tab/>
        <w:t>event</w:t>
      </w:r>
      <w:r>
        <w:rPr>
          <w:sz w:val="20"/>
          <w:szCs w:val="20"/>
          <w:color w:val="auto"/>
        </w:rPr>
        <w:tab/>
      </w:r>
      <w:r>
        <w:rPr>
          <w:rFonts w:ascii="Courier New" w:cs="Courier New" w:eastAsia="Courier New" w:hAnsi="Courier New"/>
          <w:sz w:val="12"/>
          <w:szCs w:val="12"/>
          <w:color w:val="auto"/>
        </w:rPr>
        <w:t>that</w:t>
        <w:tab/>
        <w:t>such</w:t>
      </w:r>
    </w:p>
    <w:p>
      <w:pPr>
        <w:spacing w:after="0" w:line="6" w:lineRule="exact"/>
        <w:rPr>
          <w:sz w:val="20"/>
          <w:szCs w:val="20"/>
          <w:color w:val="auto"/>
        </w:rPr>
      </w:pPr>
    </w:p>
    <w:p>
      <w:pPr>
        <w:ind w:left="5360"/>
        <w:spacing w:after="0"/>
        <w:tabs>
          <w:tab w:leader="none" w:pos="7200" w:val="left"/>
        </w:tabs>
        <w:rPr>
          <w:sz w:val="20"/>
          <w:szCs w:val="20"/>
          <w:color w:val="auto"/>
        </w:rPr>
      </w:pPr>
      <w:r>
        <w:rPr>
          <w:rFonts w:ascii="Courier New" w:cs="Courier New" w:eastAsia="Courier New" w:hAnsi="Courier New"/>
          <w:sz w:val="12"/>
          <w:szCs w:val="12"/>
          <w:color w:val="auto"/>
        </w:rPr>
        <w:t>Four-Quarter</w:t>
      </w:r>
      <w:r>
        <w:rPr>
          <w:sz w:val="20"/>
          <w:szCs w:val="20"/>
          <w:color w:val="auto"/>
        </w:rPr>
        <w:tab/>
      </w:r>
      <w:r>
        <w:rPr>
          <w:rFonts w:ascii="Courier New" w:cs="Courier New" w:eastAsia="Courier New" w:hAnsi="Courier New"/>
          <w:sz w:val="12"/>
          <w:szCs w:val="12"/>
          <w:color w:val="auto"/>
        </w:rPr>
        <w:t>Period</w:t>
      </w:r>
    </w:p>
    <w:p>
      <w:pPr>
        <w:spacing w:after="0" w:line="6" w:lineRule="exact"/>
        <w:rPr>
          <w:sz w:val="20"/>
          <w:szCs w:val="20"/>
          <w:color w:val="auto"/>
        </w:rPr>
      </w:pPr>
    </w:p>
    <w:p>
      <w:pPr>
        <w:ind w:left="5360"/>
        <w:spacing w:after="0"/>
        <w:tabs>
          <w:tab w:leader="none" w:pos="7420" w:val="left"/>
        </w:tabs>
        <w:rPr>
          <w:sz w:val="20"/>
          <w:szCs w:val="20"/>
          <w:color w:val="auto"/>
        </w:rPr>
      </w:pPr>
      <w:r>
        <w:rPr>
          <w:rFonts w:ascii="Courier New" w:cs="Courier New" w:eastAsia="Courier New" w:hAnsi="Courier New"/>
          <w:sz w:val="12"/>
          <w:szCs w:val="12"/>
          <w:color w:val="auto"/>
        </w:rPr>
        <w:t>constitutes a Fiscal Year,</w:t>
        <w:tab/>
        <w:t>the</w:t>
      </w:r>
    </w:p>
    <w:p>
      <w:pPr>
        <w:spacing w:after="0" w:line="6" w:lineRule="exact"/>
        <w:rPr>
          <w:sz w:val="20"/>
          <w:szCs w:val="20"/>
          <w:color w:val="auto"/>
        </w:rPr>
      </w:pPr>
    </w:p>
    <w:p>
      <w:pPr>
        <w:ind w:left="5360"/>
        <w:spacing w:after="0"/>
        <w:tabs>
          <w:tab w:leader="none" w:pos="6240" w:val="left"/>
        </w:tabs>
        <w:rPr>
          <w:sz w:val="20"/>
          <w:szCs w:val="20"/>
          <w:color w:val="auto"/>
        </w:rPr>
      </w:pPr>
      <w:r>
        <w:rPr>
          <w:rFonts w:ascii="Courier New" w:cs="Courier New" w:eastAsia="Courier New" w:hAnsi="Courier New"/>
          <w:sz w:val="12"/>
          <w:szCs w:val="12"/>
          <w:color w:val="auto"/>
        </w:rPr>
        <w:t>Borrower's</w:t>
        <w:tab/>
        <w:t>consolidated annual</w:t>
      </w:r>
    </w:p>
    <w:p>
      <w:pPr>
        <w:spacing w:after="0" w:line="6" w:lineRule="exact"/>
        <w:rPr>
          <w:sz w:val="20"/>
          <w:szCs w:val="20"/>
          <w:color w:val="auto"/>
        </w:rPr>
      </w:pPr>
    </w:p>
    <w:p>
      <w:pPr>
        <w:ind w:left="5360"/>
        <w:spacing w:after="0"/>
        <w:rPr>
          <w:sz w:val="20"/>
          <w:szCs w:val="20"/>
          <w:color w:val="auto"/>
        </w:rPr>
      </w:pPr>
      <w:r>
        <w:rPr>
          <w:rFonts w:ascii="Courier New" w:cs="Courier New" w:eastAsia="Courier New" w:hAnsi="Courier New"/>
          <w:sz w:val="12"/>
          <w:szCs w:val="12"/>
          <w:color w:val="auto"/>
        </w:rPr>
        <w:t>Accounts for such Fiscal Year;</w:t>
      </w:r>
    </w:p>
    <w:p>
      <w:pPr>
        <w:spacing w:after="0" w:line="289"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- 19 -</w:t>
      </w:r>
    </w:p>
    <w:p>
      <w:pPr>
        <w:spacing w:after="0" w:line="200" w:lineRule="exact"/>
        <w:rPr>
          <w:sz w:val="20"/>
          <w:szCs w:val="20"/>
          <w:color w:val="auto"/>
        </w:rPr>
      </w:pPr>
    </w:p>
    <w:p>
      <w:pPr>
        <w:spacing w:after="0" w:line="353" w:lineRule="exact"/>
        <w:rPr>
          <w:sz w:val="20"/>
          <w:szCs w:val="20"/>
          <w:color w:val="auto"/>
        </w:rPr>
      </w:pPr>
    </w:p>
    <w:p>
      <w:pPr>
        <w:ind w:left="4860"/>
        <w:spacing w:after="0"/>
        <w:tabs>
          <w:tab w:leader="none" w:pos="5340" w:val="left"/>
          <w:tab w:leader="none" w:pos="5720" w:val="left"/>
          <w:tab w:leader="none" w:pos="6160" w:val="left"/>
          <w:tab w:leader="none" w:pos="6820" w:val="left"/>
          <w:tab w:leader="none" w:pos="7340" w:val="left"/>
        </w:tabs>
        <w:rPr>
          <w:sz w:val="20"/>
          <w:szCs w:val="20"/>
          <w:color w:val="auto"/>
        </w:rPr>
      </w:pPr>
      <w:r>
        <w:rPr>
          <w:rFonts w:ascii="Courier New" w:cs="Courier New" w:eastAsia="Courier New" w:hAnsi="Courier New"/>
          <w:sz w:val="12"/>
          <w:szCs w:val="12"/>
          <w:color w:val="auto"/>
        </w:rPr>
        <w:t>(B)</w:t>
      </w:r>
      <w:r>
        <w:rPr>
          <w:sz w:val="20"/>
          <w:szCs w:val="20"/>
          <w:color w:val="auto"/>
        </w:rPr>
        <w:tab/>
      </w:r>
      <w:r>
        <w:rPr>
          <w:rFonts w:ascii="Courier New" w:cs="Courier New" w:eastAsia="Courier New" w:hAnsi="Courier New"/>
          <w:sz w:val="12"/>
          <w:szCs w:val="12"/>
          <w:color w:val="auto"/>
        </w:rPr>
        <w:t>in</w:t>
        <w:tab/>
        <w:t>the</w:t>
        <w:tab/>
        <w:t>event</w:t>
      </w:r>
      <w:r>
        <w:rPr>
          <w:sz w:val="20"/>
          <w:szCs w:val="20"/>
          <w:color w:val="auto"/>
        </w:rPr>
        <w:tab/>
      </w:r>
      <w:r>
        <w:rPr>
          <w:rFonts w:ascii="Courier New" w:cs="Courier New" w:eastAsia="Courier New" w:hAnsi="Courier New"/>
          <w:sz w:val="12"/>
          <w:szCs w:val="12"/>
          <w:color w:val="auto"/>
        </w:rPr>
        <w:t>that</w:t>
        <w:tab/>
        <w:t>such</w:t>
      </w:r>
    </w:p>
    <w:p>
      <w:pPr>
        <w:spacing w:after="0" w:line="6" w:lineRule="exact"/>
        <w:rPr>
          <w:sz w:val="20"/>
          <w:szCs w:val="20"/>
          <w:color w:val="auto"/>
        </w:rPr>
      </w:pPr>
    </w:p>
    <w:p>
      <w:pPr>
        <w:ind w:left="5360"/>
        <w:spacing w:after="0"/>
        <w:tabs>
          <w:tab w:leader="none" w:pos="6380" w:val="left"/>
          <w:tab w:leader="none" w:pos="6960" w:val="left"/>
        </w:tabs>
        <w:rPr>
          <w:sz w:val="20"/>
          <w:szCs w:val="20"/>
          <w:color w:val="auto"/>
        </w:rPr>
      </w:pPr>
      <w:r>
        <w:rPr>
          <w:rFonts w:ascii="Courier New" w:cs="Courier New" w:eastAsia="Courier New" w:hAnsi="Courier New"/>
          <w:sz w:val="12"/>
          <w:szCs w:val="12"/>
          <w:color w:val="auto"/>
        </w:rPr>
        <w:t>Four-Quarter</w:t>
        <w:tab/>
        <w:t>Period</w:t>
        <w:tab/>
        <w:t>shall not</w:t>
      </w:r>
    </w:p>
    <w:p>
      <w:pPr>
        <w:spacing w:after="0" w:line="6" w:lineRule="exact"/>
        <w:rPr>
          <w:sz w:val="20"/>
          <w:szCs w:val="20"/>
          <w:color w:val="auto"/>
        </w:rPr>
      </w:pPr>
    </w:p>
    <w:p>
      <w:pPr>
        <w:ind w:left="5360"/>
        <w:spacing w:after="0"/>
        <w:tabs>
          <w:tab w:leader="none" w:pos="6900" w:val="left"/>
          <w:tab w:leader="none" w:pos="7420" w:val="left"/>
        </w:tabs>
        <w:rPr>
          <w:sz w:val="20"/>
          <w:szCs w:val="20"/>
          <w:color w:val="auto"/>
        </w:rPr>
      </w:pPr>
      <w:r>
        <w:rPr>
          <w:rFonts w:ascii="Courier New" w:cs="Courier New" w:eastAsia="Courier New" w:hAnsi="Courier New"/>
          <w:sz w:val="12"/>
          <w:szCs w:val="12"/>
          <w:color w:val="auto"/>
        </w:rPr>
        <w:t>constitute a Fiscal</w:t>
        <w:tab/>
        <w:t>Year,</w:t>
        <w:tab/>
        <w:t>the</w:t>
      </w:r>
    </w:p>
    <w:p>
      <w:pPr>
        <w:spacing w:after="0" w:line="6" w:lineRule="exact"/>
        <w:rPr>
          <w:sz w:val="20"/>
          <w:szCs w:val="20"/>
          <w:color w:val="auto"/>
        </w:rPr>
      </w:pPr>
    </w:p>
    <w:p>
      <w:pPr>
        <w:ind w:left="5360"/>
        <w:spacing w:after="0"/>
        <w:tabs>
          <w:tab w:leader="none" w:pos="6960" w:val="left"/>
        </w:tabs>
        <w:rPr>
          <w:sz w:val="20"/>
          <w:szCs w:val="20"/>
          <w:color w:val="auto"/>
        </w:rPr>
      </w:pPr>
      <w:r>
        <w:rPr>
          <w:rFonts w:ascii="Courier New" w:cs="Courier New" w:eastAsia="Courier New" w:hAnsi="Courier New"/>
          <w:sz w:val="12"/>
          <w:szCs w:val="12"/>
          <w:color w:val="auto"/>
        </w:rPr>
        <w:t>consolidated</w:t>
      </w:r>
      <w:r>
        <w:rPr>
          <w:sz w:val="20"/>
          <w:szCs w:val="20"/>
          <w:color w:val="auto"/>
        </w:rPr>
        <w:tab/>
      </w:r>
      <w:r>
        <w:rPr>
          <w:rFonts w:ascii="Courier New" w:cs="Courier New" w:eastAsia="Courier New" w:hAnsi="Courier New"/>
          <w:sz w:val="12"/>
          <w:szCs w:val="12"/>
          <w:color w:val="auto"/>
        </w:rPr>
        <w:t>quarterly</w:t>
      </w:r>
    </w:p>
    <w:p>
      <w:pPr>
        <w:spacing w:after="0" w:line="6" w:lineRule="exact"/>
        <w:rPr>
          <w:sz w:val="20"/>
          <w:szCs w:val="20"/>
          <w:color w:val="auto"/>
        </w:rPr>
      </w:pPr>
    </w:p>
    <w:p>
      <w:pPr>
        <w:ind w:left="5360"/>
        <w:spacing w:after="0"/>
        <w:tabs>
          <w:tab w:leader="none" w:pos="6080" w:val="left"/>
          <w:tab w:leader="none" w:pos="6680" w:val="left"/>
          <w:tab w:leader="none" w:pos="7420" w:val="left"/>
        </w:tabs>
        <w:rPr>
          <w:sz w:val="20"/>
          <w:szCs w:val="20"/>
          <w:color w:val="auto"/>
        </w:rPr>
      </w:pPr>
      <w:r>
        <w:rPr>
          <w:rFonts w:ascii="Courier New" w:cs="Courier New" w:eastAsia="Courier New" w:hAnsi="Courier New"/>
          <w:sz w:val="12"/>
          <w:szCs w:val="12"/>
          <w:color w:val="auto"/>
        </w:rPr>
        <w:t>Accounts</w:t>
        <w:tab/>
        <w:t>of the</w:t>
        <w:tab/>
        <w:t>Borrower</w:t>
        <w:tab/>
        <w:t>for</w:t>
      </w:r>
    </w:p>
    <w:p>
      <w:pPr>
        <w:spacing w:after="0" w:line="6" w:lineRule="exact"/>
        <w:rPr>
          <w:sz w:val="20"/>
          <w:szCs w:val="20"/>
          <w:color w:val="auto"/>
        </w:rPr>
      </w:pPr>
    </w:p>
    <w:p>
      <w:pPr>
        <w:ind w:left="5360"/>
        <w:spacing w:after="0"/>
        <w:tabs>
          <w:tab w:leader="none" w:pos="5800" w:val="left"/>
          <w:tab w:leader="none" w:pos="6520" w:val="left"/>
          <w:tab w:leader="none" w:pos="7200" w:val="left"/>
        </w:tabs>
        <w:rPr>
          <w:sz w:val="20"/>
          <w:szCs w:val="20"/>
          <w:color w:val="auto"/>
        </w:rPr>
      </w:pPr>
      <w:r>
        <w:rPr>
          <w:rFonts w:ascii="Courier New" w:cs="Courier New" w:eastAsia="Courier New" w:hAnsi="Courier New"/>
          <w:sz w:val="12"/>
          <w:szCs w:val="12"/>
          <w:color w:val="auto"/>
        </w:rPr>
        <w:t>each</w:t>
        <w:tab/>
        <w:t>Quarter</w:t>
        <w:tab/>
        <w:t>falling</w:t>
        <w:tab/>
        <w:t>within</w:t>
      </w:r>
    </w:p>
    <w:p>
      <w:pPr>
        <w:spacing w:after="0" w:line="6" w:lineRule="exact"/>
        <w:rPr>
          <w:sz w:val="20"/>
          <w:szCs w:val="20"/>
          <w:color w:val="auto"/>
        </w:rPr>
      </w:pPr>
    </w:p>
    <w:p>
      <w:pPr>
        <w:ind w:left="5360"/>
        <w:spacing w:after="0"/>
        <w:rPr>
          <w:sz w:val="20"/>
          <w:szCs w:val="20"/>
          <w:color w:val="auto"/>
        </w:rPr>
      </w:pPr>
      <w:r>
        <w:rPr>
          <w:rFonts w:ascii="Courier New" w:cs="Courier New" w:eastAsia="Courier New" w:hAnsi="Courier New"/>
          <w:sz w:val="12"/>
          <w:szCs w:val="12"/>
          <w:color w:val="auto"/>
        </w:rPr>
        <w:t>such Four-Quarter Period; and</w:t>
      </w:r>
    </w:p>
    <w:p>
      <w:pPr>
        <w:spacing w:after="0" w:line="147" w:lineRule="exact"/>
        <w:rPr>
          <w:sz w:val="20"/>
          <w:szCs w:val="20"/>
          <w:color w:val="auto"/>
        </w:rPr>
      </w:pPr>
    </w:p>
    <w:p>
      <w:pPr>
        <w:ind w:left="4340"/>
        <w:spacing w:after="0"/>
        <w:tabs>
          <w:tab w:leader="none" w:pos="4840" w:val="left"/>
          <w:tab w:leader="none" w:pos="5200" w:val="left"/>
          <w:tab w:leader="none" w:pos="5580" w:val="left"/>
          <w:tab w:leader="none" w:pos="6300" w:val="left"/>
          <w:tab w:leader="none" w:pos="6680" w:val="left"/>
          <w:tab w:leader="none" w:pos="7040" w:val="left"/>
        </w:tabs>
        <w:rPr>
          <w:sz w:val="20"/>
          <w:szCs w:val="20"/>
          <w:color w:val="auto"/>
        </w:rPr>
      </w:pPr>
      <w:r>
        <w:rPr>
          <w:rFonts w:ascii="Courier New" w:cs="Courier New" w:eastAsia="Courier New" w:hAnsi="Courier New"/>
          <w:sz w:val="12"/>
          <w:szCs w:val="12"/>
          <w:color w:val="auto"/>
        </w:rPr>
        <w:t>(2)</w:t>
      </w:r>
      <w:r>
        <w:rPr>
          <w:sz w:val="20"/>
          <w:szCs w:val="20"/>
          <w:color w:val="auto"/>
        </w:rPr>
        <w:tab/>
      </w:r>
      <w:r>
        <w:rPr>
          <w:rFonts w:ascii="Courier New" w:cs="Courier New" w:eastAsia="Courier New" w:hAnsi="Courier New"/>
          <w:sz w:val="12"/>
          <w:szCs w:val="12"/>
          <w:color w:val="auto"/>
        </w:rPr>
        <w:t>for</w:t>
        <w:tab/>
        <w:t>any</w:t>
        <w:tab/>
        <w:t>Quarter,</w:t>
        <w:tab/>
        <w:t>for</w:t>
        <w:tab/>
        <w:t>the</w:t>
        <w:tab/>
        <w:t>purposes</w:t>
      </w:r>
    </w:p>
    <w:p>
      <w:pPr>
        <w:spacing w:after="0" w:line="6" w:lineRule="exact"/>
        <w:rPr>
          <w:sz w:val="20"/>
          <w:szCs w:val="20"/>
          <w:color w:val="auto"/>
        </w:rPr>
      </w:pPr>
    </w:p>
    <w:p>
      <w:pPr>
        <w:ind w:left="4860"/>
        <w:spacing w:after="0"/>
        <w:tabs>
          <w:tab w:leader="none" w:pos="5280" w:val="left"/>
          <w:tab w:leader="none" w:pos="5580" w:val="left"/>
          <w:tab w:leader="none" w:pos="6820" w:val="left"/>
          <w:tab w:leader="none" w:pos="7420" w:val="left"/>
        </w:tabs>
        <w:rPr>
          <w:sz w:val="20"/>
          <w:szCs w:val="20"/>
          <w:color w:val="auto"/>
        </w:rPr>
      </w:pPr>
      <w:r>
        <w:rPr>
          <w:rFonts w:ascii="Courier New" w:cs="Courier New" w:eastAsia="Courier New" w:hAnsi="Courier New"/>
          <w:sz w:val="12"/>
          <w:szCs w:val="12"/>
          <w:color w:val="auto"/>
        </w:rPr>
        <w:t>only</w:t>
        <w:tab/>
        <w:t>of</w:t>
        <w:tab/>
        <w:t>clause 16.29.5</w:t>
        <w:tab/>
        <w:t>below,</w:t>
        <w:tab/>
        <w:t>the</w:t>
      </w:r>
    </w:p>
    <w:p>
      <w:pPr>
        <w:spacing w:after="0" w:line="6" w:lineRule="exact"/>
        <w:rPr>
          <w:sz w:val="20"/>
          <w:szCs w:val="20"/>
          <w:color w:val="auto"/>
        </w:rPr>
      </w:pPr>
    </w:p>
    <w:p>
      <w:pPr>
        <w:ind w:left="4860"/>
        <w:spacing w:after="0"/>
        <w:tabs>
          <w:tab w:leader="none" w:pos="5340" w:val="left"/>
          <w:tab w:leader="none" w:pos="6080" w:val="left"/>
          <w:tab w:leader="none" w:pos="6600" w:val="left"/>
          <w:tab w:leader="none" w:pos="6960" w:val="left"/>
          <w:tab w:leader="none" w:pos="7480" w:val="left"/>
        </w:tabs>
        <w:rPr>
          <w:sz w:val="20"/>
          <w:szCs w:val="20"/>
          <w:color w:val="auto"/>
        </w:rPr>
      </w:pPr>
      <w:r>
        <w:rPr>
          <w:rFonts w:ascii="Courier New" w:cs="Courier New" w:eastAsia="Courier New" w:hAnsi="Courier New"/>
          <w:sz w:val="12"/>
          <w:szCs w:val="12"/>
          <w:color w:val="auto"/>
        </w:rPr>
        <w:t>items</w:t>
        <w:tab/>
        <w:t>referred</w:t>
        <w:tab/>
        <w:t>to in</w:t>
        <w:tab/>
        <w:t>(1)</w:t>
        <w:tab/>
        <w:t>above</w:t>
        <w:tab/>
        <w:t>in</w:t>
      </w:r>
    </w:p>
    <w:p>
      <w:pPr>
        <w:spacing w:after="0" w:line="6" w:lineRule="exact"/>
        <w:rPr>
          <w:sz w:val="20"/>
          <w:szCs w:val="20"/>
          <w:color w:val="auto"/>
        </w:rPr>
      </w:pPr>
    </w:p>
    <w:p>
      <w:pPr>
        <w:ind w:left="4860"/>
        <w:spacing w:after="0"/>
        <w:tabs>
          <w:tab w:leader="none" w:pos="5500" w:val="left"/>
          <w:tab w:leader="none" w:pos="5800" w:val="left"/>
          <w:tab w:leader="none" w:pos="6240" w:val="left"/>
          <w:tab w:leader="none" w:pos="6960" w:val="left"/>
          <w:tab w:leader="none" w:pos="7480" w:val="left"/>
        </w:tabs>
        <w:rPr>
          <w:sz w:val="20"/>
          <w:szCs w:val="20"/>
          <w:color w:val="auto"/>
        </w:rPr>
      </w:pPr>
      <w:r>
        <w:rPr>
          <w:rFonts w:ascii="Courier New" w:cs="Courier New" w:eastAsia="Courier New" w:hAnsi="Courier New"/>
          <w:sz w:val="12"/>
          <w:szCs w:val="12"/>
          <w:color w:val="auto"/>
        </w:rPr>
        <w:t>respect</w:t>
        <w:tab/>
        <w:t>of</w:t>
        <w:tab/>
        <w:t>such</w:t>
        <w:tab/>
        <w:t>Quarter</w:t>
        <w:tab/>
        <w:t>only,</w:t>
        <w:tab/>
        <w:t>as</w:t>
      </w:r>
    </w:p>
    <w:p>
      <w:pPr>
        <w:spacing w:after="0" w:line="6" w:lineRule="exact"/>
        <w:rPr>
          <w:sz w:val="20"/>
          <w:szCs w:val="20"/>
          <w:color w:val="auto"/>
        </w:rPr>
      </w:pPr>
    </w:p>
    <w:p>
      <w:pPr>
        <w:ind w:left="4860"/>
        <w:spacing w:after="0"/>
        <w:tabs>
          <w:tab w:leader="none" w:pos="5860" w:val="left"/>
          <w:tab w:leader="none" w:pos="6300" w:val="left"/>
          <w:tab w:leader="none" w:pos="6900" w:val="left"/>
        </w:tabs>
        <w:rPr>
          <w:sz w:val="20"/>
          <w:szCs w:val="20"/>
          <w:color w:val="auto"/>
        </w:rPr>
      </w:pPr>
      <w:r>
        <w:rPr>
          <w:rFonts w:ascii="Courier New" w:cs="Courier New" w:eastAsia="Courier New" w:hAnsi="Courier New"/>
          <w:sz w:val="12"/>
          <w:szCs w:val="12"/>
          <w:color w:val="auto"/>
        </w:rPr>
        <w:t>reflected</w:t>
      </w:r>
      <w:r>
        <w:rPr>
          <w:sz w:val="20"/>
          <w:szCs w:val="20"/>
          <w:color w:val="auto"/>
        </w:rPr>
        <w:tab/>
      </w:r>
      <w:r>
        <w:rPr>
          <w:rFonts w:ascii="Courier New" w:cs="Courier New" w:eastAsia="Courier New" w:hAnsi="Courier New"/>
          <w:sz w:val="12"/>
          <w:szCs w:val="12"/>
          <w:color w:val="auto"/>
        </w:rPr>
        <w:t>in</w:t>
      </w:r>
      <w:r>
        <w:rPr>
          <w:sz w:val="20"/>
          <w:szCs w:val="20"/>
          <w:color w:val="auto"/>
        </w:rPr>
        <w:tab/>
      </w:r>
      <w:r>
        <w:rPr>
          <w:rFonts w:ascii="Courier New" w:cs="Courier New" w:eastAsia="Courier New" w:hAnsi="Courier New"/>
          <w:sz w:val="12"/>
          <w:szCs w:val="12"/>
          <w:color w:val="auto"/>
        </w:rPr>
        <w:t>the</w:t>
      </w:r>
      <w:r>
        <w:rPr>
          <w:sz w:val="20"/>
          <w:szCs w:val="20"/>
          <w:color w:val="auto"/>
        </w:rPr>
        <w:tab/>
      </w:r>
      <w:r>
        <w:rPr>
          <w:rFonts w:ascii="Courier New" w:cs="Courier New" w:eastAsia="Courier New" w:hAnsi="Courier New"/>
          <w:sz w:val="12"/>
          <w:szCs w:val="12"/>
          <w:color w:val="auto"/>
        </w:rPr>
        <w:t>Borrower's</w:t>
      </w:r>
    </w:p>
    <w:p>
      <w:pPr>
        <w:spacing w:after="0" w:line="6" w:lineRule="exact"/>
        <w:rPr>
          <w:sz w:val="20"/>
          <w:szCs w:val="20"/>
          <w:color w:val="auto"/>
        </w:rPr>
      </w:pPr>
    </w:p>
    <w:p>
      <w:pPr>
        <w:ind w:left="4860"/>
        <w:spacing w:after="0"/>
        <w:tabs>
          <w:tab w:leader="none" w:pos="5860" w:val="left"/>
          <w:tab w:leader="none" w:pos="6680" w:val="left"/>
          <w:tab w:leader="none" w:pos="7420" w:val="left"/>
        </w:tabs>
        <w:rPr>
          <w:sz w:val="20"/>
          <w:szCs w:val="20"/>
          <w:color w:val="auto"/>
        </w:rPr>
      </w:pPr>
      <w:r>
        <w:rPr>
          <w:rFonts w:ascii="Courier New" w:cs="Courier New" w:eastAsia="Courier New" w:hAnsi="Courier New"/>
          <w:sz w:val="12"/>
          <w:szCs w:val="12"/>
          <w:color w:val="auto"/>
        </w:rPr>
        <w:t>consolidated</w:t>
        <w:tab/>
        <w:t>quarterly</w:t>
        <w:tab/>
        <w:t>Accounts</w:t>
        <w:tab/>
        <w:t>for</w:t>
      </w:r>
    </w:p>
    <w:p>
      <w:pPr>
        <w:spacing w:after="0" w:line="6" w:lineRule="exact"/>
        <w:rPr>
          <w:sz w:val="20"/>
          <w:szCs w:val="20"/>
          <w:color w:val="auto"/>
        </w:rPr>
      </w:pPr>
    </w:p>
    <w:p>
      <w:pPr>
        <w:ind w:left="4860"/>
        <w:spacing w:after="0"/>
        <w:rPr>
          <w:sz w:val="20"/>
          <w:szCs w:val="20"/>
          <w:color w:val="auto"/>
        </w:rPr>
      </w:pPr>
      <w:r>
        <w:rPr>
          <w:rFonts w:ascii="Courier New" w:cs="Courier New" w:eastAsia="Courier New" w:hAnsi="Courier New"/>
          <w:sz w:val="12"/>
          <w:szCs w:val="12"/>
          <w:color w:val="auto"/>
        </w:rPr>
        <w:t>such Quarter;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1.1.44.</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1.1.45.</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"ENCUMBRANCE"</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(a)</w:t>
            </w:r>
          </w:p>
        </w:tc>
        <w:tc>
          <w:tcPr>
            <w:tcW w:w="118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any mortgage,</w:t>
            </w:r>
          </w:p>
        </w:tc>
        <w:tc>
          <w:tcPr>
            <w:tcW w:w="66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rPr>
              <w:t>charge</w:t>
            </w:r>
          </w:p>
        </w:tc>
        <w:tc>
          <w:tcPr>
            <w:tcW w:w="740" w:type="dxa"/>
            <w:vAlign w:val="bottom"/>
            <w:gridSpan w:val="4"/>
          </w:tcPr>
          <w:p>
            <w:pPr>
              <w:jc w:val="right"/>
              <w:ind w:right="79"/>
              <w:spacing w:after="0"/>
              <w:rPr>
                <w:sz w:val="20"/>
                <w:szCs w:val="20"/>
                <w:color w:val="auto"/>
              </w:rPr>
            </w:pPr>
            <w:r>
              <w:rPr>
                <w:rFonts w:ascii="Courier New" w:cs="Courier New" w:eastAsia="Courier New" w:hAnsi="Courier New"/>
                <w:sz w:val="12"/>
                <w:szCs w:val="12"/>
                <w:color w:val="auto"/>
              </w:rPr>
              <w:t>(whether</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fixed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ind w:left="160"/>
              <w:spacing w:after="0"/>
              <w:rPr>
                <w:sz w:val="20"/>
                <w:szCs w:val="20"/>
                <w:color w:val="auto"/>
              </w:rPr>
            </w:pPr>
            <w:r>
              <w:rPr>
                <w:rFonts w:ascii="Courier New" w:cs="Courier New" w:eastAsia="Courier New" w:hAnsi="Courier New"/>
                <w:sz w:val="12"/>
                <w:szCs w:val="12"/>
                <w:color w:val="auto"/>
              </w:rPr>
              <w:t>or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Courier New" w:cs="Courier New" w:eastAsia="Courier New" w:hAnsi="Courier New"/>
                <w:sz w:val="12"/>
                <w:szCs w:val="12"/>
                <w:color w:val="auto"/>
              </w:rPr>
              <w:t>floating),</w:t>
            </w:r>
          </w:p>
        </w:tc>
        <w:tc>
          <w:tcPr>
            <w:tcW w:w="220" w:type="dxa"/>
            <w:vAlign w:val="bottom"/>
          </w:tcPr>
          <w:p>
            <w:pPr>
              <w:spacing w:after="0"/>
              <w:rPr>
                <w:sz w:val="12"/>
                <w:szCs w:val="12"/>
                <w:color w:val="auto"/>
              </w:rPr>
            </w:pPr>
          </w:p>
        </w:tc>
        <w:tc>
          <w:tcPr>
            <w:tcW w:w="660" w:type="dxa"/>
            <w:vAlign w:val="bottom"/>
            <w:gridSpan w:val="3"/>
          </w:tcPr>
          <w:p>
            <w:pPr>
              <w:jc w:val="center"/>
              <w:spacing w:after="0"/>
              <w:rPr>
                <w:sz w:val="20"/>
                <w:szCs w:val="20"/>
                <w:color w:val="auto"/>
              </w:rPr>
            </w:pPr>
            <w:r>
              <w:rPr>
                <w:rFonts w:ascii="Courier New" w:cs="Courier New" w:eastAsia="Courier New" w:hAnsi="Courier New"/>
                <w:sz w:val="12"/>
                <w:szCs w:val="12"/>
                <w:color w:val="auto"/>
              </w:rPr>
              <w:t>pledge,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lien,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80" w:type="dxa"/>
            <w:vAlign w:val="bottom"/>
            <w:gridSpan w:val="12"/>
          </w:tcPr>
          <w:p>
            <w:pPr>
              <w:ind w:left="160"/>
              <w:spacing w:after="0"/>
              <w:rPr>
                <w:sz w:val="20"/>
                <w:szCs w:val="20"/>
                <w:color w:val="auto"/>
              </w:rPr>
            </w:pPr>
            <w:r>
              <w:rPr>
                <w:rFonts w:ascii="Courier New" w:cs="Courier New" w:eastAsia="Courier New" w:hAnsi="Courier New"/>
                <w:sz w:val="12"/>
                <w:szCs w:val="12"/>
                <w:color w:val="auto"/>
              </w:rPr>
              <w:t>assignment,  security interest,</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title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gridSpan w:val="7"/>
          </w:tcPr>
          <w:p>
            <w:pPr>
              <w:ind w:left="160"/>
              <w:spacing w:after="0"/>
              <w:rPr>
                <w:sz w:val="20"/>
                <w:szCs w:val="20"/>
                <w:color w:val="auto"/>
              </w:rPr>
            </w:pPr>
            <w:r>
              <w:rPr>
                <w:rFonts w:ascii="Courier New" w:cs="Courier New" w:eastAsia="Courier New" w:hAnsi="Courier New"/>
                <w:sz w:val="12"/>
                <w:szCs w:val="12"/>
                <w:color w:val="auto"/>
              </w:rPr>
              <w:t>retention or other</w:t>
            </w:r>
          </w:p>
        </w:tc>
        <w:tc>
          <w:tcPr>
            <w:tcW w:w="134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encumbrance of any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kind</w:t>
            </w:r>
          </w:p>
        </w:tc>
        <w:tc>
          <w:tcPr>
            <w:tcW w:w="80" w:type="dxa"/>
            <w:vAlign w:val="bottom"/>
          </w:tcPr>
          <w:p>
            <w:pPr>
              <w:spacing w:after="0"/>
              <w:rPr>
                <w:sz w:val="12"/>
                <w:szCs w:val="12"/>
                <w:color w:val="auto"/>
              </w:rPr>
            </w:pPr>
          </w:p>
        </w:tc>
        <w:tc>
          <w:tcPr>
            <w:tcW w:w="8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securing,</w:t>
            </w: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any</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right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4"/>
          </w:tcPr>
          <w:p>
            <w:pPr>
              <w:ind w:left="160"/>
              <w:spacing w:after="0"/>
              <w:rPr>
                <w:sz w:val="20"/>
                <w:szCs w:val="20"/>
                <w:color w:val="auto"/>
              </w:rPr>
            </w:pPr>
            <w:r>
              <w:rPr>
                <w:rFonts w:ascii="Courier New" w:cs="Courier New" w:eastAsia="Courier New" w:hAnsi="Courier New"/>
                <w:sz w:val="12"/>
                <w:szCs w:val="12"/>
                <w:color w:val="auto"/>
                <w:w w:val="99"/>
              </w:rPr>
              <w:t>conferring</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a</w:t>
            </w: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priority</w:t>
            </w:r>
          </w:p>
        </w:tc>
        <w:tc>
          <w:tcPr>
            <w:tcW w:w="11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of payment 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60" w:type="dxa"/>
            <w:vAlign w:val="bottom"/>
            <w:gridSpan w:val="14"/>
          </w:tcPr>
          <w:p>
            <w:pPr>
              <w:ind w:left="160"/>
              <w:spacing w:after="0"/>
              <w:rPr>
                <w:sz w:val="20"/>
                <w:szCs w:val="20"/>
                <w:color w:val="auto"/>
              </w:rPr>
            </w:pPr>
            <w:r>
              <w:rPr>
                <w:rFonts w:ascii="Courier New" w:cs="Courier New" w:eastAsia="Courier New" w:hAnsi="Courier New"/>
                <w:sz w:val="12"/>
                <w:szCs w:val="12"/>
                <w:color w:val="auto"/>
              </w:rPr>
              <w:t>respect  of,  any  obligation  of  any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person;</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(b)</w:t>
            </w:r>
          </w:p>
        </w:tc>
        <w:tc>
          <w:tcPr>
            <w:tcW w:w="1400" w:type="dxa"/>
            <w:vAlign w:val="bottom"/>
            <w:gridSpan w:val="6"/>
          </w:tcPr>
          <w:p>
            <w:pPr>
              <w:ind w:left="160"/>
              <w:spacing w:after="0"/>
              <w:rPr>
                <w:sz w:val="20"/>
                <w:szCs w:val="20"/>
                <w:color w:val="auto"/>
              </w:rPr>
            </w:pPr>
            <w:r>
              <w:rPr>
                <w:rFonts w:ascii="Courier New" w:cs="Courier New" w:eastAsia="Courier New" w:hAnsi="Courier New"/>
                <w:sz w:val="12"/>
                <w:szCs w:val="12"/>
                <w:color w:val="auto"/>
              </w:rPr>
              <w:t>any arrangement</w:t>
            </w:r>
          </w:p>
        </w:tc>
        <w:tc>
          <w:tcPr>
            <w:tcW w:w="1560" w:type="dxa"/>
            <w:vAlign w:val="bottom"/>
            <w:gridSpan w:val="8"/>
          </w:tcPr>
          <w:p>
            <w:pPr>
              <w:spacing w:after="0"/>
              <w:rPr>
                <w:sz w:val="20"/>
                <w:szCs w:val="20"/>
                <w:color w:val="auto"/>
              </w:rPr>
            </w:pPr>
            <w:r>
              <w:rPr>
                <w:rFonts w:ascii="Courier New" w:cs="Courier New" w:eastAsia="Courier New" w:hAnsi="Courier New"/>
                <w:sz w:val="12"/>
                <w:szCs w:val="12"/>
                <w:color w:val="auto"/>
              </w:rPr>
              <w:t>under which moneys 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6"/>
          </w:tcPr>
          <w:p>
            <w:pPr>
              <w:ind w:left="160"/>
              <w:spacing w:after="0"/>
              <w:rPr>
                <w:sz w:val="20"/>
                <w:szCs w:val="20"/>
                <w:color w:val="auto"/>
              </w:rPr>
            </w:pPr>
            <w:r>
              <w:rPr>
                <w:rFonts w:ascii="Courier New" w:cs="Courier New" w:eastAsia="Courier New" w:hAnsi="Courier New"/>
                <w:sz w:val="12"/>
                <w:szCs w:val="12"/>
                <w:color w:val="auto"/>
                <w:w w:val="99"/>
              </w:rPr>
              <w:t>claims to, or the</w:t>
            </w:r>
          </w:p>
        </w:tc>
        <w:tc>
          <w:tcPr>
            <w:tcW w:w="660" w:type="dxa"/>
            <w:vAlign w:val="bottom"/>
            <w:gridSpan w:val="3"/>
          </w:tcPr>
          <w:p>
            <w:pPr>
              <w:ind w:left="160"/>
              <w:spacing w:after="0"/>
              <w:rPr>
                <w:sz w:val="20"/>
                <w:szCs w:val="20"/>
                <w:color w:val="auto"/>
              </w:rPr>
            </w:pPr>
            <w:r>
              <w:rPr>
                <w:rFonts w:ascii="Courier New" w:cs="Courier New" w:eastAsia="Courier New" w:hAnsi="Courier New"/>
                <w:sz w:val="12"/>
                <w:szCs w:val="12"/>
                <w:color w:val="auto"/>
                <w:w w:val="95"/>
              </w:rPr>
              <w:t>benefit</w:t>
            </w:r>
          </w:p>
        </w:tc>
        <w:tc>
          <w:tcPr>
            <w:tcW w:w="90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of, a bank</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or other</w:t>
            </w: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account</w:t>
            </w:r>
          </w:p>
        </w:tc>
        <w:tc>
          <w:tcPr>
            <w:tcW w:w="66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may be</w:t>
            </w:r>
          </w:p>
        </w:tc>
        <w:tc>
          <w:tcPr>
            <w:tcW w:w="6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set-off</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made</w:t>
            </w:r>
          </w:p>
        </w:tc>
        <w:tc>
          <w:tcPr>
            <w:tcW w:w="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Courier New" w:cs="Courier New" w:eastAsia="Courier New" w:hAnsi="Courier New"/>
                <w:sz w:val="12"/>
                <w:szCs w:val="12"/>
                <w:color w:val="auto"/>
              </w:rPr>
              <w:t>subject</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to</w:t>
            </w:r>
          </w:p>
        </w:tc>
        <w:tc>
          <w:tcPr>
            <w:tcW w:w="220" w:type="dxa"/>
            <w:vAlign w:val="bottom"/>
          </w:tcPr>
          <w:p>
            <w:pPr>
              <w:ind w:left="160"/>
              <w:spacing w:after="0"/>
              <w:rPr>
                <w:sz w:val="20"/>
                <w:szCs w:val="20"/>
                <w:color w:val="auto"/>
              </w:rPr>
            </w:pPr>
            <w:r>
              <w:rPr>
                <w:rFonts w:ascii="Courier New" w:cs="Courier New" w:eastAsia="Courier New" w:hAnsi="Courier New"/>
                <w:sz w:val="9"/>
                <w:szCs w:val="9"/>
                <w:color w:val="auto"/>
                <w:w w:val="73"/>
              </w:rPr>
              <w:t>a</w:t>
            </w:r>
          </w:p>
        </w:tc>
        <w:tc>
          <w:tcPr>
            <w:tcW w:w="96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combination</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accounts</w:t>
            </w:r>
          </w:p>
        </w:tc>
        <w:tc>
          <w:tcPr>
            <w:tcW w:w="1160" w:type="dxa"/>
            <w:vAlign w:val="bottom"/>
            <w:gridSpan w:val="5"/>
          </w:tcPr>
          <w:p>
            <w:pPr>
              <w:spacing w:after="0"/>
              <w:rPr>
                <w:sz w:val="20"/>
                <w:szCs w:val="20"/>
                <w:color w:val="auto"/>
              </w:rPr>
            </w:pPr>
            <w:r>
              <w:rPr>
                <w:rFonts w:ascii="Courier New" w:cs="Courier New" w:eastAsia="Courier New" w:hAnsi="Courier New"/>
                <w:sz w:val="12"/>
                <w:szCs w:val="12"/>
                <w:color w:val="auto"/>
              </w:rPr>
              <w:t>so as to effect</w:t>
            </w:r>
          </w:p>
        </w:tc>
        <w:tc>
          <w:tcPr>
            <w:tcW w:w="90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payments 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60" w:type="dxa"/>
            <w:vAlign w:val="bottom"/>
            <w:gridSpan w:val="14"/>
          </w:tcPr>
          <w:p>
            <w:pPr>
              <w:ind w:left="160"/>
              <w:spacing w:after="0"/>
              <w:rPr>
                <w:sz w:val="20"/>
                <w:szCs w:val="20"/>
                <w:color w:val="auto"/>
              </w:rPr>
            </w:pPr>
            <w:r>
              <w:rPr>
                <w:rFonts w:ascii="Courier New" w:cs="Courier New" w:eastAsia="Courier New" w:hAnsi="Courier New"/>
                <w:sz w:val="12"/>
                <w:szCs w:val="12"/>
                <w:color w:val="auto"/>
              </w:rPr>
              <w:t>sums owed or payable to any person; or</w:t>
            </w: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(c)</w:t>
            </w:r>
          </w:p>
        </w:tc>
        <w:tc>
          <w:tcPr>
            <w:tcW w:w="380" w:type="dxa"/>
            <w:vAlign w:val="bottom"/>
          </w:tcPr>
          <w:p>
            <w:pPr>
              <w:ind w:left="160"/>
              <w:spacing w:after="0"/>
              <w:rPr>
                <w:sz w:val="20"/>
                <w:szCs w:val="20"/>
                <w:color w:val="auto"/>
              </w:rPr>
            </w:pPr>
            <w:r>
              <w:rPr>
                <w:rFonts w:ascii="Courier New" w:cs="Courier New" w:eastAsia="Courier New" w:hAnsi="Courier New"/>
                <w:sz w:val="12"/>
                <w:szCs w:val="12"/>
                <w:color w:val="auto"/>
                <w:w w:val="92"/>
              </w:rPr>
              <w:t>any</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Courier New" w:cs="Courier New" w:eastAsia="Courier New" w:hAnsi="Courier New"/>
                <w:sz w:val="12"/>
                <w:szCs w:val="12"/>
                <w:color w:val="auto"/>
              </w:rPr>
              <w:t>other</w:t>
            </w: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type</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c>
          <w:tcPr>
            <w:tcW w:w="220" w:type="dxa"/>
            <w:vAlign w:val="bottom"/>
          </w:tcPr>
          <w:p>
            <w:pPr>
              <w:spacing w:after="0"/>
              <w:rPr>
                <w:sz w:val="24"/>
                <w:szCs w:val="24"/>
                <w:color w:val="auto"/>
              </w:rPr>
            </w:pPr>
          </w:p>
        </w:tc>
        <w:tc>
          <w:tcPr>
            <w:tcW w:w="90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preferential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60" w:type="dxa"/>
            <w:vAlign w:val="bottom"/>
            <w:gridSpan w:val="13"/>
          </w:tcPr>
          <w:p>
            <w:pPr>
              <w:ind w:left="160"/>
              <w:spacing w:after="0"/>
              <w:rPr>
                <w:sz w:val="20"/>
                <w:szCs w:val="20"/>
                <w:color w:val="auto"/>
              </w:rPr>
            </w:pPr>
            <w:r>
              <w:rPr>
                <w:rFonts w:ascii="Courier New" w:cs="Courier New" w:eastAsia="Courier New" w:hAnsi="Courier New"/>
                <w:sz w:val="12"/>
                <w:szCs w:val="12"/>
                <w:color w:val="auto"/>
              </w:rPr>
              <w:t>arrangement having similar effect;</w:t>
            </w:r>
          </w:p>
        </w:tc>
        <w:tc>
          <w:tcPr>
            <w:tcW w:w="300" w:type="dxa"/>
            <w:vAlign w:val="bottom"/>
          </w:tcPr>
          <w:p>
            <w:pPr>
              <w:spacing w:after="0"/>
              <w:rPr>
                <w:sz w:val="12"/>
                <w:szCs w:val="12"/>
                <w:color w:val="auto"/>
              </w:rPr>
            </w:pPr>
          </w:p>
        </w:tc>
      </w:tr>
      <w:tr>
        <w:trPr>
          <w:trHeight w:val="425"/>
        </w:trPr>
        <w:tc>
          <w:tcPr>
            <w:tcW w:w="1020" w:type="dxa"/>
            <w:vAlign w:val="bottom"/>
          </w:tcPr>
          <w:p>
            <w:pPr>
              <w:spacing w:after="0"/>
              <w:rPr>
                <w:sz w:val="24"/>
                <w:szCs w:val="24"/>
                <w:color w:val="auto"/>
              </w:rPr>
            </w:pPr>
          </w:p>
        </w:tc>
        <w:tc>
          <w:tcPr>
            <w:tcW w:w="2660" w:type="dxa"/>
            <w:vAlign w:val="bottom"/>
          </w:tcPr>
          <w:p>
            <w:pPr>
              <w:ind w:left="1700"/>
              <w:spacing w:after="0"/>
              <w:rPr>
                <w:sz w:val="20"/>
                <w:szCs w:val="20"/>
                <w:color w:val="auto"/>
              </w:rPr>
            </w:pPr>
            <w:r>
              <w:rPr>
                <w:rFonts w:ascii="Courier New" w:cs="Courier New" w:eastAsia="Courier New" w:hAnsi="Courier New"/>
                <w:sz w:val="12"/>
                <w:szCs w:val="12"/>
                <w:color w:val="auto"/>
              </w:rPr>
              <w:t>- 20 -</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1.1.46.</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"ENVIRONMENT"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means</w:t>
            </w:r>
          </w:p>
        </w:tc>
        <w:tc>
          <w:tcPr>
            <w:tcW w:w="380" w:type="dxa"/>
            <w:vAlign w:val="bottom"/>
          </w:tcPr>
          <w:p>
            <w:pPr>
              <w:ind w:left="160"/>
              <w:spacing w:after="0"/>
              <w:rPr>
                <w:sz w:val="20"/>
                <w:szCs w:val="20"/>
                <w:color w:val="auto"/>
              </w:rPr>
            </w:pPr>
            <w:r>
              <w:rPr>
                <w:rFonts w:ascii="Courier New" w:cs="Courier New" w:eastAsia="Courier New" w:hAnsi="Courier New"/>
                <w:sz w:val="12"/>
                <w:szCs w:val="12"/>
                <w:color w:val="auto"/>
                <w:w w:val="92"/>
              </w:rPr>
              <w:t>the</w:t>
            </w:r>
          </w:p>
        </w:tc>
        <w:tc>
          <w:tcPr>
            <w:tcW w:w="14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w w:val="99"/>
              </w:rPr>
              <w:t>environment,</w:t>
            </w:r>
          </w:p>
        </w:tc>
        <w:tc>
          <w:tcPr>
            <w:tcW w:w="220" w:type="dxa"/>
            <w:vAlign w:val="bottom"/>
          </w:tcPr>
          <w:p>
            <w:pPr>
              <w:spacing w:after="0"/>
              <w:rPr>
                <w:sz w:val="24"/>
                <w:szCs w:val="24"/>
                <w:color w:val="auto"/>
              </w:rPr>
            </w:pPr>
          </w:p>
        </w:tc>
        <w:tc>
          <w:tcPr>
            <w:tcW w:w="660" w:type="dxa"/>
            <w:vAlign w:val="bottom"/>
            <w:gridSpan w:val="3"/>
          </w:tcPr>
          <w:p>
            <w:pPr>
              <w:jc w:val="center"/>
              <w:spacing w:after="0"/>
              <w:rPr>
                <w:sz w:val="20"/>
                <w:szCs w:val="20"/>
                <w:color w:val="auto"/>
              </w:rPr>
            </w:pPr>
            <w:r>
              <w:rPr>
                <w:rFonts w:ascii="Courier New" w:cs="Courier New" w:eastAsia="Courier New" w:hAnsi="Courier New"/>
                <w:sz w:val="12"/>
                <w:szCs w:val="12"/>
                <w:color w:val="auto"/>
              </w:rPr>
              <w:t>including</w:t>
            </w:r>
          </w:p>
        </w:tc>
        <w:tc>
          <w:tcPr>
            <w:tcW w:w="8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ambient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air,</w:t>
            </w: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7"/>
              </w:rPr>
              <w:t>ground</w:t>
            </w:r>
          </w:p>
        </w:tc>
        <w:tc>
          <w:tcPr>
            <w:tcW w:w="8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water,</w:t>
            </w: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surface</w:t>
            </w:r>
          </w:p>
        </w:tc>
        <w:tc>
          <w:tcPr>
            <w:tcW w:w="740" w:type="dxa"/>
            <w:vAlign w:val="bottom"/>
            <w:gridSpan w:val="4"/>
          </w:tcPr>
          <w:p>
            <w:pPr>
              <w:jc w:val="right"/>
              <w:ind w:right="79"/>
              <w:spacing w:after="0"/>
              <w:rPr>
                <w:sz w:val="20"/>
                <w:szCs w:val="20"/>
                <w:color w:val="auto"/>
              </w:rPr>
            </w:pPr>
            <w:r>
              <w:rPr>
                <w:rFonts w:ascii="Courier New" w:cs="Courier New" w:eastAsia="Courier New" w:hAnsi="Courier New"/>
                <w:sz w:val="12"/>
                <w:szCs w:val="12"/>
                <w:color w:val="auto"/>
              </w:rPr>
              <w:t>water,</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land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0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(surface and sub-surface strata);</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1.1.47.</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"ENVIRONMENTAL CLAIM"</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 any</w:t>
            </w:r>
          </w:p>
        </w:tc>
        <w:tc>
          <w:tcPr>
            <w:tcW w:w="52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claim,</w:t>
            </w:r>
          </w:p>
        </w:tc>
        <w:tc>
          <w:tcPr>
            <w:tcW w:w="7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action,</w:t>
            </w: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cause of</w:t>
            </w:r>
          </w:p>
        </w:tc>
        <w:tc>
          <w:tcPr>
            <w:tcW w:w="8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action,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administrative</w:t>
            </w:r>
          </w:p>
        </w:tc>
        <w:tc>
          <w:tcPr>
            <w:tcW w:w="940" w:type="dxa"/>
            <w:vAlign w:val="bottom"/>
            <w:gridSpan w:val="4"/>
          </w:tcPr>
          <w:p>
            <w:pPr>
              <w:spacing w:after="0"/>
              <w:rPr>
                <w:sz w:val="20"/>
                <w:szCs w:val="20"/>
                <w:color w:val="auto"/>
              </w:rPr>
            </w:pPr>
            <w:r>
              <w:rPr>
                <w:rFonts w:ascii="Courier New" w:cs="Courier New" w:eastAsia="Courier New" w:hAnsi="Courier New"/>
                <w:sz w:val="12"/>
                <w:szCs w:val="12"/>
                <w:color w:val="auto"/>
              </w:rPr>
              <w:t>proceeding,</w:t>
            </w:r>
          </w:p>
        </w:tc>
        <w:tc>
          <w:tcPr>
            <w:tcW w:w="11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investigation,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notice or other</w:t>
            </w:r>
          </w:p>
        </w:tc>
        <w:tc>
          <w:tcPr>
            <w:tcW w:w="720" w:type="dxa"/>
            <w:vAlign w:val="bottom"/>
            <w:gridSpan w:val="3"/>
          </w:tcPr>
          <w:p>
            <w:pPr>
              <w:spacing w:after="0"/>
              <w:rPr>
                <w:sz w:val="20"/>
                <w:szCs w:val="20"/>
                <w:color w:val="auto"/>
              </w:rPr>
            </w:pPr>
            <w:r>
              <w:rPr>
                <w:rFonts w:ascii="Courier New" w:cs="Courier New" w:eastAsia="Courier New" w:hAnsi="Courier New"/>
                <w:sz w:val="12"/>
                <w:szCs w:val="12"/>
                <w:color w:val="auto"/>
                <w:w w:val="97"/>
              </w:rPr>
              <w:t>Proceeding</w:t>
            </w:r>
          </w:p>
        </w:tc>
        <w:tc>
          <w:tcPr>
            <w:tcW w:w="134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by any person 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Governmental</w:t>
            </w:r>
          </w:p>
        </w:tc>
        <w:tc>
          <w:tcPr>
            <w:tcW w:w="8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Body</w:t>
            </w:r>
          </w:p>
        </w:tc>
        <w:tc>
          <w:tcPr>
            <w:tcW w:w="22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alleging</w:t>
            </w:r>
          </w:p>
        </w:tc>
        <w:tc>
          <w:tcPr>
            <w:tcW w:w="220" w:type="dxa"/>
            <w:vAlign w:val="bottom"/>
          </w:tcPr>
          <w:p>
            <w:pPr>
              <w:spacing w:after="0"/>
              <w:rPr>
                <w:sz w:val="12"/>
                <w:szCs w:val="12"/>
                <w:color w:val="auto"/>
              </w:rPr>
            </w:pPr>
          </w:p>
        </w:tc>
        <w:tc>
          <w:tcPr>
            <w:tcW w:w="68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potential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liability</w:t>
            </w:r>
          </w:p>
        </w:tc>
        <w:tc>
          <w:tcPr>
            <w:tcW w:w="14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rPr>
              <w:t>(including</w:t>
            </w: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potential</w:t>
            </w:r>
          </w:p>
        </w:tc>
        <w:tc>
          <w:tcPr>
            <w:tcW w:w="68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liability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for</w:t>
            </w:r>
          </w:p>
        </w:tc>
        <w:tc>
          <w:tcPr>
            <w:tcW w:w="1180" w:type="dxa"/>
            <w:vAlign w:val="bottom"/>
            <w:gridSpan w:val="5"/>
          </w:tcPr>
          <w:p>
            <w:pPr>
              <w:spacing w:after="0"/>
              <w:rPr>
                <w:sz w:val="20"/>
                <w:szCs w:val="20"/>
                <w:color w:val="auto"/>
              </w:rPr>
            </w:pPr>
            <w:r>
              <w:rPr>
                <w:rFonts w:ascii="Courier New" w:cs="Courier New" w:eastAsia="Courier New" w:hAnsi="Courier New"/>
                <w:sz w:val="12"/>
                <w:szCs w:val="12"/>
                <w:color w:val="auto"/>
              </w:rPr>
              <w:t>investigative</w:t>
            </w: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costs,</w:t>
            </w:r>
          </w:p>
        </w:tc>
        <w:tc>
          <w:tcPr>
            <w:tcW w:w="220" w:type="dxa"/>
            <w:vAlign w:val="bottom"/>
          </w:tcPr>
          <w:p>
            <w:pPr>
              <w:spacing w:after="0"/>
              <w:rPr>
                <w:sz w:val="12"/>
                <w:szCs w:val="12"/>
                <w:color w:val="auto"/>
              </w:rPr>
            </w:pP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w w:val="99"/>
              </w:rPr>
              <w:t>cleanup</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costs,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governmental</w:t>
            </w:r>
          </w:p>
        </w:tc>
        <w:tc>
          <w:tcPr>
            <w:tcW w:w="80" w:type="dxa"/>
            <w:vAlign w:val="bottom"/>
          </w:tcPr>
          <w:p>
            <w:pPr>
              <w:spacing w:after="0"/>
              <w:rPr>
                <w:sz w:val="12"/>
                <w:szCs w:val="12"/>
                <w:color w:val="auto"/>
              </w:rPr>
            </w:pPr>
          </w:p>
        </w:tc>
        <w:tc>
          <w:tcPr>
            <w:tcW w:w="8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response</w:t>
            </w:r>
          </w:p>
        </w:tc>
        <w:tc>
          <w:tcPr>
            <w:tcW w:w="220" w:type="dxa"/>
            <w:vAlign w:val="bottom"/>
          </w:tcPr>
          <w:p>
            <w:pPr>
              <w:spacing w:after="0"/>
              <w:rPr>
                <w:sz w:val="12"/>
                <w:szCs w:val="12"/>
                <w:color w:val="auto"/>
              </w:rPr>
            </w:pPr>
          </w:p>
        </w:tc>
        <w:tc>
          <w:tcPr>
            <w:tcW w:w="66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rPr>
              <w:t>costs,</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natural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resources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Courier New" w:cs="Courier New" w:eastAsia="Courier New" w:hAnsi="Courier New"/>
                <w:sz w:val="12"/>
                <w:szCs w:val="12"/>
                <w:color w:val="auto"/>
                <w:w w:val="97"/>
              </w:rPr>
              <w:t>damages,</w:t>
            </w:r>
          </w:p>
        </w:tc>
        <w:tc>
          <w:tcPr>
            <w:tcW w:w="220" w:type="dxa"/>
            <w:vAlign w:val="bottom"/>
          </w:tcPr>
          <w:p>
            <w:pPr>
              <w:spacing w:after="0"/>
              <w:rPr>
                <w:sz w:val="12"/>
                <w:szCs w:val="12"/>
                <w:color w:val="auto"/>
              </w:rPr>
            </w:pP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property</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damages,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personal</w:t>
            </w:r>
          </w:p>
        </w:tc>
        <w:tc>
          <w:tcPr>
            <w:tcW w:w="800" w:type="dxa"/>
            <w:vAlign w:val="bottom"/>
            <w:gridSpan w:val="4"/>
          </w:tcPr>
          <w:p>
            <w:pPr>
              <w:jc w:val="right"/>
              <w:ind w:right="79"/>
              <w:spacing w:after="0"/>
              <w:rPr>
                <w:sz w:val="20"/>
                <w:szCs w:val="20"/>
                <w:color w:val="auto"/>
              </w:rPr>
            </w:pPr>
            <w:r>
              <w:rPr>
                <w:rFonts w:ascii="Courier New" w:cs="Courier New" w:eastAsia="Courier New" w:hAnsi="Courier New"/>
                <w:sz w:val="12"/>
                <w:szCs w:val="12"/>
                <w:color w:val="auto"/>
                <w:w w:val="98"/>
              </w:rPr>
              <w:t>injuries,</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c>
          <w:tcPr>
            <w:tcW w:w="880" w:type="dxa"/>
            <w:vAlign w:val="bottom"/>
            <w:gridSpan w:val="4"/>
          </w:tcPr>
          <w:p>
            <w:pPr>
              <w:ind w:left="160"/>
              <w:spacing w:after="0"/>
              <w:rPr>
                <w:sz w:val="20"/>
                <w:szCs w:val="20"/>
                <w:color w:val="auto"/>
              </w:rPr>
            </w:pPr>
            <w:r>
              <w:rPr>
                <w:rFonts w:ascii="Courier New" w:cs="Courier New" w:eastAsia="Courier New" w:hAnsi="Courier New"/>
                <w:sz w:val="12"/>
                <w:szCs w:val="12"/>
                <w:color w:val="auto"/>
                <w:w w:val="97"/>
              </w:rPr>
              <w:t>penalties)</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arising</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8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out of, based on or resulting</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from:</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 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presence,</w:t>
            </w:r>
          </w:p>
        </w:tc>
        <w:tc>
          <w:tcPr>
            <w:tcW w:w="102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or Release,</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of any</w:t>
            </w:r>
          </w:p>
        </w:tc>
        <w:tc>
          <w:tcPr>
            <w:tcW w:w="8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Materials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Environmental</w:t>
            </w:r>
          </w:p>
        </w:tc>
        <w:tc>
          <w:tcPr>
            <w:tcW w:w="800" w:type="dxa"/>
            <w:vAlign w:val="bottom"/>
            <w:gridSpan w:val="3"/>
          </w:tcPr>
          <w:p>
            <w:pPr>
              <w:jc w:val="center"/>
              <w:ind w:left="99"/>
              <w:spacing w:after="0"/>
              <w:rPr>
                <w:sz w:val="20"/>
                <w:szCs w:val="20"/>
                <w:color w:val="auto"/>
              </w:rPr>
            </w:pPr>
            <w:r>
              <w:rPr>
                <w:rFonts w:ascii="Courier New" w:cs="Courier New" w:eastAsia="Courier New" w:hAnsi="Courier New"/>
                <w:sz w:val="12"/>
                <w:szCs w:val="12"/>
                <w:color w:val="auto"/>
              </w:rPr>
              <w:t>Concern</w:t>
            </w:r>
          </w:p>
        </w:tc>
        <w:tc>
          <w:tcPr>
            <w:tcW w:w="4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at</w:t>
            </w:r>
          </w:p>
        </w:tc>
        <w:tc>
          <w:tcPr>
            <w:tcW w:w="220" w:type="dxa"/>
            <w:vAlign w:val="bottom"/>
          </w:tcPr>
          <w:p>
            <w:pPr>
              <w:jc w:val="center"/>
              <w:spacing w:after="0"/>
              <w:rPr>
                <w:sz w:val="20"/>
                <w:szCs w:val="20"/>
                <w:color w:val="auto"/>
              </w:rPr>
            </w:pPr>
            <w:r>
              <w:rPr>
                <w:rFonts w:ascii="Courier New" w:cs="Courier New" w:eastAsia="Courier New" w:hAnsi="Courier New"/>
                <w:sz w:val="12"/>
                <w:szCs w:val="12"/>
                <w:color w:val="auto"/>
              </w:rPr>
              <w:t>any</w:t>
            </w:r>
          </w:p>
        </w:tc>
        <w:tc>
          <w:tcPr>
            <w:tcW w:w="220" w:type="dxa"/>
            <w:vAlign w:val="bottom"/>
          </w:tcPr>
          <w:p>
            <w:pPr>
              <w:spacing w:after="0"/>
              <w:rPr>
                <w:sz w:val="12"/>
                <w:szCs w:val="12"/>
                <w:color w:val="auto"/>
              </w:rPr>
            </w:pPr>
          </w:p>
        </w:tc>
        <w:tc>
          <w:tcPr>
            <w:tcW w:w="68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location,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whether or not owned,</w:t>
            </w: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leased,</w:t>
            </w:r>
          </w:p>
        </w:tc>
        <w:tc>
          <w:tcPr>
            <w:tcW w:w="11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controlled 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occupied</w:t>
            </w:r>
          </w:p>
        </w:tc>
        <w:tc>
          <w:tcPr>
            <w:tcW w:w="14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rPr>
              <w:t>by</w:t>
            </w:r>
          </w:p>
        </w:tc>
        <w:tc>
          <w:tcPr>
            <w:tcW w:w="280" w:type="dxa"/>
            <w:vAlign w:val="bottom"/>
          </w:tcPr>
          <w:p>
            <w:pPr>
              <w:jc w:val="center"/>
              <w:spacing w:after="0"/>
              <w:rPr>
                <w:sz w:val="20"/>
                <w:szCs w:val="20"/>
                <w:color w:val="auto"/>
              </w:rPr>
            </w:pPr>
            <w:r>
              <w:rPr>
                <w:rFonts w:ascii="Courier New" w:cs="Courier New" w:eastAsia="Courier New" w:hAnsi="Courier New"/>
                <w:sz w:val="12"/>
                <w:szCs w:val="12"/>
                <w:color w:val="auto"/>
              </w:rPr>
              <w:t>the</w:t>
            </w:r>
          </w:p>
        </w:tc>
        <w:tc>
          <w:tcPr>
            <w:tcW w:w="220" w:type="dxa"/>
            <w:vAlign w:val="bottom"/>
          </w:tcPr>
          <w:p>
            <w:pPr>
              <w:spacing w:after="0"/>
              <w:rPr>
                <w:sz w:val="12"/>
                <w:szCs w:val="12"/>
                <w:color w:val="auto"/>
              </w:rPr>
            </w:pP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Borrower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6"/>
              </w:rPr>
              <w:t>or</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its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Subsidiaries;</w:t>
            </w:r>
          </w:p>
        </w:tc>
        <w:tc>
          <w:tcPr>
            <w:tcW w:w="30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Courier New" w:cs="Courier New" w:eastAsia="Courier New" w:hAnsi="Courier New"/>
                <w:sz w:val="12"/>
                <w:szCs w:val="12"/>
                <w:color w:val="auto"/>
              </w:rPr>
              <w:t>or</w:t>
            </w:r>
          </w:p>
        </w:tc>
        <w:tc>
          <w:tcPr>
            <w:tcW w:w="1400" w:type="dxa"/>
            <w:vAlign w:val="bottom"/>
            <w:gridSpan w:val="7"/>
          </w:tcPr>
          <w:p>
            <w:pPr>
              <w:jc w:val="center"/>
              <w:ind w:left="99"/>
              <w:spacing w:after="0"/>
              <w:rPr>
                <w:sz w:val="20"/>
                <w:szCs w:val="20"/>
                <w:color w:val="auto"/>
              </w:rPr>
            </w:pPr>
            <w:r>
              <w:rPr>
                <w:rFonts w:ascii="Courier New" w:cs="Courier New" w:eastAsia="Courier New" w:hAnsi="Courier New"/>
                <w:sz w:val="12"/>
                <w:szCs w:val="12"/>
                <w:color w:val="auto"/>
              </w:rPr>
              <w:t>(b) circumstances</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conditions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Courier New" w:cs="Courier New" w:eastAsia="Courier New" w:hAnsi="Courier New"/>
                <w:sz w:val="12"/>
                <w:szCs w:val="12"/>
                <w:color w:val="auto"/>
              </w:rPr>
              <w:t>forming</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the</w:t>
            </w:r>
          </w:p>
        </w:tc>
        <w:tc>
          <w:tcPr>
            <w:tcW w:w="660" w:type="dxa"/>
            <w:vAlign w:val="bottom"/>
            <w:gridSpan w:val="3"/>
          </w:tcPr>
          <w:p>
            <w:pPr>
              <w:jc w:val="center"/>
              <w:spacing w:after="0"/>
              <w:rPr>
                <w:sz w:val="20"/>
                <w:szCs w:val="20"/>
                <w:color w:val="auto"/>
              </w:rPr>
            </w:pPr>
            <w:r>
              <w:rPr>
                <w:rFonts w:ascii="Courier New" w:cs="Courier New" w:eastAsia="Courier New" w:hAnsi="Courier New"/>
                <w:sz w:val="12"/>
                <w:szCs w:val="12"/>
                <w:color w:val="auto"/>
                <w:w w:val="99"/>
              </w:rPr>
              <w:t>basis</w:t>
            </w:r>
          </w:p>
        </w:tc>
        <w:tc>
          <w:tcPr>
            <w:tcW w:w="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6"/>
              </w:rPr>
              <w:t>of</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violation,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rPr>
              <w:t>or</w:t>
            </w: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alleged</w:t>
            </w:r>
          </w:p>
        </w:tc>
        <w:tc>
          <w:tcPr>
            <w:tcW w:w="880" w:type="dxa"/>
            <w:vAlign w:val="bottom"/>
            <w:gridSpan w:val="4"/>
          </w:tcPr>
          <w:p>
            <w:pPr>
              <w:ind w:left="160"/>
              <w:spacing w:after="0"/>
              <w:rPr>
                <w:sz w:val="20"/>
                <w:szCs w:val="20"/>
                <w:color w:val="auto"/>
              </w:rPr>
            </w:pPr>
            <w:r>
              <w:rPr>
                <w:rFonts w:ascii="Courier New" w:cs="Courier New" w:eastAsia="Courier New" w:hAnsi="Courier New"/>
                <w:sz w:val="12"/>
                <w:szCs w:val="12"/>
                <w:color w:val="auto"/>
                <w:w w:val="97"/>
              </w:rPr>
              <w:t>violation,</w:t>
            </w:r>
          </w:p>
        </w:tc>
        <w:tc>
          <w:tcPr>
            <w:tcW w:w="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0" w:type="dxa"/>
            <w:vAlign w:val="bottom"/>
            <w:gridSpan w:val="12"/>
          </w:tcPr>
          <w:p>
            <w:pPr>
              <w:ind w:left="80"/>
              <w:spacing w:after="0"/>
              <w:rPr>
                <w:sz w:val="20"/>
                <w:szCs w:val="20"/>
                <w:color w:val="auto"/>
              </w:rPr>
            </w:pPr>
            <w:r>
              <w:rPr>
                <w:rFonts w:ascii="Courier New" w:cs="Courier New" w:eastAsia="Courier New" w:hAnsi="Courier New"/>
                <w:sz w:val="12"/>
                <w:szCs w:val="12"/>
                <w:color w:val="auto"/>
              </w:rPr>
              <w:t>Environmental  Law.  For the  purpose</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of 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aforegoing,</w:t>
            </w:r>
          </w:p>
        </w:tc>
        <w:tc>
          <w:tcPr>
            <w:tcW w:w="8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Courier New" w:cs="Courier New" w:eastAsia="Courier New" w:hAnsi="Courier New"/>
                <w:sz w:val="12"/>
                <w:szCs w:val="12"/>
                <w:color w:val="auto"/>
              </w:rPr>
              <w:t>"RELEASE"</w:t>
            </w: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means</w:t>
            </w:r>
          </w:p>
        </w:tc>
        <w:tc>
          <w:tcPr>
            <w:tcW w:w="44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any</w:t>
            </w:r>
          </w:p>
        </w:tc>
        <w:tc>
          <w:tcPr>
            <w:tcW w:w="68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spilling,</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leaking,</w:t>
            </w:r>
          </w:p>
        </w:tc>
        <w:tc>
          <w:tcPr>
            <w:tcW w:w="14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pumping,</w:t>
            </w:r>
          </w:p>
        </w:tc>
        <w:tc>
          <w:tcPr>
            <w:tcW w:w="22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pouring,</w:t>
            </w:r>
          </w:p>
        </w:tc>
        <w:tc>
          <w:tcPr>
            <w:tcW w:w="220" w:type="dxa"/>
            <w:vAlign w:val="bottom"/>
          </w:tcPr>
          <w:p>
            <w:pPr>
              <w:spacing w:after="0"/>
              <w:rPr>
                <w:sz w:val="12"/>
                <w:szCs w:val="12"/>
                <w:color w:val="auto"/>
              </w:rPr>
            </w:pPr>
          </w:p>
        </w:tc>
        <w:tc>
          <w:tcPr>
            <w:tcW w:w="68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emitting,</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discharging,</w:t>
            </w:r>
          </w:p>
        </w:tc>
        <w:tc>
          <w:tcPr>
            <w:tcW w:w="80" w:type="dxa"/>
            <w:vAlign w:val="bottom"/>
          </w:tcPr>
          <w:p>
            <w:pPr>
              <w:spacing w:after="0"/>
              <w:rPr>
                <w:sz w:val="12"/>
                <w:szCs w:val="12"/>
                <w:color w:val="auto"/>
              </w:rPr>
            </w:pPr>
          </w:p>
        </w:tc>
        <w:tc>
          <w:tcPr>
            <w:tcW w:w="8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injecting,</w:t>
            </w:r>
          </w:p>
        </w:tc>
        <w:tc>
          <w:tcPr>
            <w:tcW w:w="1560" w:type="dxa"/>
            <w:vAlign w:val="bottom"/>
            <w:gridSpan w:val="8"/>
          </w:tcPr>
          <w:p>
            <w:pPr>
              <w:ind w:left="160"/>
              <w:spacing w:after="0"/>
              <w:rPr>
                <w:sz w:val="20"/>
                <w:szCs w:val="20"/>
                <w:color w:val="auto"/>
              </w:rPr>
            </w:pPr>
            <w:r>
              <w:rPr>
                <w:rFonts w:ascii="Courier New" w:cs="Courier New" w:eastAsia="Courier New" w:hAnsi="Courier New"/>
                <w:sz w:val="12"/>
                <w:szCs w:val="12"/>
                <w:color w:val="auto"/>
              </w:rPr>
              <w:t>escaping, leaching,</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dumping or</w:t>
            </w:r>
          </w:p>
        </w:tc>
        <w:tc>
          <w:tcPr>
            <w:tcW w:w="14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w w:val="98"/>
              </w:rPr>
              <w:t>disposing</w:t>
            </w:r>
          </w:p>
        </w:tc>
        <w:tc>
          <w:tcPr>
            <w:tcW w:w="88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into the</w:t>
            </w:r>
          </w:p>
        </w:tc>
        <w:tc>
          <w:tcPr>
            <w:tcW w:w="90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Environment,</w:t>
            </w:r>
          </w:p>
        </w:tc>
      </w:tr>
    </w:tbl>
    <w:p>
      <w:pPr>
        <w:sectPr>
          <w:pgSz w:w="11900" w:h="16865" w:orient="portrait"/>
          <w:cols w:equalWidth="0" w:num="1">
            <w:col w:w="10239"/>
          </w:cols>
          <w:pgMar w:left="220" w:top="141" w:right="1440" w:bottom="0" w:gutter="0" w:footer="0" w:header="0"/>
        </w:sectPr>
      </w:pPr>
    </w:p>
    <w:bookmarkStart w:id="82" w:name="page83"/>
    <w:bookmarkEnd w:id="82"/>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including</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104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abandonment</w:t>
            </w:r>
          </w:p>
        </w:tc>
        <w:tc>
          <w:tcPr>
            <w:tcW w:w="126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or discarding 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barrels,</w:t>
            </w:r>
          </w:p>
        </w:tc>
        <w:tc>
          <w:tcPr>
            <w:tcW w:w="220" w:type="dxa"/>
            <w:vAlign w:val="bottom"/>
          </w:tcPr>
          <w:p>
            <w:pPr>
              <w:spacing w:after="0"/>
              <w:rPr>
                <w:sz w:val="12"/>
                <w:szCs w:val="12"/>
                <w:color w:val="auto"/>
              </w:rPr>
            </w:pPr>
          </w:p>
        </w:tc>
        <w:tc>
          <w:tcPr>
            <w:tcW w:w="82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9"/>
              </w:rPr>
              <w:t>containers</w:t>
            </w: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and</w:t>
            </w:r>
          </w:p>
        </w:tc>
        <w:tc>
          <w:tcPr>
            <w:tcW w:w="140" w:type="dxa"/>
            <w:vAlign w:val="bottom"/>
          </w:tcPr>
          <w:p>
            <w:pPr>
              <w:spacing w:after="0"/>
              <w:rPr>
                <w:sz w:val="12"/>
                <w:szCs w:val="12"/>
                <w:color w:val="auto"/>
              </w:rPr>
            </w:pP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4"/>
              </w:rPr>
              <w:t>other</w:t>
            </w:r>
          </w:p>
        </w:tc>
        <w:tc>
          <w:tcPr>
            <w:tcW w:w="24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closed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receptacles</w:t>
            </w:r>
          </w:p>
        </w:tc>
        <w:tc>
          <w:tcPr>
            <w:tcW w:w="220" w:type="dxa"/>
            <w:vAlign w:val="bottom"/>
          </w:tcPr>
          <w:p>
            <w:pPr>
              <w:spacing w:after="0"/>
              <w:rPr>
                <w:sz w:val="12"/>
                <w:szCs w:val="12"/>
                <w:color w:val="auto"/>
              </w:rPr>
            </w:pPr>
          </w:p>
        </w:tc>
        <w:tc>
          <w:tcPr>
            <w:tcW w:w="104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containing</w:t>
            </w:r>
          </w:p>
        </w:tc>
        <w:tc>
          <w:tcPr>
            <w:tcW w:w="14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Courier New" w:cs="Courier New" w:eastAsia="Courier New" w:hAnsi="Courier New"/>
                <w:sz w:val="12"/>
                <w:szCs w:val="12"/>
                <w:color w:val="auto"/>
              </w:rPr>
              <w:t>Materials</w:t>
            </w:r>
          </w:p>
        </w:tc>
        <w:tc>
          <w:tcPr>
            <w:tcW w:w="1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2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Environmental Concern];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1.1.48.</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"ENVIRONMENTAL LAWS"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gridSpan w:val="2"/>
          </w:tcPr>
          <w:p>
            <w:pPr>
              <w:ind w:left="160"/>
              <w:spacing w:after="0"/>
              <w:rPr>
                <w:sz w:val="20"/>
                <w:szCs w:val="20"/>
                <w:color w:val="auto"/>
              </w:rPr>
            </w:pPr>
            <w:r>
              <w:rPr>
                <w:rFonts w:ascii="Courier New" w:cs="Courier New" w:eastAsia="Courier New" w:hAnsi="Courier New"/>
                <w:sz w:val="12"/>
                <w:szCs w:val="12"/>
                <w:color w:val="auto"/>
                <w:w w:val="94"/>
              </w:rPr>
              <w:t>means</w:t>
            </w:r>
          </w:p>
        </w:tc>
        <w:tc>
          <w:tcPr>
            <w:tcW w:w="1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all</w:t>
            </w:r>
          </w:p>
        </w:tc>
        <w:tc>
          <w:tcPr>
            <w:tcW w:w="52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laws</w:t>
            </w:r>
          </w:p>
        </w:tc>
        <w:tc>
          <w:tcPr>
            <w:tcW w:w="16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Courier New" w:cs="Courier New" w:eastAsia="Courier New" w:hAnsi="Courier New"/>
                <w:sz w:val="12"/>
                <w:szCs w:val="12"/>
                <w:color w:val="auto"/>
                <w:w w:val="97"/>
              </w:rPr>
              <w:t>(including</w:t>
            </w:r>
          </w:p>
        </w:tc>
        <w:tc>
          <w:tcPr>
            <w:tcW w:w="2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regulations,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ordinances,</w:t>
            </w:r>
          </w:p>
        </w:tc>
        <w:tc>
          <w:tcPr>
            <w:tcW w:w="1260" w:type="dxa"/>
            <w:vAlign w:val="bottom"/>
            <w:gridSpan w:val="6"/>
          </w:tcPr>
          <w:p>
            <w:pPr>
              <w:ind w:left="160"/>
              <w:spacing w:after="0"/>
              <w:rPr>
                <w:sz w:val="20"/>
                <w:szCs w:val="20"/>
                <w:color w:val="auto"/>
              </w:rPr>
            </w:pPr>
            <w:r>
              <w:rPr>
                <w:rFonts w:ascii="Courier New" w:cs="Courier New" w:eastAsia="Courier New" w:hAnsi="Courier New"/>
                <w:sz w:val="12"/>
                <w:szCs w:val="12"/>
                <w:color w:val="auto"/>
              </w:rPr>
              <w:t>codes, rules,</w:t>
            </w:r>
          </w:p>
        </w:tc>
        <w:tc>
          <w:tcPr>
            <w:tcW w:w="58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9"/>
              </w:rPr>
              <w:t>Orders,</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decrees,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6"/>
          </w:tcPr>
          <w:p>
            <w:pPr>
              <w:ind w:left="80"/>
              <w:spacing w:after="0"/>
              <w:rPr>
                <w:sz w:val="20"/>
                <w:szCs w:val="20"/>
                <w:color w:val="auto"/>
              </w:rPr>
            </w:pPr>
            <w:r>
              <w:rPr>
                <w:rFonts w:ascii="Courier New" w:cs="Courier New" w:eastAsia="Courier New" w:hAnsi="Courier New"/>
                <w:sz w:val="12"/>
                <w:szCs w:val="12"/>
                <w:color w:val="auto"/>
              </w:rPr>
              <w:t>directives   and   standards)   relating   to</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pollution</w:t>
            </w: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or</w:t>
            </w:r>
          </w:p>
        </w:tc>
        <w:tc>
          <w:tcPr>
            <w:tcW w:w="82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9"/>
              </w:rPr>
              <w:t>protection</w:t>
            </w:r>
          </w:p>
        </w:tc>
        <w:tc>
          <w:tcPr>
            <w:tcW w:w="148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of human health 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the</w:t>
            </w:r>
          </w:p>
        </w:tc>
        <w:tc>
          <w:tcPr>
            <w:tcW w:w="960" w:type="dxa"/>
            <w:vAlign w:val="bottom"/>
            <w:gridSpan w:val="5"/>
          </w:tcPr>
          <w:p>
            <w:pPr>
              <w:jc w:val="right"/>
              <w:ind w:right="79"/>
              <w:spacing w:after="0"/>
              <w:rPr>
                <w:sz w:val="20"/>
                <w:szCs w:val="20"/>
                <w:color w:val="auto"/>
              </w:rPr>
            </w:pPr>
            <w:r>
              <w:rPr>
                <w:rFonts w:ascii="Courier New" w:cs="Courier New" w:eastAsia="Courier New" w:hAnsi="Courier New"/>
                <w:sz w:val="12"/>
                <w:szCs w:val="12"/>
                <w:color w:val="auto"/>
              </w:rPr>
              <w:t>Environment</w:t>
            </w: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w w:val="99"/>
              </w:rPr>
              <w:t>(including</w:t>
            </w:r>
          </w:p>
        </w:tc>
        <w:tc>
          <w:tcPr>
            <w:tcW w:w="140" w:type="dxa"/>
            <w:vAlign w:val="bottom"/>
          </w:tcPr>
          <w:p>
            <w:pPr>
              <w:spacing w:after="0"/>
              <w:rPr>
                <w:sz w:val="12"/>
                <w:szCs w:val="12"/>
                <w:color w:val="auto"/>
              </w:rPr>
            </w:pPr>
          </w:p>
        </w:tc>
        <w:tc>
          <w:tcPr>
            <w:tcW w:w="11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relating to 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manufacture,</w:t>
            </w: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processing,</w:t>
            </w:r>
          </w:p>
        </w:tc>
        <w:tc>
          <w:tcPr>
            <w:tcW w:w="148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distribution, use,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treatment,</w:t>
            </w:r>
          </w:p>
        </w:tc>
        <w:tc>
          <w:tcPr>
            <w:tcW w:w="162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storage, transport,</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planning 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building</w:t>
            </w:r>
          </w:p>
        </w:tc>
        <w:tc>
          <w:tcPr>
            <w:tcW w:w="44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or</w:t>
            </w:r>
          </w:p>
        </w:tc>
        <w:tc>
          <w:tcPr>
            <w:tcW w:w="82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handling</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c>
          <w:tcPr>
            <w:tcW w:w="126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Materials   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2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Environmental Concern);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25"/>
        </w:trPr>
        <w:tc>
          <w:tcPr>
            <w:tcW w:w="1020" w:type="dxa"/>
            <w:vAlign w:val="bottom"/>
          </w:tcPr>
          <w:p>
            <w:pPr>
              <w:spacing w:after="0"/>
              <w:rPr>
                <w:sz w:val="24"/>
                <w:szCs w:val="24"/>
                <w:color w:val="auto"/>
              </w:rPr>
            </w:pPr>
          </w:p>
        </w:tc>
        <w:tc>
          <w:tcPr>
            <w:tcW w:w="2660" w:type="dxa"/>
            <w:vAlign w:val="bottom"/>
          </w:tcPr>
          <w:p>
            <w:pPr>
              <w:ind w:left="1700"/>
              <w:spacing w:after="0"/>
              <w:rPr>
                <w:sz w:val="20"/>
                <w:szCs w:val="20"/>
                <w:color w:val="auto"/>
              </w:rPr>
            </w:pPr>
            <w:r>
              <w:rPr>
                <w:rFonts w:ascii="Courier New" w:cs="Courier New" w:eastAsia="Courier New" w:hAnsi="Courier New"/>
                <w:sz w:val="12"/>
                <w:szCs w:val="12"/>
                <w:color w:val="auto"/>
              </w:rPr>
              <w:t>- 21 -</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1.1.49.</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"ENVIRONMENTAL</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020" w:type="dxa"/>
            <w:vAlign w:val="bottom"/>
          </w:tcPr>
          <w:p>
            <w:pPr>
              <w:spacing w:after="0"/>
              <w:rPr>
                <w:sz w:val="12"/>
                <w:szCs w:val="12"/>
                <w:color w:val="auto"/>
              </w:rPr>
            </w:pP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PERMITS"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means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any</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permits,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licences,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authorisations,</w:t>
            </w: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Consents,</w:t>
            </w:r>
          </w:p>
        </w:tc>
        <w:tc>
          <w:tcPr>
            <w:tcW w:w="14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Courier New" w:cs="Courier New" w:eastAsia="Courier New" w:hAnsi="Courier New"/>
                <w:sz w:val="12"/>
                <w:szCs w:val="12"/>
                <w:color w:val="auto"/>
              </w:rPr>
              <w:t>approvals</w:t>
            </w:r>
          </w:p>
        </w:tc>
        <w:tc>
          <w:tcPr>
            <w:tcW w:w="1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registrations</w:t>
            </w:r>
          </w:p>
        </w:tc>
        <w:tc>
          <w:tcPr>
            <w:tcW w:w="82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required</w:t>
            </w:r>
          </w:p>
        </w:tc>
        <w:tc>
          <w:tcPr>
            <w:tcW w:w="80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pursuant</w:t>
            </w:r>
          </w:p>
        </w:tc>
        <w:tc>
          <w:tcPr>
            <w:tcW w:w="3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to</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Environmental Laws;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1.1.49A</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1.1.50.</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"EQUITY WAFER PARTNER"</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means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rPr>
              <w:t>Sandisk,</w:t>
            </w:r>
          </w:p>
        </w:tc>
        <w:tc>
          <w:tcPr>
            <w:tcW w:w="7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Alliance,</w:t>
            </w:r>
          </w:p>
        </w:tc>
        <w:tc>
          <w:tcPr>
            <w:tcW w:w="140" w:type="dxa"/>
            <w:vAlign w:val="bottom"/>
          </w:tcPr>
          <w:p>
            <w:pPr>
              <w:spacing w:after="0"/>
              <w:rPr>
                <w:sz w:val="24"/>
                <w:szCs w:val="24"/>
                <w:color w:val="auto"/>
              </w:rPr>
            </w:pPr>
          </w:p>
        </w:tc>
        <w:tc>
          <w:tcPr>
            <w:tcW w:w="6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Macronix</w:t>
            </w:r>
          </w:p>
        </w:tc>
        <w:tc>
          <w:tcPr>
            <w:tcW w:w="1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QuickLogic;</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1.1.51.</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"EVENT OF DEFAULT"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means</w:t>
            </w:r>
          </w:p>
        </w:tc>
        <w:tc>
          <w:tcPr>
            <w:tcW w:w="80" w:type="dxa"/>
            <w:vAlign w:val="bottom"/>
          </w:tcPr>
          <w:p>
            <w:pPr>
              <w:spacing w:after="0"/>
              <w:rPr>
                <w:sz w:val="24"/>
                <w:szCs w:val="24"/>
                <w:color w:val="auto"/>
              </w:rPr>
            </w:pPr>
          </w:p>
        </w:tc>
        <w:tc>
          <w:tcPr>
            <w:tcW w:w="5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any of</w:t>
            </w: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w w:val="92"/>
              </w:rPr>
              <w:t>the</w:t>
            </w:r>
          </w:p>
        </w:tc>
        <w:tc>
          <w:tcPr>
            <w:tcW w:w="16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rPr>
              <w:t>events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or</w:t>
            </w:r>
          </w:p>
        </w:tc>
        <w:tc>
          <w:tcPr>
            <w:tcW w:w="11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circumstances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described</w:t>
            </w:r>
          </w:p>
        </w:tc>
        <w:tc>
          <w:tcPr>
            <w:tcW w:w="220" w:type="dxa"/>
            <w:vAlign w:val="bottom"/>
          </w:tcPr>
          <w:p>
            <w:pPr>
              <w:spacing w:after="0"/>
              <w:rPr>
                <w:sz w:val="12"/>
                <w:szCs w:val="12"/>
                <w:color w:val="auto"/>
              </w:rPr>
            </w:pPr>
          </w:p>
        </w:tc>
        <w:tc>
          <w:tcPr>
            <w:tcW w:w="300" w:type="dxa"/>
            <w:vAlign w:val="bottom"/>
          </w:tcPr>
          <w:p>
            <w:pPr>
              <w:ind w:left="160"/>
              <w:spacing w:after="0"/>
              <w:rPr>
                <w:sz w:val="20"/>
                <w:szCs w:val="20"/>
                <w:color w:val="auto"/>
              </w:rPr>
            </w:pPr>
            <w:r>
              <w:rPr>
                <w:rFonts w:ascii="Courier New" w:cs="Courier New" w:eastAsia="Courier New" w:hAnsi="Courier New"/>
                <w:sz w:val="12"/>
                <w:szCs w:val="12"/>
                <w:color w:val="auto"/>
                <w:w w:val="82"/>
              </w:rPr>
              <w:t>in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clauses 17.2-17.20B</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(inclusive) below;</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1.1.52.</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"EXCESS CASH FLOW"</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for</w:t>
            </w:r>
          </w:p>
        </w:tc>
        <w:tc>
          <w:tcPr>
            <w:tcW w:w="220" w:type="dxa"/>
            <w:vAlign w:val="bottom"/>
            <w:gridSpan w:val="2"/>
          </w:tcPr>
          <w:p>
            <w:pPr>
              <w:spacing w:after="0"/>
              <w:rPr>
                <w:sz w:val="20"/>
                <w:szCs w:val="20"/>
                <w:color w:val="auto"/>
              </w:rPr>
            </w:pPr>
            <w:r>
              <w:rPr>
                <w:rFonts w:ascii="Courier New" w:cs="Courier New" w:eastAsia="Courier New" w:hAnsi="Courier New"/>
                <w:sz w:val="12"/>
                <w:szCs w:val="12"/>
                <w:color w:val="auto"/>
                <w:w w:val="92"/>
              </w:rPr>
              <w:t>any</w:t>
            </w:r>
          </w:p>
        </w:tc>
        <w:tc>
          <w:tcPr>
            <w:tcW w:w="74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rPr>
              <w:t>Fiscal</w:t>
            </w:r>
          </w:p>
        </w:tc>
        <w:tc>
          <w:tcPr>
            <w:tcW w:w="300" w:type="dxa"/>
            <w:vAlign w:val="bottom"/>
            <w:gridSpan w:val="2"/>
          </w:tcPr>
          <w:p>
            <w:pPr>
              <w:spacing w:after="0"/>
              <w:rPr>
                <w:sz w:val="20"/>
                <w:szCs w:val="20"/>
                <w:color w:val="auto"/>
              </w:rPr>
            </w:pPr>
            <w:r>
              <w:rPr>
                <w:rFonts w:ascii="Courier New" w:cs="Courier New" w:eastAsia="Courier New" w:hAnsi="Courier New"/>
                <w:sz w:val="12"/>
                <w:szCs w:val="12"/>
                <w:color w:val="auto"/>
                <w:w w:val="97"/>
              </w:rPr>
              <w:t>Year</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(or</w:t>
            </w:r>
          </w:p>
        </w:tc>
        <w:tc>
          <w:tcPr>
            <w:tcW w:w="14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Courier New" w:cs="Courier New" w:eastAsia="Courier New" w:hAnsi="Courier New"/>
                <w:sz w:val="12"/>
                <w:szCs w:val="12"/>
                <w:color w:val="auto"/>
              </w:rPr>
              <w:t>Quarter</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under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7"/>
              </w:rPr>
              <w:t>clause</w:t>
            </w:r>
          </w:p>
        </w:tc>
        <w:tc>
          <w:tcPr>
            <w:tcW w:w="140" w:type="dxa"/>
            <w:vAlign w:val="bottom"/>
          </w:tcPr>
          <w:p>
            <w:pPr>
              <w:spacing w:after="0"/>
              <w:rPr>
                <w:sz w:val="12"/>
                <w:szCs w:val="12"/>
                <w:color w:val="auto"/>
              </w:rPr>
            </w:pPr>
          </w:p>
        </w:tc>
        <w:tc>
          <w:tcPr>
            <w:tcW w:w="1620" w:type="dxa"/>
            <w:vAlign w:val="bottom"/>
            <w:gridSpan w:val="8"/>
          </w:tcPr>
          <w:p>
            <w:pPr>
              <w:spacing w:after="0"/>
              <w:rPr>
                <w:sz w:val="20"/>
                <w:szCs w:val="20"/>
                <w:color w:val="auto"/>
              </w:rPr>
            </w:pPr>
            <w:r>
              <w:rPr>
                <w:rFonts w:ascii="Courier New" w:cs="Courier New" w:eastAsia="Courier New" w:hAnsi="Courier New"/>
                <w:sz w:val="12"/>
                <w:szCs w:val="12"/>
                <w:color w:val="auto"/>
              </w:rPr>
              <w:t>7.9.2(c) below only),</w:t>
            </w:r>
          </w:p>
        </w:tc>
        <w:tc>
          <w:tcPr>
            <w:tcW w:w="11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means the cash</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flow</w:t>
            </w:r>
          </w:p>
        </w:tc>
        <w:tc>
          <w:tcPr>
            <w:tcW w:w="8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rPr>
              <w:t>from</w:t>
            </w:r>
          </w:p>
        </w:tc>
        <w:tc>
          <w:tcPr>
            <w:tcW w:w="82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operating</w:t>
            </w:r>
          </w:p>
        </w:tc>
        <w:tc>
          <w:tcPr>
            <w:tcW w:w="102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activities</w:t>
            </w:r>
          </w:p>
        </w:tc>
        <w:tc>
          <w:tcPr>
            <w:tcW w:w="240" w:type="dxa"/>
            <w:vAlign w:val="bottom"/>
          </w:tcPr>
          <w:p>
            <w:pPr>
              <w:spacing w:after="0"/>
              <w:rPr>
                <w:sz w:val="20"/>
                <w:szCs w:val="20"/>
                <w:color w:val="auto"/>
              </w:rPr>
            </w:pPr>
            <w:r>
              <w:rPr>
                <w:rFonts w:ascii="Courier New" w:cs="Courier New" w:eastAsia="Courier New" w:hAnsi="Courier New"/>
                <w:sz w:val="12"/>
                <w:szCs w:val="12"/>
                <w:color w:val="auto"/>
              </w:rPr>
              <w:t>for</w:t>
            </w:r>
          </w:p>
        </w:tc>
        <w:tc>
          <w:tcPr>
            <w:tcW w:w="1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such</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7"/>
              </w:rPr>
              <w:t>Fiscal</w:t>
            </w:r>
          </w:p>
        </w:tc>
        <w:tc>
          <w:tcPr>
            <w:tcW w:w="14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Year,</w:t>
            </w:r>
          </w:p>
        </w:tc>
        <w:tc>
          <w:tcPr>
            <w:tcW w:w="2300" w:type="dxa"/>
            <w:vAlign w:val="bottom"/>
            <w:gridSpan w:val="11"/>
          </w:tcPr>
          <w:p>
            <w:pPr>
              <w:ind w:left="80"/>
              <w:spacing w:after="0"/>
              <w:rPr>
                <w:sz w:val="20"/>
                <w:szCs w:val="20"/>
                <w:color w:val="auto"/>
              </w:rPr>
            </w:pPr>
            <w:r>
              <w:rPr>
                <w:rFonts w:ascii="Courier New" w:cs="Courier New" w:eastAsia="Courier New" w:hAnsi="Courier New"/>
                <w:sz w:val="12"/>
                <w:szCs w:val="12"/>
                <w:color w:val="auto"/>
              </w:rPr>
              <w:t>or Quarter as the case may be,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as reflected in the</w:t>
            </w:r>
          </w:p>
        </w:tc>
        <w:tc>
          <w:tcPr>
            <w:tcW w:w="94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Borrower's</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Accounts for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such Fiscal</w:t>
            </w:r>
          </w:p>
        </w:tc>
        <w:tc>
          <w:tcPr>
            <w:tcW w:w="520" w:type="dxa"/>
            <w:vAlign w:val="bottom"/>
            <w:gridSpan w:val="2"/>
          </w:tcPr>
          <w:p>
            <w:pPr>
              <w:ind w:left="160"/>
              <w:spacing w:after="0"/>
              <w:rPr>
                <w:sz w:val="20"/>
                <w:szCs w:val="20"/>
                <w:color w:val="auto"/>
              </w:rPr>
            </w:pPr>
            <w:r>
              <w:rPr>
                <w:rFonts w:ascii="Courier New" w:cs="Courier New" w:eastAsia="Courier New" w:hAnsi="Courier New"/>
                <w:sz w:val="12"/>
                <w:szCs w:val="12"/>
                <w:color w:val="auto"/>
                <w:w w:val="94"/>
              </w:rPr>
              <w:t>Year,</w:t>
            </w:r>
          </w:p>
        </w:tc>
        <w:tc>
          <w:tcPr>
            <w:tcW w:w="16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Courier New" w:cs="Courier New" w:eastAsia="Courier New" w:hAnsi="Courier New"/>
                <w:sz w:val="12"/>
                <w:szCs w:val="12"/>
                <w:color w:val="auto"/>
                <w:w w:val="82"/>
              </w:rPr>
              <w:t>or</w:t>
            </w:r>
          </w:p>
        </w:tc>
        <w:tc>
          <w:tcPr>
            <w:tcW w:w="80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Quarter,</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as the case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may be,</w:t>
            </w:r>
          </w:p>
        </w:tc>
        <w:tc>
          <w:tcPr>
            <w:tcW w:w="104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determined in</w:t>
            </w:r>
          </w:p>
        </w:tc>
        <w:tc>
          <w:tcPr>
            <w:tcW w:w="102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accordance</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with GAAP</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and expressed in US Dollars;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1.1.53.</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"EXISTING</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020" w:type="dxa"/>
            <w:vAlign w:val="bottom"/>
          </w:tcPr>
          <w:p>
            <w:pPr>
              <w:spacing w:after="0"/>
              <w:rPr>
                <w:sz w:val="12"/>
                <w:szCs w:val="12"/>
                <w:color w:val="auto"/>
              </w:rPr>
            </w:pP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ENCUMBRANCE"</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means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that</w:t>
            </w:r>
          </w:p>
        </w:tc>
        <w:tc>
          <w:tcPr>
            <w:tcW w:w="82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floating</w:t>
            </w:r>
          </w:p>
        </w:tc>
        <w:tc>
          <w:tcPr>
            <w:tcW w:w="22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9"/>
              </w:rPr>
              <w:t>charge,</w:t>
            </w:r>
          </w:p>
        </w:tc>
        <w:tc>
          <w:tcPr>
            <w:tcW w:w="24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ranked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6"/>
          </w:tcPr>
          <w:p>
            <w:pPr>
              <w:ind w:left="80"/>
              <w:spacing w:after="0"/>
              <w:rPr>
                <w:sz w:val="20"/>
                <w:szCs w:val="20"/>
                <w:color w:val="auto"/>
              </w:rPr>
            </w:pPr>
            <w:r>
              <w:rPr>
                <w:rFonts w:ascii="Courier New" w:cs="Courier New" w:eastAsia="Courier New" w:hAnsi="Courier New"/>
                <w:sz w:val="12"/>
                <w:szCs w:val="12"/>
                <w:color w:val="auto"/>
              </w:rPr>
              <w:t>subordinate   to   the   charge   under   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Debenture,</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w w:val="82"/>
              </w:rPr>
              <w:t>in</w:t>
            </w:r>
          </w:p>
        </w:tc>
        <w:tc>
          <w:tcPr>
            <w:tcW w:w="2300" w:type="dxa"/>
            <w:vAlign w:val="bottom"/>
            <w:gridSpan w:val="11"/>
          </w:tcPr>
          <w:p>
            <w:pPr>
              <w:ind w:left="160"/>
              <w:spacing w:after="0"/>
              <w:rPr>
                <w:sz w:val="20"/>
                <w:szCs w:val="20"/>
                <w:color w:val="auto"/>
              </w:rPr>
            </w:pPr>
            <w:r>
              <w:rPr>
                <w:rFonts w:ascii="Courier New" w:cs="Courier New" w:eastAsia="Courier New" w:hAnsi="Courier New"/>
                <w:sz w:val="12"/>
                <w:szCs w:val="12"/>
                <w:color w:val="auto"/>
              </w:rPr>
              <w:t>favour of the State of Israel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and</w:t>
            </w: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rPr>
              <w:t>securing</w:t>
            </w:r>
          </w:p>
        </w:tc>
        <w:tc>
          <w:tcPr>
            <w:tcW w:w="140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Grants made by the</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Investment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Centre in respect</w:t>
            </w:r>
          </w:p>
        </w:tc>
        <w:tc>
          <w:tcPr>
            <w:tcW w:w="7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of Fab 1,</w:t>
            </w:r>
          </w:p>
        </w:tc>
        <w:tc>
          <w:tcPr>
            <w:tcW w:w="140" w:type="dxa"/>
            <w:vAlign w:val="bottom"/>
          </w:tcPr>
          <w:p>
            <w:pPr>
              <w:spacing w:after="0"/>
              <w:rPr>
                <w:sz w:val="12"/>
                <w:szCs w:val="12"/>
                <w:color w:val="auto"/>
              </w:rPr>
            </w:pPr>
          </w:p>
        </w:tc>
        <w:tc>
          <w:tcPr>
            <w:tcW w:w="11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a copy of which</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60" w:type="dxa"/>
            <w:vAlign w:val="bottom"/>
            <w:gridSpan w:val="14"/>
          </w:tcPr>
          <w:p>
            <w:pPr>
              <w:ind w:left="80"/>
              <w:spacing w:after="0"/>
              <w:rPr>
                <w:sz w:val="20"/>
                <w:szCs w:val="20"/>
                <w:color w:val="auto"/>
              </w:rPr>
            </w:pPr>
            <w:r>
              <w:rPr>
                <w:rFonts w:ascii="Courier New" w:cs="Courier New" w:eastAsia="Courier New" w:hAnsi="Courier New"/>
                <w:sz w:val="12"/>
                <w:szCs w:val="12"/>
                <w:color w:val="auto"/>
              </w:rPr>
              <w:t>is attached hereto as SCHEDULE 1.1.53;</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1.1.54.</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"EXISTING ILA LEASES"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means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2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long-term</w:t>
            </w:r>
          </w:p>
        </w:tc>
        <w:tc>
          <w:tcPr>
            <w:tcW w:w="5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lease</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agreements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between the Borrower</w:t>
            </w:r>
          </w:p>
        </w:tc>
        <w:tc>
          <w:tcPr>
            <w:tcW w:w="14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and</w:t>
            </w:r>
          </w:p>
        </w:tc>
        <w:tc>
          <w:tcPr>
            <w:tcW w:w="80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the ILA:</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 dated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September 10,</w:t>
            </w:r>
          </w:p>
        </w:tc>
        <w:tc>
          <w:tcPr>
            <w:tcW w:w="82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1990 (the</w:t>
            </w:r>
          </w:p>
        </w:tc>
        <w:tc>
          <w:tcPr>
            <w:tcW w:w="5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rights</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under which</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were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rPr>
              <w:t>assigned</w:t>
            </w:r>
          </w:p>
        </w:tc>
        <w:tc>
          <w:tcPr>
            <w:tcW w:w="16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Courier New" w:cs="Courier New" w:eastAsia="Courier New" w:hAnsi="Courier New"/>
                <w:sz w:val="12"/>
                <w:szCs w:val="12"/>
                <w:color w:val="auto"/>
                <w:w w:val="82"/>
              </w:rPr>
              <w:t>to</w:t>
            </w: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the</w:t>
            </w:r>
          </w:p>
        </w:tc>
        <w:tc>
          <w:tcPr>
            <w:tcW w:w="140" w:type="dxa"/>
            <w:vAlign w:val="bottom"/>
          </w:tcPr>
          <w:p>
            <w:pPr>
              <w:spacing w:after="0"/>
              <w:rPr>
                <w:sz w:val="12"/>
                <w:szCs w:val="12"/>
                <w:color w:val="auto"/>
              </w:rPr>
            </w:pPr>
          </w:p>
        </w:tc>
        <w:tc>
          <w:tcPr>
            <w:tcW w:w="82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Borrower</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February 28,</w:t>
            </w:r>
          </w:p>
        </w:tc>
        <w:tc>
          <w:tcPr>
            <w:tcW w:w="460" w:type="dxa"/>
            <w:vAlign w:val="bottom"/>
            <w:gridSpan w:val="2"/>
          </w:tcPr>
          <w:p>
            <w:pPr>
              <w:spacing w:after="0"/>
              <w:rPr>
                <w:sz w:val="20"/>
                <w:szCs w:val="20"/>
                <w:color w:val="auto"/>
              </w:rPr>
            </w:pPr>
            <w:r>
              <w:rPr>
                <w:rFonts w:ascii="Courier New" w:cs="Courier New" w:eastAsia="Courier New" w:hAnsi="Courier New"/>
                <w:sz w:val="12"/>
                <w:szCs w:val="12"/>
                <w:color w:val="auto"/>
              </w:rPr>
              <w:t>1992)</w:t>
            </w:r>
          </w:p>
        </w:tc>
        <w:tc>
          <w:tcPr>
            <w:tcW w:w="36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97"/>
              </w:rPr>
              <w:t>with</w:t>
            </w:r>
          </w:p>
        </w:tc>
        <w:tc>
          <w:tcPr>
            <w:tcW w:w="80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8"/>
              </w:rPr>
              <w:t>regard to</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the land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on which</w:t>
            </w:r>
          </w:p>
        </w:tc>
        <w:tc>
          <w:tcPr>
            <w:tcW w:w="1480" w:type="dxa"/>
            <w:vAlign w:val="bottom"/>
            <w:gridSpan w:val="7"/>
          </w:tcPr>
          <w:p>
            <w:pPr>
              <w:ind w:left="160"/>
              <w:spacing w:after="0"/>
              <w:rPr>
                <w:sz w:val="20"/>
                <w:szCs w:val="20"/>
                <w:color w:val="auto"/>
              </w:rPr>
            </w:pPr>
            <w:r>
              <w:rPr>
                <w:rFonts w:ascii="Courier New" w:cs="Courier New" w:eastAsia="Courier New" w:hAnsi="Courier New"/>
                <w:sz w:val="12"/>
                <w:szCs w:val="12"/>
                <w:color w:val="auto"/>
              </w:rPr>
              <w:t>Fab 1 is situated</w:t>
            </w:r>
          </w:p>
        </w:tc>
        <w:tc>
          <w:tcPr>
            <w:tcW w:w="5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(being</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parts 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plots 19-27</w:t>
            </w:r>
          </w:p>
        </w:tc>
        <w:tc>
          <w:tcPr>
            <w:tcW w:w="2520" w:type="dxa"/>
            <w:vAlign w:val="bottom"/>
            <w:gridSpan w:val="12"/>
          </w:tcPr>
          <w:p>
            <w:pPr>
              <w:ind w:left="160"/>
              <w:spacing w:after="0"/>
              <w:rPr>
                <w:sz w:val="20"/>
                <w:szCs w:val="20"/>
                <w:color w:val="auto"/>
              </w:rPr>
            </w:pPr>
            <w:r>
              <w:rPr>
                <w:rFonts w:ascii="Courier New" w:cs="Courier New" w:eastAsia="Courier New" w:hAnsi="Courier New"/>
                <w:sz w:val="12"/>
                <w:szCs w:val="12"/>
                <w:color w:val="auto"/>
              </w:rPr>
              <w:t>(inclusive),  32-35  (inclusive)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and 63 in Block 17453,</w:t>
            </w:r>
          </w:p>
        </w:tc>
        <w:tc>
          <w:tcPr>
            <w:tcW w:w="58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7"/>
              </w:rPr>
              <w:t>Migdal</w:t>
            </w:r>
          </w:p>
        </w:tc>
        <w:tc>
          <w:tcPr>
            <w:tcW w:w="82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Haemek),</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area</w:t>
            </w:r>
          </w:p>
        </w:tc>
        <w:tc>
          <w:tcPr>
            <w:tcW w:w="8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Courier New" w:cs="Courier New" w:eastAsia="Courier New" w:hAnsi="Courier New"/>
                <w:sz w:val="12"/>
                <w:szCs w:val="12"/>
                <w:color w:val="auto"/>
                <w:w w:val="82"/>
              </w:rPr>
              <w:t>of</w:t>
            </w:r>
          </w:p>
        </w:tc>
        <w:tc>
          <w:tcPr>
            <w:tcW w:w="220" w:type="dxa"/>
            <w:vAlign w:val="bottom"/>
          </w:tcPr>
          <w:p>
            <w:pPr>
              <w:spacing w:after="0"/>
              <w:rPr>
                <w:sz w:val="12"/>
                <w:szCs w:val="12"/>
                <w:color w:val="auto"/>
              </w:rPr>
            </w:pPr>
          </w:p>
        </w:tc>
        <w:tc>
          <w:tcPr>
            <w:tcW w:w="5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w w:val="99"/>
              </w:rPr>
              <w:t>which</w:t>
            </w:r>
          </w:p>
        </w:tc>
        <w:tc>
          <w:tcPr>
            <w:tcW w:w="160" w:type="dxa"/>
            <w:vAlign w:val="bottom"/>
          </w:tcPr>
          <w:p>
            <w:pPr>
              <w:spacing w:after="0"/>
              <w:rPr>
                <w:sz w:val="20"/>
                <w:szCs w:val="20"/>
                <w:color w:val="auto"/>
              </w:rPr>
            </w:pPr>
            <w:r>
              <w:rPr>
                <w:rFonts w:ascii="Courier New" w:cs="Courier New" w:eastAsia="Courier New" w:hAnsi="Courier New"/>
                <w:sz w:val="12"/>
                <w:szCs w:val="12"/>
                <w:color w:val="auto"/>
                <w:w w:val="96"/>
              </w:rPr>
              <w:t>is</w:t>
            </w:r>
          </w:p>
        </w:tc>
        <w:tc>
          <w:tcPr>
            <w:tcW w:w="140" w:type="dxa"/>
            <w:vAlign w:val="bottom"/>
          </w:tcPr>
          <w:p>
            <w:pPr>
              <w:spacing w:after="0"/>
              <w:rPr>
                <w:sz w:val="12"/>
                <w:szCs w:val="12"/>
                <w:color w:val="auto"/>
              </w:rPr>
            </w:pPr>
          </w:p>
        </w:tc>
        <w:tc>
          <w:tcPr>
            <w:tcW w:w="10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approximately</w:t>
            </w:r>
          </w:p>
        </w:tc>
        <w:tc>
          <w:tcPr>
            <w:tcW w:w="24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54,766</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w w:val="99"/>
              </w:rPr>
              <w:t>square meters;</w:t>
            </w:r>
          </w:p>
        </w:tc>
        <w:tc>
          <w:tcPr>
            <w:tcW w:w="1180" w:type="dxa"/>
            <w:vAlign w:val="bottom"/>
            <w:gridSpan w:val="6"/>
          </w:tcPr>
          <w:p>
            <w:pPr>
              <w:ind w:left="160"/>
              <w:spacing w:after="0"/>
              <w:rPr>
                <w:sz w:val="20"/>
                <w:szCs w:val="20"/>
                <w:color w:val="auto"/>
              </w:rPr>
            </w:pPr>
            <w:r>
              <w:rPr>
                <w:rFonts w:ascii="Courier New" w:cs="Courier New" w:eastAsia="Courier New" w:hAnsi="Courier New"/>
                <w:sz w:val="12"/>
                <w:szCs w:val="12"/>
                <w:color w:val="auto"/>
              </w:rPr>
              <w:t>and (b) dated</w:t>
            </w:r>
          </w:p>
        </w:tc>
        <w:tc>
          <w:tcPr>
            <w:tcW w:w="6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June 24,</w:t>
            </w:r>
          </w:p>
        </w:tc>
        <w:tc>
          <w:tcPr>
            <w:tcW w:w="1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2003</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with</w:t>
            </w:r>
          </w:p>
        </w:tc>
        <w:tc>
          <w:tcPr>
            <w:tcW w:w="80" w:type="dxa"/>
            <w:vAlign w:val="bottom"/>
          </w:tcPr>
          <w:p>
            <w:pPr>
              <w:spacing w:after="0"/>
              <w:rPr>
                <w:sz w:val="12"/>
                <w:szCs w:val="12"/>
                <w:color w:val="auto"/>
              </w:rPr>
            </w:pP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rPr>
              <w:t>regard</w:t>
            </w:r>
          </w:p>
        </w:tc>
        <w:tc>
          <w:tcPr>
            <w:tcW w:w="1040" w:type="dxa"/>
            <w:vAlign w:val="bottom"/>
            <w:gridSpan w:val="5"/>
          </w:tcPr>
          <w:p>
            <w:pPr>
              <w:spacing w:after="0"/>
              <w:rPr>
                <w:sz w:val="20"/>
                <w:szCs w:val="20"/>
                <w:color w:val="auto"/>
              </w:rPr>
            </w:pPr>
            <w:r>
              <w:rPr>
                <w:rFonts w:ascii="Courier New" w:cs="Courier New" w:eastAsia="Courier New" w:hAnsi="Courier New"/>
                <w:sz w:val="12"/>
                <w:szCs w:val="12"/>
                <w:color w:val="auto"/>
              </w:rPr>
              <w:t>to the land on</w:t>
            </w:r>
          </w:p>
        </w:tc>
        <w:tc>
          <w:tcPr>
            <w:tcW w:w="14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which</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Fab 2 is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situated</w:t>
            </w:r>
          </w:p>
        </w:tc>
        <w:tc>
          <w:tcPr>
            <w:tcW w:w="220" w:type="dxa"/>
            <w:vAlign w:val="bottom"/>
          </w:tcPr>
          <w:p>
            <w:pPr>
              <w:spacing w:after="0"/>
              <w:rPr>
                <w:sz w:val="12"/>
                <w:szCs w:val="12"/>
                <w:color w:val="auto"/>
              </w:rPr>
            </w:pPr>
          </w:p>
        </w:tc>
        <w:tc>
          <w:tcPr>
            <w:tcW w:w="68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(being</w:t>
            </w:r>
          </w:p>
        </w:tc>
        <w:tc>
          <w:tcPr>
            <w:tcW w:w="14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certain</w:t>
            </w:r>
          </w:p>
        </w:tc>
        <w:tc>
          <w:tcPr>
            <w:tcW w:w="220" w:type="dxa"/>
            <w:vAlign w:val="bottom"/>
          </w:tcPr>
          <w:p>
            <w:pPr>
              <w:spacing w:after="0"/>
              <w:rPr>
                <w:sz w:val="12"/>
                <w:szCs w:val="12"/>
                <w:color w:val="auto"/>
              </w:rPr>
            </w:pPr>
          </w:p>
        </w:tc>
        <w:tc>
          <w:tcPr>
            <w:tcW w:w="46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parts</w:t>
            </w:r>
          </w:p>
        </w:tc>
        <w:tc>
          <w:tcPr>
            <w:tcW w:w="1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plots 19-35</w:t>
            </w:r>
          </w:p>
        </w:tc>
        <w:tc>
          <w:tcPr>
            <w:tcW w:w="2080" w:type="dxa"/>
            <w:vAlign w:val="bottom"/>
            <w:gridSpan w:val="10"/>
          </w:tcPr>
          <w:p>
            <w:pPr>
              <w:ind w:left="160"/>
              <w:spacing w:after="0"/>
              <w:rPr>
                <w:sz w:val="20"/>
                <w:szCs w:val="20"/>
                <w:color w:val="auto"/>
              </w:rPr>
            </w:pPr>
            <w:r>
              <w:rPr>
                <w:rFonts w:ascii="Courier New" w:cs="Courier New" w:eastAsia="Courier New" w:hAnsi="Courier New"/>
                <w:sz w:val="12"/>
                <w:szCs w:val="12"/>
                <w:color w:val="auto"/>
              </w:rPr>
              <w:t>(inclusive) and plot 63,</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all 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Block 17453</w:t>
            </w:r>
          </w:p>
        </w:tc>
        <w:tc>
          <w:tcPr>
            <w:tcW w:w="5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not</w:t>
            </w: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w w:val="99"/>
              </w:rPr>
              <w:t>already</w:t>
            </w:r>
          </w:p>
        </w:tc>
        <w:tc>
          <w:tcPr>
            <w:tcW w:w="22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7"/>
              </w:rPr>
              <w:t>included</w:t>
            </w:r>
          </w:p>
        </w:tc>
        <w:tc>
          <w:tcPr>
            <w:tcW w:w="3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in</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lease</w:t>
            </w:r>
          </w:p>
        </w:tc>
        <w:tc>
          <w:tcPr>
            <w:tcW w:w="80" w:type="dxa"/>
            <w:vAlign w:val="bottom"/>
          </w:tcPr>
          <w:p>
            <w:pPr>
              <w:spacing w:after="0"/>
              <w:rPr>
                <w:sz w:val="12"/>
                <w:szCs w:val="12"/>
                <w:color w:val="auto"/>
              </w:rPr>
            </w:pPr>
          </w:p>
        </w:tc>
        <w:tc>
          <w:tcPr>
            <w:tcW w:w="104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described in</w:t>
            </w:r>
          </w:p>
        </w:tc>
        <w:tc>
          <w:tcPr>
            <w:tcW w:w="1160" w:type="dxa"/>
            <w:vAlign w:val="bottom"/>
            <w:gridSpan w:val="6"/>
          </w:tcPr>
          <w:p>
            <w:pPr>
              <w:ind w:left="60"/>
              <w:spacing w:after="0"/>
              <w:rPr>
                <w:sz w:val="20"/>
                <w:szCs w:val="20"/>
                <w:color w:val="auto"/>
              </w:rPr>
            </w:pPr>
            <w:r>
              <w:rPr>
                <w:rFonts w:ascii="Courier New" w:cs="Courier New" w:eastAsia="Courier New" w:hAnsi="Courier New"/>
                <w:sz w:val="12"/>
                <w:szCs w:val="12"/>
                <w:color w:val="auto"/>
              </w:rPr>
              <w:t>paragraph (a)</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above 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parts</w:t>
            </w:r>
          </w:p>
        </w:tc>
        <w:tc>
          <w:tcPr>
            <w:tcW w:w="80" w:type="dxa"/>
            <w:vAlign w:val="bottom"/>
          </w:tcPr>
          <w:p>
            <w:pPr>
              <w:spacing w:after="0"/>
              <w:rPr>
                <w:sz w:val="12"/>
                <w:szCs w:val="12"/>
                <w:color w:val="auto"/>
              </w:rPr>
            </w:pPr>
          </w:p>
        </w:tc>
        <w:tc>
          <w:tcPr>
            <w:tcW w:w="3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of</w:t>
            </w:r>
          </w:p>
        </w:tc>
        <w:tc>
          <w:tcPr>
            <w:tcW w:w="520" w:type="dxa"/>
            <w:vAlign w:val="bottom"/>
            <w:gridSpan w:val="2"/>
          </w:tcPr>
          <w:p>
            <w:pPr>
              <w:spacing w:after="0"/>
              <w:rPr>
                <w:sz w:val="20"/>
                <w:szCs w:val="20"/>
                <w:color w:val="auto"/>
              </w:rPr>
            </w:pPr>
            <w:r>
              <w:rPr>
                <w:rFonts w:ascii="Courier New" w:cs="Courier New" w:eastAsia="Courier New" w:hAnsi="Courier New"/>
                <w:sz w:val="12"/>
                <w:szCs w:val="12"/>
                <w:color w:val="auto"/>
                <w:w w:val="99"/>
              </w:rPr>
              <w:t>plot 12</w:t>
            </w:r>
          </w:p>
        </w:tc>
        <w:tc>
          <w:tcPr>
            <w:tcW w:w="16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Courier New" w:cs="Courier New" w:eastAsia="Courier New" w:hAnsi="Courier New"/>
                <w:sz w:val="12"/>
                <w:szCs w:val="12"/>
                <w:color w:val="auto"/>
                <w:w w:val="82"/>
              </w:rPr>
              <w:t>of</w:t>
            </w:r>
          </w:p>
        </w:tc>
        <w:tc>
          <w:tcPr>
            <w:tcW w:w="1020" w:type="dxa"/>
            <w:vAlign w:val="bottom"/>
            <w:gridSpan w:val="5"/>
          </w:tcPr>
          <w:p>
            <w:pPr>
              <w:ind w:left="140"/>
              <w:spacing w:after="0"/>
              <w:rPr>
                <w:sz w:val="20"/>
                <w:szCs w:val="20"/>
                <w:color w:val="auto"/>
              </w:rPr>
            </w:pPr>
            <w:r>
              <w:rPr>
                <w:rFonts w:ascii="Courier New" w:cs="Courier New" w:eastAsia="Courier New" w:hAnsi="Courier New"/>
                <w:sz w:val="12"/>
                <w:szCs w:val="12"/>
                <w:color w:val="auto"/>
                <w:w w:val="99"/>
              </w:rPr>
              <w:t>Block 17454,</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all</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7"/>
              </w:rPr>
              <w:t>Migdal</w:t>
            </w:r>
          </w:p>
        </w:tc>
        <w:tc>
          <w:tcPr>
            <w:tcW w:w="140" w:type="dxa"/>
            <w:vAlign w:val="bottom"/>
          </w:tcPr>
          <w:p>
            <w:pPr>
              <w:spacing w:after="0"/>
              <w:rPr>
                <w:sz w:val="12"/>
                <w:szCs w:val="12"/>
                <w:color w:val="auto"/>
              </w:rPr>
            </w:pPr>
          </w:p>
        </w:tc>
        <w:tc>
          <w:tcPr>
            <w:tcW w:w="74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rPr>
              <w:t>Haemek,</w:t>
            </w:r>
          </w:p>
        </w:tc>
        <w:tc>
          <w:tcPr>
            <w:tcW w:w="3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2"/>
              </w:rPr>
              <w:t>the</w:t>
            </w:r>
          </w:p>
        </w:tc>
        <w:tc>
          <w:tcPr>
            <w:tcW w:w="22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rPr>
              <w:t>area</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w w:val="82"/>
              </w:rPr>
              <w:t>of</w:t>
            </w:r>
          </w:p>
        </w:tc>
        <w:tc>
          <w:tcPr>
            <w:tcW w:w="22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which</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720" w:type="dxa"/>
            <w:vAlign w:val="bottom"/>
            <w:gridSpan w:val="13"/>
          </w:tcPr>
          <w:p>
            <w:pPr>
              <w:ind w:left="80"/>
              <w:spacing w:after="0"/>
              <w:rPr>
                <w:sz w:val="20"/>
                <w:szCs w:val="20"/>
                <w:color w:val="auto"/>
              </w:rPr>
            </w:pPr>
            <w:r>
              <w:rPr>
                <w:rFonts w:ascii="Courier New" w:cs="Courier New" w:eastAsia="Courier New" w:hAnsi="Courier New"/>
                <w:sz w:val="12"/>
                <w:szCs w:val="12"/>
                <w:color w:val="auto"/>
              </w:rPr>
              <w:t>approximately 27,037 square metres;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25"/>
        </w:trPr>
        <w:tc>
          <w:tcPr>
            <w:tcW w:w="1020" w:type="dxa"/>
            <w:vAlign w:val="bottom"/>
          </w:tcPr>
          <w:p>
            <w:pPr>
              <w:spacing w:after="0"/>
              <w:rPr>
                <w:sz w:val="24"/>
                <w:szCs w:val="24"/>
                <w:color w:val="auto"/>
              </w:rPr>
            </w:pPr>
          </w:p>
        </w:tc>
        <w:tc>
          <w:tcPr>
            <w:tcW w:w="2660" w:type="dxa"/>
            <w:vAlign w:val="bottom"/>
          </w:tcPr>
          <w:p>
            <w:pPr>
              <w:ind w:left="1700"/>
              <w:spacing w:after="0"/>
              <w:rPr>
                <w:sz w:val="20"/>
                <w:szCs w:val="20"/>
                <w:color w:val="auto"/>
              </w:rPr>
            </w:pPr>
            <w:r>
              <w:rPr>
                <w:rFonts w:ascii="Courier New" w:cs="Courier New" w:eastAsia="Courier New" w:hAnsi="Courier New"/>
                <w:sz w:val="12"/>
                <w:szCs w:val="12"/>
                <w:color w:val="auto"/>
              </w:rPr>
              <w:t>- 22 -</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1.1.55.</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"FAB 1"</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means the</w:t>
            </w: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Borrower's</w:t>
            </w:r>
          </w:p>
        </w:tc>
        <w:tc>
          <w:tcPr>
            <w:tcW w:w="1700" w:type="dxa"/>
            <w:vAlign w:val="bottom"/>
            <w:gridSpan w:val="8"/>
          </w:tcPr>
          <w:p>
            <w:pPr>
              <w:jc w:val="right"/>
              <w:spacing w:after="0"/>
              <w:rPr>
                <w:sz w:val="20"/>
                <w:szCs w:val="20"/>
                <w:color w:val="auto"/>
              </w:rPr>
            </w:pPr>
            <w:r>
              <w:rPr>
                <w:rFonts w:ascii="Courier New" w:cs="Courier New" w:eastAsia="Courier New" w:hAnsi="Courier New"/>
                <w:sz w:val="12"/>
                <w:szCs w:val="12"/>
                <w:color w:val="auto"/>
              </w:rPr>
              <w:t>Fab facility which was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already</w:t>
            </w: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operating</w:t>
            </w:r>
          </w:p>
        </w:tc>
        <w:tc>
          <w:tcPr>
            <w:tcW w:w="16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w w:val="94"/>
              </w:rPr>
              <w:t>as at</w:t>
            </w:r>
          </w:p>
        </w:tc>
        <w:tc>
          <w:tcPr>
            <w:tcW w:w="104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January 18,</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2001,</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2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located in Migdal Haemek;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1.1.56.</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"FAB 2"</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means</w:t>
            </w:r>
          </w:p>
        </w:tc>
        <w:tc>
          <w:tcPr>
            <w:tcW w:w="80" w:type="dxa"/>
            <w:vAlign w:val="bottom"/>
          </w:tcPr>
          <w:p>
            <w:pPr>
              <w:spacing w:after="0"/>
              <w:rPr>
                <w:sz w:val="24"/>
                <w:szCs w:val="24"/>
                <w:color w:val="auto"/>
              </w:rPr>
            </w:pPr>
          </w:p>
        </w:tc>
        <w:tc>
          <w:tcPr>
            <w:tcW w:w="3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the</w:t>
            </w:r>
          </w:p>
        </w:tc>
        <w:tc>
          <w:tcPr>
            <w:tcW w:w="104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Borrower's</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Fab</w:t>
            </w:r>
          </w:p>
        </w:tc>
        <w:tc>
          <w:tcPr>
            <w:tcW w:w="14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Courier New" w:cs="Courier New" w:eastAsia="Courier New" w:hAnsi="Courier New"/>
                <w:sz w:val="12"/>
                <w:szCs w:val="12"/>
                <w:color w:val="auto"/>
              </w:rPr>
              <w:t>facility</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which</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began</w:t>
            </w:r>
          </w:p>
        </w:tc>
        <w:tc>
          <w:tcPr>
            <w:tcW w:w="80" w:type="dxa"/>
            <w:vAlign w:val="bottom"/>
          </w:tcPr>
          <w:p>
            <w:pPr>
              <w:spacing w:after="0"/>
              <w:rPr>
                <w:sz w:val="12"/>
                <w:szCs w:val="12"/>
                <w:color w:val="auto"/>
              </w:rPr>
            </w:pPr>
          </w:p>
        </w:tc>
        <w:tc>
          <w:tcPr>
            <w:tcW w:w="880" w:type="dxa"/>
            <w:vAlign w:val="bottom"/>
            <w:gridSpan w:val="4"/>
          </w:tcPr>
          <w:p>
            <w:pPr>
              <w:jc w:val="right"/>
              <w:ind w:right="79"/>
              <w:spacing w:after="0"/>
              <w:rPr>
                <w:sz w:val="20"/>
                <w:szCs w:val="20"/>
                <w:color w:val="auto"/>
              </w:rPr>
            </w:pPr>
            <w:r>
              <w:rPr>
                <w:rFonts w:ascii="Courier New" w:cs="Courier New" w:eastAsia="Courier New" w:hAnsi="Courier New"/>
                <w:sz w:val="12"/>
                <w:szCs w:val="12"/>
                <w:color w:val="auto"/>
              </w:rPr>
              <w:t>operating</w:t>
            </w: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in 2003,</w:t>
            </w:r>
          </w:p>
        </w:tc>
        <w:tc>
          <w:tcPr>
            <w:tcW w:w="126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located in Migdal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Haemek;</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1.1.57.</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1.1.58.</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"FACILITY"</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40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means the credit</w:t>
            </w: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facility</w:t>
            </w:r>
          </w:p>
        </w:tc>
        <w:tc>
          <w:tcPr>
            <w:tcW w:w="126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which was granted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7"/>
              </w:rPr>
              <w:t>to the</w:t>
            </w:r>
          </w:p>
        </w:tc>
        <w:tc>
          <w:tcPr>
            <w:tcW w:w="140" w:type="dxa"/>
            <w:vAlign w:val="bottom"/>
          </w:tcPr>
          <w:p>
            <w:pPr>
              <w:spacing w:after="0"/>
              <w:rPr>
                <w:sz w:val="12"/>
                <w:szCs w:val="12"/>
                <w:color w:val="auto"/>
              </w:rPr>
            </w:pPr>
          </w:p>
        </w:tc>
        <w:tc>
          <w:tcPr>
            <w:tcW w:w="74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rPr>
              <w:t>Borrower</w:t>
            </w: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rPr>
              <w:t>by the</w:t>
            </w:r>
          </w:p>
        </w:tc>
        <w:tc>
          <w:tcPr>
            <w:tcW w:w="5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Banks</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pursuant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to</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this Agreement;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1.1.59.</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1.1.60.</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"FINAL MATURITY DATE"</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56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means June 30, 2012;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1.1.61.</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"FINANCE DOCUMENTS"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means</w:t>
            </w:r>
          </w:p>
        </w:tc>
        <w:tc>
          <w:tcPr>
            <w:tcW w:w="80" w:type="dxa"/>
            <w:vAlign w:val="bottom"/>
          </w:tcPr>
          <w:p>
            <w:pPr>
              <w:spacing w:after="0"/>
              <w:rPr>
                <w:sz w:val="24"/>
                <w:szCs w:val="24"/>
                <w:color w:val="auto"/>
              </w:rPr>
            </w:pPr>
          </w:p>
        </w:tc>
        <w:tc>
          <w:tcPr>
            <w:tcW w:w="36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0"/>
              </w:rPr>
              <w:t>this</w:t>
            </w:r>
          </w:p>
        </w:tc>
        <w:tc>
          <w:tcPr>
            <w:tcW w:w="104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Agreement,</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the</w:t>
            </w:r>
          </w:p>
        </w:tc>
        <w:tc>
          <w:tcPr>
            <w:tcW w:w="140" w:type="dxa"/>
            <w:vAlign w:val="bottom"/>
          </w:tcPr>
          <w:p>
            <w:pPr>
              <w:spacing w:after="0"/>
              <w:rPr>
                <w:sz w:val="24"/>
                <w:szCs w:val="24"/>
                <w:color w:val="auto"/>
              </w:rPr>
            </w:pPr>
          </w:p>
        </w:tc>
        <w:tc>
          <w:tcPr>
            <w:tcW w:w="82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w w:val="99"/>
              </w:rPr>
              <w:t>Debenture,</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other</w:t>
            </w:r>
          </w:p>
        </w:tc>
        <w:tc>
          <w:tcPr>
            <w:tcW w:w="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Security</w:t>
            </w: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w w:val="99"/>
              </w:rPr>
              <w:t>Documents,</w:t>
            </w:r>
          </w:p>
        </w:tc>
        <w:tc>
          <w:tcPr>
            <w:tcW w:w="140" w:type="dxa"/>
            <w:vAlign w:val="bottom"/>
          </w:tcPr>
          <w:p>
            <w:pPr>
              <w:spacing w:after="0"/>
              <w:rPr>
                <w:sz w:val="12"/>
                <w:szCs w:val="12"/>
                <w:color w:val="auto"/>
              </w:rPr>
            </w:pP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any</w:t>
            </w:r>
          </w:p>
        </w:tc>
        <w:tc>
          <w:tcPr>
            <w:tcW w:w="3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w w:val="97"/>
              </w:rPr>
              <w:t>L/Cs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defined in</w:t>
            </w:r>
          </w:p>
        </w:tc>
        <w:tc>
          <w:tcPr>
            <w:tcW w:w="140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clause 1.1.115(j)</w:t>
            </w:r>
          </w:p>
        </w:tc>
        <w:tc>
          <w:tcPr>
            <w:tcW w:w="6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below)</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issued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80" w:type="dxa"/>
            <w:vAlign w:val="bottom"/>
            <w:gridSpan w:val="11"/>
          </w:tcPr>
          <w:p>
            <w:pPr>
              <w:ind w:left="80"/>
              <w:spacing w:after="0"/>
              <w:rPr>
                <w:sz w:val="20"/>
                <w:szCs w:val="20"/>
                <w:color w:val="auto"/>
              </w:rPr>
            </w:pPr>
            <w:r>
              <w:rPr>
                <w:rFonts w:ascii="Courier New" w:cs="Courier New" w:eastAsia="Courier New" w:hAnsi="Courier New"/>
                <w:sz w:val="12"/>
                <w:szCs w:val="12"/>
                <w:color w:val="auto"/>
              </w:rPr>
              <w:t>by any Bank on account of the</w:t>
            </w:r>
          </w:p>
        </w:tc>
        <w:tc>
          <w:tcPr>
            <w:tcW w:w="82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Borrower,</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other</w:t>
            </w:r>
          </w:p>
        </w:tc>
        <w:tc>
          <w:tcPr>
            <w:tcW w:w="80" w:type="dxa"/>
            <w:vAlign w:val="bottom"/>
          </w:tcPr>
          <w:p>
            <w:pPr>
              <w:spacing w:after="0"/>
              <w:rPr>
                <w:sz w:val="12"/>
                <w:szCs w:val="12"/>
                <w:color w:val="auto"/>
              </w:rPr>
            </w:pPr>
          </w:p>
        </w:tc>
        <w:tc>
          <w:tcPr>
            <w:tcW w:w="880" w:type="dxa"/>
            <w:vAlign w:val="bottom"/>
            <w:gridSpan w:val="4"/>
          </w:tcPr>
          <w:p>
            <w:pPr>
              <w:jc w:val="right"/>
              <w:ind w:right="79"/>
              <w:spacing w:after="0"/>
              <w:rPr>
                <w:sz w:val="20"/>
                <w:szCs w:val="20"/>
                <w:color w:val="auto"/>
              </w:rPr>
            </w:pPr>
            <w:r>
              <w:rPr>
                <w:rFonts w:ascii="Courier New" w:cs="Courier New" w:eastAsia="Courier New" w:hAnsi="Courier New"/>
                <w:sz w:val="12"/>
                <w:szCs w:val="12"/>
                <w:color w:val="auto"/>
              </w:rPr>
              <w:t>agreement</w:t>
            </w: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w w:val="99"/>
              </w:rPr>
              <w:t>between</w:t>
            </w:r>
          </w:p>
        </w:tc>
        <w:tc>
          <w:tcPr>
            <w:tcW w:w="36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2"/>
              </w:rPr>
              <w:t>the</w:t>
            </w:r>
          </w:p>
        </w:tc>
        <w:tc>
          <w:tcPr>
            <w:tcW w:w="82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Borrower</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any Bank in</w:t>
            </w:r>
          </w:p>
        </w:tc>
        <w:tc>
          <w:tcPr>
            <w:tcW w:w="680" w:type="dxa"/>
            <w:vAlign w:val="bottom"/>
            <w:gridSpan w:val="3"/>
          </w:tcPr>
          <w:p>
            <w:pPr>
              <w:ind w:left="160"/>
              <w:spacing w:after="0"/>
              <w:rPr>
                <w:sz w:val="20"/>
                <w:szCs w:val="20"/>
                <w:color w:val="auto"/>
              </w:rPr>
            </w:pPr>
            <w:r>
              <w:rPr>
                <w:rFonts w:ascii="Courier New" w:cs="Courier New" w:eastAsia="Courier New" w:hAnsi="Courier New"/>
                <w:sz w:val="12"/>
                <w:szCs w:val="12"/>
                <w:color w:val="auto"/>
                <w:w w:val="99"/>
              </w:rPr>
              <w:t>respect</w:t>
            </w:r>
          </w:p>
        </w:tc>
        <w:tc>
          <w:tcPr>
            <w:tcW w:w="140" w:type="dxa"/>
            <w:vAlign w:val="bottom"/>
          </w:tcPr>
          <w:p>
            <w:pPr>
              <w:spacing w:after="0"/>
              <w:rPr>
                <w:sz w:val="12"/>
                <w:szCs w:val="12"/>
                <w:color w:val="auto"/>
              </w:rPr>
            </w:pPr>
          </w:p>
        </w:tc>
        <w:tc>
          <w:tcPr>
            <w:tcW w:w="1020" w:type="dxa"/>
            <w:vAlign w:val="bottom"/>
            <w:gridSpan w:val="5"/>
          </w:tcPr>
          <w:p>
            <w:pPr>
              <w:spacing w:after="0"/>
              <w:rPr>
                <w:sz w:val="20"/>
                <w:szCs w:val="20"/>
                <w:color w:val="auto"/>
              </w:rPr>
            </w:pPr>
            <w:r>
              <w:rPr>
                <w:rFonts w:ascii="Courier New" w:cs="Courier New" w:eastAsia="Courier New" w:hAnsi="Courier New"/>
                <w:sz w:val="12"/>
                <w:szCs w:val="12"/>
                <w:color w:val="auto"/>
              </w:rPr>
              <w:t>of any other</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Permitted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Financial</w:t>
            </w:r>
          </w:p>
        </w:tc>
        <w:tc>
          <w:tcPr>
            <w:tcW w:w="104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Indebtedness,</w:t>
            </w:r>
          </w:p>
        </w:tc>
        <w:tc>
          <w:tcPr>
            <w:tcW w:w="220" w:type="dxa"/>
            <w:vAlign w:val="bottom"/>
          </w:tcPr>
          <w:p>
            <w:pPr>
              <w:spacing w:after="0"/>
              <w:rPr>
                <w:sz w:val="12"/>
                <w:szCs w:val="12"/>
                <w:color w:val="auto"/>
              </w:rPr>
            </w:pPr>
          </w:p>
        </w:tc>
        <w:tc>
          <w:tcPr>
            <w:tcW w:w="3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if</w:t>
            </w:r>
          </w:p>
        </w:tc>
        <w:tc>
          <w:tcPr>
            <w:tcW w:w="4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any,</w:t>
            </w:r>
          </w:p>
        </w:tc>
        <w:tc>
          <w:tcPr>
            <w:tcW w:w="1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made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available</w:t>
            </w:r>
          </w:p>
        </w:tc>
        <w:tc>
          <w:tcPr>
            <w:tcW w:w="1400" w:type="dxa"/>
            <w:vAlign w:val="bottom"/>
            <w:gridSpan w:val="7"/>
          </w:tcPr>
          <w:p>
            <w:pPr>
              <w:spacing w:after="0"/>
              <w:rPr>
                <w:sz w:val="20"/>
                <w:szCs w:val="20"/>
                <w:color w:val="auto"/>
              </w:rPr>
            </w:pPr>
            <w:r>
              <w:rPr>
                <w:rFonts w:ascii="Courier New" w:cs="Courier New" w:eastAsia="Courier New" w:hAnsi="Courier New"/>
                <w:sz w:val="12"/>
                <w:szCs w:val="12"/>
                <w:color w:val="auto"/>
              </w:rPr>
              <w:t>by such Bank to the</w:t>
            </w:r>
          </w:p>
        </w:tc>
        <w:tc>
          <w:tcPr>
            <w:tcW w:w="82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Borrower</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6"/>
          </w:tcPr>
          <w:p>
            <w:pPr>
              <w:ind w:left="80"/>
              <w:spacing w:after="0"/>
              <w:rPr>
                <w:sz w:val="20"/>
                <w:szCs w:val="20"/>
                <w:color w:val="auto"/>
              </w:rPr>
            </w:pPr>
            <w:r>
              <w:rPr>
                <w:rFonts w:ascii="Courier New" w:cs="Courier New" w:eastAsia="Courier New" w:hAnsi="Courier New"/>
                <w:sz w:val="12"/>
                <w:szCs w:val="12"/>
                <w:color w:val="auto"/>
              </w:rPr>
              <w:t>any  other  agreement  or  document  executed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pursuant</w:t>
            </w:r>
          </w:p>
        </w:tc>
        <w:tc>
          <w:tcPr>
            <w:tcW w:w="1260" w:type="dxa"/>
            <w:vAlign w:val="bottom"/>
            <w:gridSpan w:val="6"/>
          </w:tcPr>
          <w:p>
            <w:pPr>
              <w:ind w:left="160"/>
              <w:spacing w:after="0"/>
              <w:rPr>
                <w:sz w:val="20"/>
                <w:szCs w:val="20"/>
                <w:color w:val="auto"/>
              </w:rPr>
            </w:pPr>
            <w:r>
              <w:rPr>
                <w:rFonts w:ascii="Courier New" w:cs="Courier New" w:eastAsia="Courier New" w:hAnsi="Courier New"/>
                <w:sz w:val="12"/>
                <w:szCs w:val="12"/>
                <w:color w:val="auto"/>
              </w:rPr>
              <w:t>to any of the</w:t>
            </w:r>
          </w:p>
        </w:tc>
        <w:tc>
          <w:tcPr>
            <w:tcW w:w="80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99"/>
              </w:rPr>
              <w:t>aforegoing</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to which</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2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the Borrower is a party,</w:t>
            </w:r>
          </w:p>
        </w:tc>
        <w:tc>
          <w:tcPr>
            <w:tcW w:w="3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and</w:t>
            </w:r>
          </w:p>
        </w:tc>
        <w:tc>
          <w:tcPr>
            <w:tcW w:w="82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9"/>
              </w:rPr>
              <w:t>designated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by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00" w:type="dxa"/>
            <w:vAlign w:val="bottom"/>
            <w:gridSpan w:val="12"/>
          </w:tcPr>
          <w:p>
            <w:pPr>
              <w:ind w:left="80"/>
              <w:spacing w:after="0"/>
              <w:rPr>
                <w:sz w:val="20"/>
                <w:szCs w:val="20"/>
                <w:color w:val="auto"/>
              </w:rPr>
            </w:pPr>
            <w:r>
              <w:rPr>
                <w:rFonts w:ascii="Courier New" w:cs="Courier New" w:eastAsia="Courier New" w:hAnsi="Courier New"/>
                <w:sz w:val="12"/>
                <w:szCs w:val="12"/>
                <w:color w:val="auto"/>
              </w:rPr>
              <w:t>the Banks as a Finance Document;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25"/>
        </w:trPr>
        <w:tc>
          <w:tcPr>
            <w:tcW w:w="1020" w:type="dxa"/>
            <w:vAlign w:val="bottom"/>
          </w:tcPr>
          <w:p>
            <w:pPr>
              <w:spacing w:after="0"/>
              <w:rPr>
                <w:sz w:val="24"/>
                <w:szCs w:val="24"/>
                <w:color w:val="auto"/>
              </w:rPr>
            </w:pPr>
          </w:p>
        </w:tc>
        <w:tc>
          <w:tcPr>
            <w:tcW w:w="2660" w:type="dxa"/>
            <w:vAlign w:val="bottom"/>
          </w:tcPr>
          <w:p>
            <w:pPr>
              <w:ind w:left="1700"/>
              <w:spacing w:after="0"/>
              <w:rPr>
                <w:sz w:val="20"/>
                <w:szCs w:val="20"/>
                <w:color w:val="auto"/>
              </w:rPr>
            </w:pPr>
            <w:r>
              <w:rPr>
                <w:rFonts w:ascii="Courier New" w:cs="Courier New" w:eastAsia="Courier New" w:hAnsi="Courier New"/>
                <w:sz w:val="12"/>
                <w:szCs w:val="12"/>
                <w:color w:val="auto"/>
              </w:rPr>
              <w:t>- 23 -</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1.1.62.</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"FINANCIAL</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020" w:type="dxa"/>
            <w:vAlign w:val="bottom"/>
          </w:tcPr>
          <w:p>
            <w:pPr>
              <w:spacing w:after="0"/>
              <w:rPr>
                <w:sz w:val="12"/>
                <w:szCs w:val="12"/>
                <w:color w:val="auto"/>
              </w:rPr>
            </w:pP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INDEBTEDNESS"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means</w:t>
            </w:r>
          </w:p>
        </w:tc>
        <w:tc>
          <w:tcPr>
            <w:tcW w:w="80" w:type="dxa"/>
            <w:vAlign w:val="bottom"/>
          </w:tcPr>
          <w:p>
            <w:pPr>
              <w:spacing w:after="0"/>
              <w:rPr>
                <w:sz w:val="12"/>
                <w:szCs w:val="12"/>
                <w:color w:val="auto"/>
              </w:rPr>
            </w:pPr>
          </w:p>
        </w:tc>
        <w:tc>
          <w:tcPr>
            <w:tcW w:w="3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any</w:t>
            </w:r>
          </w:p>
        </w:tc>
        <w:tc>
          <w:tcPr>
            <w:tcW w:w="104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Indebtedness</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c>
          <w:tcPr>
            <w:tcW w:w="14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Courier New" w:cs="Courier New" w:eastAsia="Courier New" w:hAnsi="Courier New"/>
                <w:sz w:val="12"/>
                <w:szCs w:val="12"/>
                <w:color w:val="auto"/>
              </w:rPr>
              <w:t>respect</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of</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bl>
    <w:p>
      <w:pPr>
        <w:sectPr>
          <w:pgSz w:w="11900" w:h="16846" w:orient="portrait"/>
          <w:cols w:equalWidth="0" w:num="1">
            <w:col w:w="10239"/>
          </w:cols>
          <w:pgMar w:left="220" w:top="141" w:right="1440" w:bottom="0" w:gutter="0" w:footer="0" w:header="0"/>
        </w:sectPr>
      </w:pPr>
    </w:p>
    <w:bookmarkStart w:id="83" w:name="page84"/>
    <w:bookmarkEnd w:id="83"/>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pursuant to:</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(a)</w:t>
            </w:r>
          </w:p>
        </w:tc>
        <w:tc>
          <w:tcPr>
            <w:tcW w:w="1320" w:type="dxa"/>
            <w:vAlign w:val="bottom"/>
            <w:gridSpan w:val="6"/>
          </w:tcPr>
          <w:p>
            <w:pPr>
              <w:spacing w:after="0"/>
              <w:rPr>
                <w:sz w:val="20"/>
                <w:szCs w:val="20"/>
                <w:color w:val="auto"/>
              </w:rPr>
            </w:pPr>
            <w:r>
              <w:rPr>
                <w:rFonts w:ascii="Courier New" w:cs="Courier New" w:eastAsia="Courier New" w:hAnsi="Courier New"/>
                <w:sz w:val="12"/>
                <w:szCs w:val="12"/>
                <w:color w:val="auto"/>
              </w:rPr>
              <w:t>moneys borrowed;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(b)</w:t>
            </w:r>
          </w:p>
        </w:tc>
        <w:tc>
          <w:tcPr>
            <w:tcW w:w="2280" w:type="dxa"/>
            <w:vAlign w:val="bottom"/>
            <w:gridSpan w:val="10"/>
          </w:tcPr>
          <w:p>
            <w:pPr>
              <w:spacing w:after="0"/>
              <w:rPr>
                <w:sz w:val="20"/>
                <w:szCs w:val="20"/>
                <w:color w:val="auto"/>
              </w:rPr>
            </w:pPr>
            <w:r>
              <w:rPr>
                <w:rFonts w:ascii="Courier New" w:cs="Courier New" w:eastAsia="Courier New" w:hAnsi="Courier New"/>
                <w:sz w:val="12"/>
                <w:szCs w:val="12"/>
                <w:color w:val="auto"/>
              </w:rPr>
              <w:t>any amount raised by acceptance</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under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40" w:type="dxa"/>
            <w:vAlign w:val="bottom"/>
            <w:gridSpan w:val="7"/>
          </w:tcPr>
          <w:p>
            <w:pPr>
              <w:spacing w:after="0"/>
              <w:rPr>
                <w:sz w:val="20"/>
                <w:szCs w:val="20"/>
                <w:color w:val="auto"/>
              </w:rPr>
            </w:pPr>
            <w:r>
              <w:rPr>
                <w:rFonts w:ascii="Courier New" w:cs="Courier New" w:eastAsia="Courier New" w:hAnsi="Courier New"/>
                <w:sz w:val="12"/>
                <w:szCs w:val="12"/>
                <w:color w:val="auto"/>
              </w:rPr>
              <w:t>any credit facility;</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(c)</w:t>
            </w:r>
          </w:p>
        </w:tc>
        <w:tc>
          <w:tcPr>
            <w:tcW w:w="280" w:type="dxa"/>
            <w:vAlign w:val="bottom"/>
          </w:tcPr>
          <w:p>
            <w:pPr>
              <w:spacing w:after="0"/>
              <w:rPr>
                <w:sz w:val="20"/>
                <w:szCs w:val="20"/>
                <w:color w:val="auto"/>
              </w:rPr>
            </w:pPr>
            <w:r>
              <w:rPr>
                <w:rFonts w:ascii="Courier New" w:cs="Courier New" w:eastAsia="Courier New" w:hAnsi="Courier New"/>
                <w:sz w:val="12"/>
                <w:szCs w:val="12"/>
                <w:color w:val="auto"/>
              </w:rPr>
              <w:t>any</w:t>
            </w:r>
          </w:p>
        </w:tc>
        <w:tc>
          <w:tcPr>
            <w:tcW w:w="60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amount</w:t>
            </w: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raised</w:t>
            </w:r>
          </w:p>
        </w:tc>
        <w:tc>
          <w:tcPr>
            <w:tcW w:w="740" w:type="dxa"/>
            <w:vAlign w:val="bottom"/>
            <w:gridSpan w:val="3"/>
          </w:tcPr>
          <w:p>
            <w:pPr>
              <w:spacing w:after="0"/>
              <w:rPr>
                <w:sz w:val="20"/>
                <w:szCs w:val="20"/>
                <w:color w:val="auto"/>
              </w:rPr>
            </w:pPr>
            <w:r>
              <w:rPr>
                <w:rFonts w:ascii="Courier New" w:cs="Courier New" w:eastAsia="Courier New" w:hAnsi="Courier New"/>
                <w:sz w:val="12"/>
                <w:szCs w:val="12"/>
                <w:color w:val="auto"/>
              </w:rPr>
              <w:t>pursuant</w:t>
            </w:r>
          </w:p>
        </w:tc>
        <w:tc>
          <w:tcPr>
            <w:tcW w:w="2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to</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note,</w:t>
            </w:r>
          </w:p>
        </w:tc>
        <w:tc>
          <w:tcPr>
            <w:tcW w:w="66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purchase</w:t>
            </w:r>
          </w:p>
        </w:tc>
        <w:tc>
          <w:tcPr>
            <w:tcW w:w="1700" w:type="dxa"/>
            <w:vAlign w:val="bottom"/>
            <w:gridSpan w:val="7"/>
          </w:tcPr>
          <w:p>
            <w:pPr>
              <w:ind w:left="140"/>
              <w:spacing w:after="0"/>
              <w:rPr>
                <w:sz w:val="20"/>
                <w:szCs w:val="20"/>
                <w:color w:val="auto"/>
              </w:rPr>
            </w:pPr>
            <w:r>
              <w:rPr>
                <w:rFonts w:ascii="Courier New" w:cs="Courier New" w:eastAsia="Courier New" w:hAnsi="Courier New"/>
                <w:sz w:val="12"/>
                <w:szCs w:val="12"/>
                <w:color w:val="auto"/>
              </w:rPr>
              <w:t>facility or the issue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w w:val="98"/>
              </w:rPr>
              <w:t>of bonds,</w:t>
            </w:r>
          </w:p>
        </w:tc>
        <w:tc>
          <w:tcPr>
            <w:tcW w:w="6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notes,</w:t>
            </w: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debentures,</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bills,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gridSpan w:val="6"/>
          </w:tcPr>
          <w:p>
            <w:pPr>
              <w:spacing w:after="0"/>
              <w:rPr>
                <w:sz w:val="20"/>
                <w:szCs w:val="20"/>
                <w:color w:val="auto"/>
              </w:rPr>
            </w:pPr>
            <w:r>
              <w:rPr>
                <w:rFonts w:ascii="Courier New" w:cs="Courier New" w:eastAsia="Courier New" w:hAnsi="Courier New"/>
                <w:sz w:val="12"/>
                <w:szCs w:val="12"/>
                <w:color w:val="auto"/>
              </w:rPr>
              <w:t>loan stock or any</w:t>
            </w: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similar</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9"/>
              </w:rPr>
              <w:t>instrument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rPr>
              <w:t>(including</w:t>
            </w: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any</w:t>
            </w:r>
          </w:p>
        </w:tc>
        <w:tc>
          <w:tcPr>
            <w:tcW w:w="220" w:type="dxa"/>
            <w:vAlign w:val="bottom"/>
          </w:tcPr>
          <w:p>
            <w:pPr>
              <w:spacing w:after="0"/>
              <w:rPr>
                <w:sz w:val="12"/>
                <w:szCs w:val="12"/>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debt</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security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w w:val="99"/>
              </w:rPr>
              <w:t>convertible,</w:t>
            </w:r>
          </w:p>
        </w:tc>
        <w:tc>
          <w:tcPr>
            <w:tcW w:w="118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but not at the</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relevant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Courier New" w:cs="Courier New" w:eastAsia="Courier New" w:hAnsi="Courier New"/>
                <w:sz w:val="12"/>
                <w:szCs w:val="12"/>
                <w:color w:val="auto"/>
                <w:w w:val="90"/>
              </w:rPr>
              <w:t>time</w:t>
            </w:r>
          </w:p>
        </w:tc>
        <w:tc>
          <w:tcPr>
            <w:tcW w:w="16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rPr>
              <w:t>converted,</w:t>
            </w:r>
          </w:p>
        </w:tc>
        <w:tc>
          <w:tcPr>
            <w:tcW w:w="740" w:type="dxa"/>
            <w:vAlign w:val="bottom"/>
            <w:gridSpan w:val="3"/>
          </w:tcPr>
          <w:p>
            <w:pPr>
              <w:spacing w:after="0"/>
              <w:rPr>
                <w:sz w:val="20"/>
                <w:szCs w:val="20"/>
                <w:color w:val="auto"/>
              </w:rPr>
            </w:pPr>
            <w:r>
              <w:rPr>
                <w:rFonts w:ascii="Courier New" w:cs="Courier New" w:eastAsia="Courier New" w:hAnsi="Courier New"/>
                <w:sz w:val="12"/>
                <w:szCs w:val="12"/>
                <w:color w:val="auto"/>
                <w:w w:val="99"/>
              </w:rPr>
              <w:t>into share</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capital)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having</w:t>
            </w: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220" w:type="dxa"/>
            <w:vAlign w:val="bottom"/>
          </w:tcPr>
          <w:p>
            <w:pPr>
              <w:spacing w:after="0"/>
              <w:rPr>
                <w:sz w:val="12"/>
                <w:szCs w:val="12"/>
                <w:color w:val="auto"/>
              </w:rPr>
            </w:pPr>
          </w:p>
        </w:tc>
        <w:tc>
          <w:tcPr>
            <w:tcW w:w="960" w:type="dxa"/>
            <w:vAlign w:val="bottom"/>
            <w:gridSpan w:val="4"/>
          </w:tcPr>
          <w:p>
            <w:pPr>
              <w:spacing w:after="0"/>
              <w:rPr>
                <w:sz w:val="20"/>
                <w:szCs w:val="20"/>
                <w:color w:val="auto"/>
              </w:rPr>
            </w:pPr>
            <w:r>
              <w:rPr>
                <w:rFonts w:ascii="Courier New" w:cs="Courier New" w:eastAsia="Courier New" w:hAnsi="Courier New"/>
                <w:sz w:val="12"/>
                <w:szCs w:val="12"/>
                <w:color w:val="auto"/>
              </w:rPr>
              <w:t>commercial</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effect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w w:val="98"/>
              </w:rPr>
              <w:t>borrowing</w:t>
            </w:r>
          </w:p>
        </w:tc>
        <w:tc>
          <w:tcPr>
            <w:tcW w:w="110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(including,</w:t>
            </w:r>
          </w:p>
        </w:tc>
        <w:tc>
          <w:tcPr>
            <w:tcW w:w="5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w w:val="97"/>
              </w:rPr>
              <w:t>moneys</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raised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0" w:type="dxa"/>
            <w:vAlign w:val="bottom"/>
            <w:gridSpan w:val="12"/>
          </w:tcPr>
          <w:p>
            <w:pPr>
              <w:spacing w:after="0"/>
              <w:rPr>
                <w:sz w:val="20"/>
                <w:szCs w:val="20"/>
                <w:color w:val="auto"/>
              </w:rPr>
            </w:pPr>
            <w:r>
              <w:rPr>
                <w:rFonts w:ascii="Courier New" w:cs="Courier New" w:eastAsia="Courier New" w:hAnsi="Courier New"/>
                <w:sz w:val="12"/>
                <w:szCs w:val="12"/>
                <w:color w:val="auto"/>
              </w:rPr>
              <w:t>by the  sale  of  invoices,  bills  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0" w:type="dxa"/>
            <w:vAlign w:val="bottom"/>
            <w:gridSpan w:val="12"/>
          </w:tcPr>
          <w:p>
            <w:pPr>
              <w:spacing w:after="0"/>
              <w:rPr>
                <w:sz w:val="20"/>
                <w:szCs w:val="20"/>
                <w:color w:val="auto"/>
              </w:rPr>
            </w:pPr>
            <w:r>
              <w:rPr>
                <w:rFonts w:ascii="Courier New" w:cs="Courier New" w:eastAsia="Courier New" w:hAnsi="Courier New"/>
                <w:sz w:val="12"/>
                <w:szCs w:val="12"/>
                <w:color w:val="auto"/>
              </w:rPr>
              <w:t>notes or  other  financial  assets  on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rPr>
              <w:t>terms that</w:t>
            </w:r>
          </w:p>
        </w:tc>
        <w:tc>
          <w:tcPr>
            <w:tcW w:w="1920" w:type="dxa"/>
            <w:vAlign w:val="bottom"/>
            <w:gridSpan w:val="8"/>
          </w:tcPr>
          <w:p>
            <w:pPr>
              <w:spacing w:after="0"/>
              <w:rPr>
                <w:sz w:val="20"/>
                <w:szCs w:val="20"/>
                <w:color w:val="auto"/>
              </w:rPr>
            </w:pPr>
            <w:r>
              <w:rPr>
                <w:rFonts w:ascii="Courier New" w:cs="Courier New" w:eastAsia="Courier New" w:hAnsi="Courier New"/>
                <w:sz w:val="12"/>
                <w:szCs w:val="12"/>
                <w:color w:val="auto"/>
              </w:rPr>
              <w:t>recourse may be had to 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60" w:type="dxa"/>
            <w:vAlign w:val="bottom"/>
            <w:gridSpan w:val="8"/>
          </w:tcPr>
          <w:p>
            <w:pPr>
              <w:spacing w:after="0"/>
              <w:rPr>
                <w:sz w:val="20"/>
                <w:szCs w:val="20"/>
                <w:color w:val="auto"/>
              </w:rPr>
            </w:pPr>
            <w:r>
              <w:rPr>
                <w:rFonts w:ascii="Courier New" w:cs="Courier New" w:eastAsia="Courier New" w:hAnsi="Courier New"/>
                <w:sz w:val="12"/>
                <w:szCs w:val="12"/>
                <w:color w:val="auto"/>
              </w:rPr>
              <w:t>vendor in the event of</w:t>
            </w:r>
          </w:p>
        </w:tc>
        <w:tc>
          <w:tcPr>
            <w:tcW w:w="10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non-payment 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Courier New" w:cs="Courier New" w:eastAsia="Courier New" w:hAnsi="Courier New"/>
                <w:sz w:val="12"/>
                <w:szCs w:val="12"/>
                <w:color w:val="auto"/>
                <w:w w:val="90"/>
              </w:rPr>
              <w:t>such</w:t>
            </w:r>
          </w:p>
        </w:tc>
        <w:tc>
          <w:tcPr>
            <w:tcW w:w="16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w w:val="98"/>
              </w:rPr>
              <w:t>invoices,</w:t>
            </w:r>
          </w:p>
        </w:tc>
        <w:tc>
          <w:tcPr>
            <w:tcW w:w="22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bills</w:t>
            </w: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or</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financial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gridSpan w:val="6"/>
          </w:tcPr>
          <w:p>
            <w:pPr>
              <w:spacing w:after="0"/>
              <w:rPr>
                <w:sz w:val="20"/>
                <w:szCs w:val="20"/>
                <w:color w:val="auto"/>
              </w:rPr>
            </w:pPr>
            <w:r>
              <w:rPr>
                <w:rFonts w:ascii="Courier New" w:cs="Courier New" w:eastAsia="Courier New" w:hAnsi="Courier New"/>
                <w:sz w:val="12"/>
                <w:szCs w:val="12"/>
                <w:color w:val="auto"/>
              </w:rPr>
              <w:t>assets when due);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(d)</w:t>
            </w:r>
          </w:p>
        </w:tc>
        <w:tc>
          <w:tcPr>
            <w:tcW w:w="280" w:type="dxa"/>
            <w:vAlign w:val="bottom"/>
          </w:tcPr>
          <w:p>
            <w:pPr>
              <w:spacing w:after="0"/>
              <w:rPr>
                <w:sz w:val="20"/>
                <w:szCs w:val="20"/>
                <w:color w:val="auto"/>
              </w:rPr>
            </w:pPr>
            <w:r>
              <w:rPr>
                <w:rFonts w:ascii="Courier New" w:cs="Courier New" w:eastAsia="Courier New" w:hAnsi="Courier New"/>
                <w:sz w:val="12"/>
                <w:szCs w:val="12"/>
                <w:color w:val="auto"/>
              </w:rPr>
              <w:t>the</w:t>
            </w:r>
          </w:p>
        </w:tc>
        <w:tc>
          <w:tcPr>
            <w:tcW w:w="16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amount</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of</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any</w:t>
            </w:r>
          </w:p>
        </w:tc>
        <w:tc>
          <w:tcPr>
            <w:tcW w:w="220" w:type="dxa"/>
            <w:vAlign w:val="bottom"/>
          </w:tcPr>
          <w:p>
            <w:pPr>
              <w:spacing w:after="0"/>
              <w:rPr>
                <w:sz w:val="24"/>
                <w:szCs w:val="24"/>
                <w:color w:val="auto"/>
              </w:rPr>
            </w:pPr>
          </w:p>
        </w:tc>
        <w:tc>
          <w:tcPr>
            <w:tcW w:w="74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w w:val="98"/>
              </w:rPr>
              <w:t>liability</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respect</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w w:val="82"/>
              </w:rPr>
              <w:t>of</w:t>
            </w: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any</w:t>
            </w:r>
          </w:p>
        </w:tc>
        <w:tc>
          <w:tcPr>
            <w:tcW w:w="22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12"/>
                <w:szCs w:val="12"/>
                <w:color w:val="auto"/>
              </w:rPr>
              <w:t>lease</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contract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rPr>
              <w:t>(including</w:t>
            </w: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w w:val="99"/>
              </w:rPr>
              <w:t>any sale and</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lease</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back,</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Courier New" w:cs="Courier New" w:eastAsia="Courier New" w:hAnsi="Courier New"/>
                <w:sz w:val="12"/>
                <w:szCs w:val="12"/>
                <w:color w:val="auto"/>
                <w:w w:val="90"/>
              </w:rPr>
              <w:t>sale</w:t>
            </w:r>
          </w:p>
        </w:tc>
        <w:tc>
          <w:tcPr>
            <w:tcW w:w="1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and</w:t>
            </w:r>
          </w:p>
        </w:tc>
        <w:tc>
          <w:tcPr>
            <w:tcW w:w="22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rPr>
              <w:t>repurchase</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c>
          <w:tcPr>
            <w:tcW w:w="22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similar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rPr>
              <w:t>agreements</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and</w:t>
            </w:r>
          </w:p>
        </w:tc>
        <w:tc>
          <w:tcPr>
            <w:tcW w:w="220" w:type="dxa"/>
            <w:vAlign w:val="bottom"/>
          </w:tcPr>
          <w:p>
            <w:pPr>
              <w:spacing w:after="0"/>
              <w:rPr>
                <w:sz w:val="12"/>
                <w:szCs w:val="12"/>
                <w:color w:val="auto"/>
              </w:rPr>
            </w:pPr>
          </w:p>
        </w:tc>
        <w:tc>
          <w:tcPr>
            <w:tcW w:w="960" w:type="dxa"/>
            <w:vAlign w:val="bottom"/>
            <w:gridSpan w:val="4"/>
          </w:tcPr>
          <w:p>
            <w:pPr>
              <w:spacing w:after="0"/>
              <w:rPr>
                <w:sz w:val="20"/>
                <w:szCs w:val="20"/>
                <w:color w:val="auto"/>
              </w:rPr>
            </w:pPr>
            <w:r>
              <w:rPr>
                <w:rFonts w:ascii="Courier New" w:cs="Courier New" w:eastAsia="Courier New" w:hAnsi="Courier New"/>
                <w:sz w:val="12"/>
                <w:szCs w:val="12"/>
                <w:color w:val="auto"/>
              </w:rPr>
              <w:t>instruments)</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which</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0" w:type="dxa"/>
            <w:vAlign w:val="bottom"/>
            <w:gridSpan w:val="12"/>
          </w:tcPr>
          <w:p>
            <w:pPr>
              <w:spacing w:after="0"/>
              <w:rPr>
                <w:sz w:val="20"/>
                <w:szCs w:val="20"/>
                <w:color w:val="auto"/>
              </w:rPr>
            </w:pPr>
            <w:r>
              <w:rPr>
                <w:rFonts w:ascii="Courier New" w:cs="Courier New" w:eastAsia="Courier New" w:hAnsi="Courier New"/>
                <w:sz w:val="12"/>
                <w:szCs w:val="12"/>
                <w:color w:val="auto"/>
              </w:rPr>
              <w:t>would,  in  accordance  with GAAP,  be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0" w:type="dxa"/>
            <w:vAlign w:val="bottom"/>
            <w:gridSpan w:val="12"/>
          </w:tcPr>
          <w:p>
            <w:pPr>
              <w:spacing w:after="0"/>
              <w:rPr>
                <w:sz w:val="20"/>
                <w:szCs w:val="20"/>
                <w:color w:val="auto"/>
              </w:rPr>
            </w:pPr>
            <w:r>
              <w:rPr>
                <w:rFonts w:ascii="Courier New" w:cs="Courier New" w:eastAsia="Courier New" w:hAnsi="Courier New"/>
                <w:sz w:val="12"/>
                <w:szCs w:val="12"/>
                <w:color w:val="auto"/>
              </w:rPr>
              <w:t>treated  as  a  financial  or  capital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lease;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(e)</w:t>
            </w:r>
          </w:p>
        </w:tc>
        <w:tc>
          <w:tcPr>
            <w:tcW w:w="2280" w:type="dxa"/>
            <w:vAlign w:val="bottom"/>
            <w:gridSpan w:val="10"/>
          </w:tcPr>
          <w:p>
            <w:pPr>
              <w:spacing w:after="0"/>
              <w:rPr>
                <w:sz w:val="20"/>
                <w:szCs w:val="20"/>
                <w:color w:val="auto"/>
              </w:rPr>
            </w:pPr>
            <w:r>
              <w:rPr>
                <w:rFonts w:ascii="Courier New" w:cs="Courier New" w:eastAsia="Courier New" w:hAnsi="Courier New"/>
                <w:sz w:val="12"/>
                <w:szCs w:val="12"/>
                <w:color w:val="auto"/>
              </w:rPr>
              <w:t>receivables sold or discounted;</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(f)</w:t>
            </w:r>
          </w:p>
        </w:tc>
        <w:tc>
          <w:tcPr>
            <w:tcW w:w="280" w:type="dxa"/>
            <w:vAlign w:val="bottom"/>
          </w:tcPr>
          <w:p>
            <w:pPr>
              <w:spacing w:after="0"/>
              <w:rPr>
                <w:sz w:val="20"/>
                <w:szCs w:val="20"/>
                <w:color w:val="auto"/>
              </w:rPr>
            </w:pPr>
            <w:r>
              <w:rPr>
                <w:rFonts w:ascii="Courier New" w:cs="Courier New" w:eastAsia="Courier New" w:hAnsi="Courier New"/>
                <w:sz w:val="12"/>
                <w:szCs w:val="12"/>
                <w:color w:val="auto"/>
              </w:rPr>
              <w:t>any</w:t>
            </w:r>
          </w:p>
        </w:tc>
        <w:tc>
          <w:tcPr>
            <w:tcW w:w="126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amount  raised</w:t>
            </w:r>
          </w:p>
        </w:tc>
        <w:tc>
          <w:tcPr>
            <w:tcW w:w="520" w:type="dxa"/>
            <w:vAlign w:val="bottom"/>
            <w:gridSpan w:val="2"/>
          </w:tcPr>
          <w:p>
            <w:pPr>
              <w:spacing w:after="0"/>
              <w:rPr>
                <w:sz w:val="20"/>
                <w:szCs w:val="20"/>
                <w:color w:val="auto"/>
              </w:rPr>
            </w:pPr>
            <w:r>
              <w:rPr>
                <w:rFonts w:ascii="Courier New" w:cs="Courier New" w:eastAsia="Courier New" w:hAnsi="Courier New"/>
                <w:sz w:val="12"/>
                <w:szCs w:val="12"/>
                <w:color w:val="auto"/>
              </w:rPr>
              <w:t>under</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any</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other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rPr>
              <w:t>transaction</w:t>
            </w:r>
          </w:p>
        </w:tc>
        <w:tc>
          <w:tcPr>
            <w:tcW w:w="6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having</w:t>
            </w: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the</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9"/>
              </w:rPr>
              <w:t>commercial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0" w:type="dxa"/>
            <w:vAlign w:val="bottom"/>
            <w:gridSpan w:val="12"/>
          </w:tcPr>
          <w:p>
            <w:pPr>
              <w:spacing w:after="0"/>
              <w:rPr>
                <w:sz w:val="20"/>
                <w:szCs w:val="20"/>
                <w:color w:val="auto"/>
              </w:rPr>
            </w:pPr>
            <w:r>
              <w:rPr>
                <w:rFonts w:ascii="Courier New" w:cs="Courier New" w:eastAsia="Courier New" w:hAnsi="Courier New"/>
                <w:sz w:val="12"/>
                <w:szCs w:val="12"/>
                <w:color w:val="auto"/>
              </w:rPr>
              <w:t>effect  of   borrowing   (other   than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w w:val="99"/>
              </w:rPr>
              <w:t>transactions</w:t>
            </w:r>
          </w:p>
        </w:tc>
        <w:tc>
          <w:tcPr>
            <w:tcW w:w="1920" w:type="dxa"/>
            <w:vAlign w:val="bottom"/>
            <w:gridSpan w:val="8"/>
          </w:tcPr>
          <w:p>
            <w:pPr>
              <w:ind w:left="140"/>
              <w:spacing w:after="0"/>
              <w:rPr>
                <w:sz w:val="20"/>
                <w:szCs w:val="20"/>
                <w:color w:val="auto"/>
              </w:rPr>
            </w:pPr>
            <w:r>
              <w:rPr>
                <w:rFonts w:ascii="Courier New" w:cs="Courier New" w:eastAsia="Courier New" w:hAnsi="Courier New"/>
                <w:sz w:val="12"/>
                <w:szCs w:val="12"/>
                <w:color w:val="auto"/>
              </w:rPr>
              <w:t>specifically referred to</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Courier New" w:cs="Courier New" w:eastAsia="Courier New" w:hAnsi="Courier New"/>
                <w:sz w:val="12"/>
                <w:szCs w:val="12"/>
                <w:color w:val="auto"/>
              </w:rPr>
              <w:t>in</w:t>
            </w: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rPr>
              <w:t>the</w:t>
            </w: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other</w:t>
            </w:r>
          </w:p>
        </w:tc>
        <w:tc>
          <w:tcPr>
            <w:tcW w:w="96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paragraphs</w:t>
            </w:r>
          </w:p>
        </w:tc>
        <w:tc>
          <w:tcPr>
            <w:tcW w:w="44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of</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this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5"/>
          </w:tcPr>
          <w:p>
            <w:pPr>
              <w:spacing w:after="0"/>
              <w:rPr>
                <w:sz w:val="20"/>
                <w:szCs w:val="20"/>
                <w:color w:val="auto"/>
              </w:rPr>
            </w:pPr>
            <w:r>
              <w:rPr>
                <w:rFonts w:ascii="Courier New" w:cs="Courier New" w:eastAsia="Courier New" w:hAnsi="Courier New"/>
                <w:sz w:val="12"/>
                <w:szCs w:val="12"/>
                <w:color w:val="auto"/>
                <w:w w:val="99"/>
              </w:rPr>
              <w:t>clause 1.1.62);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25"/>
        </w:trPr>
        <w:tc>
          <w:tcPr>
            <w:tcW w:w="1020" w:type="dxa"/>
            <w:vAlign w:val="bottom"/>
          </w:tcPr>
          <w:p>
            <w:pPr>
              <w:spacing w:after="0"/>
              <w:rPr>
                <w:sz w:val="24"/>
                <w:szCs w:val="24"/>
                <w:color w:val="auto"/>
              </w:rPr>
            </w:pPr>
          </w:p>
        </w:tc>
        <w:tc>
          <w:tcPr>
            <w:tcW w:w="2660" w:type="dxa"/>
            <w:vAlign w:val="bottom"/>
          </w:tcPr>
          <w:p>
            <w:pPr>
              <w:ind w:left="1700"/>
              <w:spacing w:after="0"/>
              <w:rPr>
                <w:sz w:val="20"/>
                <w:szCs w:val="20"/>
                <w:color w:val="auto"/>
              </w:rPr>
            </w:pPr>
            <w:r>
              <w:rPr>
                <w:rFonts w:ascii="Courier New" w:cs="Courier New" w:eastAsia="Courier New" w:hAnsi="Courier New"/>
                <w:sz w:val="12"/>
                <w:szCs w:val="12"/>
                <w:color w:val="auto"/>
              </w:rPr>
              <w:t>- 24 -</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(g)</w:t>
            </w:r>
          </w:p>
        </w:tc>
        <w:tc>
          <w:tcPr>
            <w:tcW w:w="2800" w:type="dxa"/>
            <w:vAlign w:val="bottom"/>
            <w:gridSpan w:val="12"/>
          </w:tcPr>
          <w:p>
            <w:pPr>
              <w:spacing w:after="0"/>
              <w:rPr>
                <w:sz w:val="20"/>
                <w:szCs w:val="20"/>
                <w:color w:val="auto"/>
              </w:rPr>
            </w:pPr>
            <w:r>
              <w:rPr>
                <w:rFonts w:ascii="Courier New" w:cs="Courier New" w:eastAsia="Courier New" w:hAnsi="Courier New"/>
                <w:sz w:val="12"/>
                <w:szCs w:val="12"/>
                <w:color w:val="auto"/>
              </w:rPr>
              <w:t>the  acquisition  cost  of  assets  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0" w:type="dxa"/>
            <w:vAlign w:val="bottom"/>
            <w:gridSpan w:val="12"/>
          </w:tcPr>
          <w:p>
            <w:pPr>
              <w:spacing w:after="0"/>
              <w:rPr>
                <w:sz w:val="20"/>
                <w:szCs w:val="20"/>
                <w:color w:val="auto"/>
              </w:rPr>
            </w:pPr>
            <w:r>
              <w:rPr>
                <w:rFonts w:ascii="Courier New" w:cs="Courier New" w:eastAsia="Courier New" w:hAnsi="Courier New"/>
                <w:sz w:val="12"/>
                <w:szCs w:val="12"/>
                <w:color w:val="auto"/>
              </w:rPr>
              <w:t>services  to  the  extent  payable  on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60" w:type="dxa"/>
            <w:vAlign w:val="bottom"/>
            <w:gridSpan w:val="8"/>
          </w:tcPr>
          <w:p>
            <w:pPr>
              <w:spacing w:after="0"/>
              <w:rPr>
                <w:sz w:val="20"/>
                <w:szCs w:val="20"/>
                <w:color w:val="auto"/>
              </w:rPr>
            </w:pPr>
            <w:r>
              <w:rPr>
                <w:rFonts w:ascii="Courier New" w:cs="Courier New" w:eastAsia="Courier New" w:hAnsi="Courier New"/>
                <w:sz w:val="12"/>
                <w:szCs w:val="12"/>
                <w:color w:val="auto"/>
              </w:rPr>
              <w:t>deferred payment terms;</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(h)</w:t>
            </w:r>
          </w:p>
        </w:tc>
        <w:tc>
          <w:tcPr>
            <w:tcW w:w="1320" w:type="dxa"/>
            <w:vAlign w:val="bottom"/>
            <w:gridSpan w:val="6"/>
          </w:tcPr>
          <w:p>
            <w:pPr>
              <w:spacing w:after="0"/>
              <w:rPr>
                <w:sz w:val="20"/>
                <w:szCs w:val="20"/>
                <w:color w:val="auto"/>
              </w:rPr>
            </w:pPr>
            <w:r>
              <w:rPr>
                <w:rFonts w:ascii="Courier New" w:cs="Courier New" w:eastAsia="Courier New" w:hAnsi="Courier New"/>
                <w:sz w:val="12"/>
                <w:szCs w:val="12"/>
                <w:color w:val="auto"/>
              </w:rPr>
              <w:t>moneys received in</w:t>
            </w:r>
          </w:p>
        </w:tc>
        <w:tc>
          <w:tcPr>
            <w:tcW w:w="1180" w:type="dxa"/>
            <w:vAlign w:val="bottom"/>
            <w:gridSpan w:val="5"/>
          </w:tcPr>
          <w:p>
            <w:pPr>
              <w:jc w:val="right"/>
              <w:ind w:right="19"/>
              <w:spacing w:after="0"/>
              <w:rPr>
                <w:sz w:val="20"/>
                <w:szCs w:val="20"/>
                <w:color w:val="auto"/>
              </w:rPr>
            </w:pPr>
            <w:r>
              <w:rPr>
                <w:rFonts w:ascii="Courier New" w:cs="Courier New" w:eastAsia="Courier New" w:hAnsi="Courier New"/>
                <w:sz w:val="12"/>
                <w:szCs w:val="12"/>
                <w:color w:val="auto"/>
              </w:rPr>
              <w:t>consideration</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for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Courier New" w:cs="Courier New" w:eastAsia="Courier New" w:hAnsi="Courier New"/>
                <w:sz w:val="12"/>
                <w:szCs w:val="12"/>
                <w:color w:val="auto"/>
              </w:rPr>
              <w:t>the</w:t>
            </w:r>
          </w:p>
        </w:tc>
        <w:tc>
          <w:tcPr>
            <w:tcW w:w="126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supply of goods</w:t>
            </w: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7"/>
              </w:rPr>
              <w:t>and/or</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services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5"/>
          </w:tcPr>
          <w:p>
            <w:pPr>
              <w:spacing w:after="0"/>
              <w:rPr>
                <w:sz w:val="20"/>
                <w:szCs w:val="20"/>
                <w:color w:val="auto"/>
              </w:rPr>
            </w:pPr>
            <w:r>
              <w:rPr>
                <w:rFonts w:ascii="Courier New" w:cs="Courier New" w:eastAsia="Courier New" w:hAnsi="Courier New"/>
                <w:sz w:val="12"/>
                <w:szCs w:val="12"/>
                <w:color w:val="auto"/>
              </w:rPr>
              <w:t>to the extent</w:t>
            </w:r>
          </w:p>
        </w:tc>
        <w:tc>
          <w:tcPr>
            <w:tcW w:w="1700" w:type="dxa"/>
            <w:vAlign w:val="bottom"/>
            <w:gridSpan w:val="7"/>
          </w:tcPr>
          <w:p>
            <w:pPr>
              <w:spacing w:after="0"/>
              <w:rPr>
                <w:sz w:val="20"/>
                <w:szCs w:val="20"/>
                <w:color w:val="auto"/>
              </w:rPr>
            </w:pPr>
            <w:r>
              <w:rPr>
                <w:rFonts w:ascii="Courier New" w:cs="Courier New" w:eastAsia="Courier New" w:hAnsi="Courier New"/>
                <w:sz w:val="12"/>
                <w:szCs w:val="12"/>
                <w:color w:val="auto"/>
              </w:rPr>
              <w:t>received before the due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Courier New" w:cs="Courier New" w:eastAsia="Courier New" w:hAnsi="Courier New"/>
                <w:sz w:val="12"/>
                <w:szCs w:val="12"/>
                <w:color w:val="auto"/>
                <w:w w:val="90"/>
              </w:rPr>
              <w:t>date</w:t>
            </w:r>
          </w:p>
        </w:tc>
        <w:tc>
          <w:tcPr>
            <w:tcW w:w="1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for</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7"/>
              </w:rPr>
              <w:t>such</w:t>
            </w:r>
          </w:p>
        </w:tc>
        <w:tc>
          <w:tcPr>
            <w:tcW w:w="22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supply</w:t>
            </w:r>
          </w:p>
        </w:tc>
        <w:tc>
          <w:tcPr>
            <w:tcW w:w="74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rPr>
              <w:t>where</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receipt</w:t>
            </w:r>
          </w:p>
        </w:tc>
        <w:tc>
          <w:tcPr>
            <w:tcW w:w="220" w:type="dxa"/>
            <w:vAlign w:val="bottom"/>
          </w:tcPr>
          <w:p>
            <w:pPr>
              <w:spacing w:after="0"/>
              <w:rPr>
                <w:sz w:val="20"/>
                <w:szCs w:val="20"/>
                <w:color w:val="auto"/>
              </w:rPr>
            </w:pPr>
            <w:r>
              <w:rPr>
                <w:rFonts w:ascii="Courier New" w:cs="Courier New" w:eastAsia="Courier New" w:hAnsi="Courier New"/>
                <w:sz w:val="12"/>
                <w:szCs w:val="12"/>
                <w:color w:val="auto"/>
              </w:rPr>
              <w:t>as</w:t>
            </w:r>
          </w:p>
        </w:tc>
        <w:tc>
          <w:tcPr>
            <w:tcW w:w="88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aforesaid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is</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arranged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w w:val="98"/>
              </w:rPr>
              <w:t>primarily</w:t>
            </w: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as</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rPr>
              <w:t>a</w:t>
            </w: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method  of</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raising</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finance;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(i)</w:t>
            </w: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rPr>
              <w:t>any Hedging</w:t>
            </w: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Transaction</w:t>
            </w:r>
          </w:p>
        </w:tc>
        <w:tc>
          <w:tcPr>
            <w:tcW w:w="10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or any other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rPr>
              <w:t>derivative</w:t>
            </w: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rPr>
              <w:t>transaction</w:t>
            </w:r>
          </w:p>
        </w:tc>
        <w:tc>
          <w:tcPr>
            <w:tcW w:w="74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rPr>
              <w:t>entered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into</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gridSpan w:val="6"/>
          </w:tcPr>
          <w:p>
            <w:pPr>
              <w:spacing w:after="0"/>
              <w:rPr>
                <w:sz w:val="20"/>
                <w:szCs w:val="20"/>
                <w:color w:val="auto"/>
              </w:rPr>
            </w:pPr>
            <w:r>
              <w:rPr>
                <w:rFonts w:ascii="Courier New" w:cs="Courier New" w:eastAsia="Courier New" w:hAnsi="Courier New"/>
                <w:sz w:val="12"/>
                <w:szCs w:val="12"/>
                <w:color w:val="auto"/>
              </w:rPr>
              <w:t>in connection with</w:t>
            </w: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protection</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against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Courier New" w:cs="Courier New" w:eastAsia="Courier New" w:hAnsi="Courier New"/>
                <w:sz w:val="12"/>
                <w:szCs w:val="12"/>
                <w:color w:val="auto"/>
              </w:rPr>
              <w:t>or</w:t>
            </w: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benefit</w:t>
            </w: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from</w:t>
            </w: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fluctuation</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in any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5"/>
          </w:tcPr>
          <w:p>
            <w:pPr>
              <w:spacing w:after="0"/>
              <w:rPr>
                <w:sz w:val="20"/>
                <w:szCs w:val="20"/>
                <w:color w:val="auto"/>
              </w:rPr>
            </w:pPr>
            <w:r>
              <w:rPr>
                <w:rFonts w:ascii="Courier New" w:cs="Courier New" w:eastAsia="Courier New" w:hAnsi="Courier New"/>
                <w:sz w:val="12"/>
                <w:szCs w:val="12"/>
                <w:color w:val="auto"/>
              </w:rPr>
              <w:t>rate or price;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(j)</w:t>
            </w:r>
          </w:p>
        </w:tc>
        <w:tc>
          <w:tcPr>
            <w:tcW w:w="2800" w:type="dxa"/>
            <w:vAlign w:val="bottom"/>
            <w:gridSpan w:val="12"/>
          </w:tcPr>
          <w:p>
            <w:pPr>
              <w:spacing w:after="0"/>
              <w:rPr>
                <w:sz w:val="20"/>
                <w:szCs w:val="20"/>
                <w:color w:val="auto"/>
              </w:rPr>
            </w:pPr>
            <w:r>
              <w:rPr>
                <w:rFonts w:ascii="Courier New" w:cs="Courier New" w:eastAsia="Courier New" w:hAnsi="Courier New"/>
                <w:sz w:val="12"/>
                <w:szCs w:val="12"/>
                <w:color w:val="auto"/>
              </w:rPr>
              <w:t>any  counter-indemnity  obligation  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0" w:type="dxa"/>
            <w:vAlign w:val="bottom"/>
            <w:gridSpan w:val="12"/>
          </w:tcPr>
          <w:p>
            <w:pPr>
              <w:spacing w:after="0"/>
              <w:rPr>
                <w:sz w:val="20"/>
                <w:szCs w:val="20"/>
                <w:color w:val="auto"/>
              </w:rPr>
            </w:pPr>
            <w:r>
              <w:rPr>
                <w:rFonts w:ascii="Courier New" w:cs="Courier New" w:eastAsia="Courier New" w:hAnsi="Courier New"/>
                <w:sz w:val="12"/>
                <w:szCs w:val="12"/>
                <w:color w:val="auto"/>
              </w:rPr>
              <w:t>respect  of  a  guarantee,  indemnity,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bond,</w:t>
            </w:r>
          </w:p>
        </w:tc>
        <w:tc>
          <w:tcPr>
            <w:tcW w:w="88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standby or</w:t>
            </w: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documentary</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letter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0" w:type="dxa"/>
            <w:vAlign w:val="bottom"/>
            <w:gridSpan w:val="12"/>
          </w:tcPr>
          <w:p>
            <w:pPr>
              <w:spacing w:after="0"/>
              <w:rPr>
                <w:sz w:val="20"/>
                <w:szCs w:val="20"/>
                <w:color w:val="auto"/>
              </w:rPr>
            </w:pPr>
            <w:r>
              <w:rPr>
                <w:rFonts w:ascii="Courier New" w:cs="Courier New" w:eastAsia="Courier New" w:hAnsi="Courier New"/>
                <w:sz w:val="12"/>
                <w:szCs w:val="12"/>
                <w:color w:val="auto"/>
              </w:rPr>
              <w:t>of  credit  or  any  other  instrument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issued</w:t>
            </w:r>
          </w:p>
        </w:tc>
        <w:tc>
          <w:tcPr>
            <w:tcW w:w="220" w:type="dxa"/>
            <w:vAlign w:val="bottom"/>
          </w:tcPr>
          <w:p>
            <w:pPr>
              <w:spacing w:after="0"/>
              <w:rPr>
                <w:sz w:val="12"/>
                <w:szCs w:val="12"/>
                <w:color w:val="auto"/>
              </w:rPr>
            </w:pPr>
          </w:p>
        </w:tc>
        <w:tc>
          <w:tcPr>
            <w:tcW w:w="2140" w:type="dxa"/>
            <w:vAlign w:val="bottom"/>
            <w:gridSpan w:val="9"/>
          </w:tcPr>
          <w:p>
            <w:pPr>
              <w:spacing w:after="0"/>
              <w:rPr>
                <w:sz w:val="20"/>
                <w:szCs w:val="20"/>
                <w:color w:val="auto"/>
              </w:rPr>
            </w:pPr>
            <w:r>
              <w:rPr>
                <w:rFonts w:ascii="Courier New" w:cs="Courier New" w:eastAsia="Courier New" w:hAnsi="Courier New"/>
                <w:sz w:val="12"/>
                <w:szCs w:val="12"/>
                <w:color w:val="auto"/>
              </w:rPr>
              <w:t>by  a   bank   or   financial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w w:val="99"/>
              </w:rPr>
              <w:t>institution;</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(k)</w:t>
            </w:r>
          </w:p>
        </w:tc>
        <w:tc>
          <w:tcPr>
            <w:tcW w:w="280" w:type="dxa"/>
            <w:vAlign w:val="bottom"/>
          </w:tcPr>
          <w:p>
            <w:pPr>
              <w:spacing w:after="0"/>
              <w:rPr>
                <w:sz w:val="20"/>
                <w:szCs w:val="20"/>
                <w:color w:val="auto"/>
              </w:rPr>
            </w:pPr>
            <w:r>
              <w:rPr>
                <w:rFonts w:ascii="Courier New" w:cs="Courier New" w:eastAsia="Courier New" w:hAnsi="Courier New"/>
                <w:sz w:val="12"/>
                <w:szCs w:val="12"/>
                <w:color w:val="auto"/>
              </w:rPr>
              <w:t>the</w:t>
            </w:r>
          </w:p>
        </w:tc>
        <w:tc>
          <w:tcPr>
            <w:tcW w:w="16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amount</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of</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any</w:t>
            </w:r>
          </w:p>
        </w:tc>
        <w:tc>
          <w:tcPr>
            <w:tcW w:w="220" w:type="dxa"/>
            <w:vAlign w:val="bottom"/>
          </w:tcPr>
          <w:p>
            <w:pPr>
              <w:spacing w:after="0"/>
              <w:rPr>
                <w:sz w:val="24"/>
                <w:szCs w:val="24"/>
                <w:color w:val="auto"/>
              </w:rPr>
            </w:pPr>
          </w:p>
        </w:tc>
        <w:tc>
          <w:tcPr>
            <w:tcW w:w="74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w w:val="98"/>
              </w:rPr>
              <w:t>liability</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respect</w:t>
            </w: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of any</w:t>
            </w:r>
          </w:p>
        </w:tc>
        <w:tc>
          <w:tcPr>
            <w:tcW w:w="96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guarantee,</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indemnity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or other</w:t>
            </w: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legally</w:t>
            </w: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binding</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9"/>
              </w:rPr>
              <w:t>instrument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w w:val="98"/>
              </w:rPr>
              <w:t>to assure</w:t>
            </w:r>
          </w:p>
        </w:tc>
        <w:tc>
          <w:tcPr>
            <w:tcW w:w="2140" w:type="dxa"/>
            <w:vAlign w:val="bottom"/>
            <w:gridSpan w:val="9"/>
          </w:tcPr>
          <w:p>
            <w:pPr>
              <w:ind w:left="140"/>
              <w:spacing w:after="0"/>
              <w:rPr>
                <w:sz w:val="20"/>
                <w:szCs w:val="20"/>
                <w:color w:val="auto"/>
              </w:rPr>
            </w:pPr>
            <w:r>
              <w:rPr>
                <w:rFonts w:ascii="Courier New" w:cs="Courier New" w:eastAsia="Courier New" w:hAnsi="Courier New"/>
                <w:sz w:val="12"/>
                <w:szCs w:val="12"/>
                <w:color w:val="auto"/>
              </w:rPr>
              <w:t>payment of, or against loss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5"/>
          </w:tcPr>
          <w:p>
            <w:pPr>
              <w:spacing w:after="0"/>
              <w:rPr>
                <w:sz w:val="20"/>
                <w:szCs w:val="20"/>
                <w:color w:val="auto"/>
              </w:rPr>
            </w:pPr>
            <w:r>
              <w:rPr>
                <w:rFonts w:ascii="Courier New" w:cs="Courier New" w:eastAsia="Courier New" w:hAnsi="Courier New"/>
                <w:sz w:val="12"/>
                <w:szCs w:val="12"/>
                <w:color w:val="auto"/>
              </w:rPr>
              <w:t>in respect of</w:t>
            </w:r>
          </w:p>
        </w:tc>
        <w:tc>
          <w:tcPr>
            <w:tcW w:w="960" w:type="dxa"/>
            <w:vAlign w:val="bottom"/>
            <w:gridSpan w:val="4"/>
          </w:tcPr>
          <w:p>
            <w:pPr>
              <w:spacing w:after="0"/>
              <w:rPr>
                <w:sz w:val="20"/>
                <w:szCs w:val="20"/>
                <w:color w:val="auto"/>
              </w:rPr>
            </w:pPr>
            <w:r>
              <w:rPr>
                <w:rFonts w:ascii="Courier New" w:cs="Courier New" w:eastAsia="Courier New" w:hAnsi="Courier New"/>
                <w:sz w:val="12"/>
                <w:szCs w:val="12"/>
                <w:color w:val="auto"/>
              </w:rPr>
              <w:t>non-payment</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9"/>
              </w:rPr>
              <w:t>of, any 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Courier New" w:cs="Courier New" w:eastAsia="Courier New" w:hAnsi="Courier New"/>
                <w:sz w:val="12"/>
                <w:szCs w:val="12"/>
                <w:color w:val="auto"/>
              </w:rPr>
              <w:t>the</w:t>
            </w:r>
          </w:p>
        </w:tc>
        <w:tc>
          <w:tcPr>
            <w:tcW w:w="160" w:type="dxa"/>
            <w:vAlign w:val="bottom"/>
          </w:tcPr>
          <w:p>
            <w:pPr>
              <w:spacing w:after="0"/>
              <w:rPr>
                <w:sz w:val="12"/>
                <w:szCs w:val="12"/>
                <w:color w:val="auto"/>
              </w:rPr>
            </w:pPr>
          </w:p>
        </w:tc>
        <w:tc>
          <w:tcPr>
            <w:tcW w:w="44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99"/>
              </w:rPr>
              <w:t>items</w:t>
            </w:r>
          </w:p>
        </w:tc>
        <w:tc>
          <w:tcPr>
            <w:tcW w:w="220" w:type="dxa"/>
            <w:vAlign w:val="bottom"/>
          </w:tcPr>
          <w:p>
            <w:pPr>
              <w:spacing w:after="0"/>
              <w:rPr>
                <w:sz w:val="12"/>
                <w:szCs w:val="12"/>
                <w:color w:val="auto"/>
              </w:rPr>
            </w:pPr>
          </w:p>
        </w:tc>
        <w:tc>
          <w:tcPr>
            <w:tcW w:w="96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referred</w:t>
            </w:r>
          </w:p>
        </w:tc>
        <w:tc>
          <w:tcPr>
            <w:tcW w:w="44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to</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60" w:type="dxa"/>
            <w:vAlign w:val="bottom"/>
            <w:gridSpan w:val="9"/>
          </w:tcPr>
          <w:p>
            <w:pPr>
              <w:spacing w:after="0"/>
              <w:rPr>
                <w:sz w:val="20"/>
                <w:szCs w:val="20"/>
                <w:color w:val="auto"/>
              </w:rPr>
            </w:pPr>
            <w:r>
              <w:rPr>
                <w:rFonts w:ascii="Courier New" w:cs="Courier New" w:eastAsia="Courier New" w:hAnsi="Courier New"/>
                <w:sz w:val="12"/>
                <w:szCs w:val="12"/>
                <w:color w:val="auto"/>
              </w:rPr>
              <w:t>paragraphs (a)-(j) above;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1.1.63.</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"FISCAL YEAR"</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70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means a calendar year;</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1.1.64.</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1.1.65.</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"GAAP"</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92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means Israeli generally</w:t>
            </w:r>
          </w:p>
        </w:tc>
        <w:tc>
          <w:tcPr>
            <w:tcW w:w="740" w:type="dxa"/>
            <w:vAlign w:val="bottom"/>
            <w:gridSpan w:val="3"/>
          </w:tcPr>
          <w:p>
            <w:pPr>
              <w:spacing w:after="0"/>
              <w:rPr>
                <w:sz w:val="20"/>
                <w:szCs w:val="20"/>
                <w:color w:val="auto"/>
              </w:rPr>
            </w:pPr>
            <w:r>
              <w:rPr>
                <w:rFonts w:ascii="Courier New" w:cs="Courier New" w:eastAsia="Courier New" w:hAnsi="Courier New"/>
                <w:sz w:val="12"/>
                <w:szCs w:val="12"/>
                <w:color w:val="auto"/>
              </w:rPr>
              <w:t>accepted</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9"/>
              </w:rPr>
              <w:t>accounting</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100" w:type="dxa"/>
            <w:vAlign w:val="bottom"/>
            <w:gridSpan w:val="12"/>
          </w:tcPr>
          <w:p>
            <w:pPr>
              <w:ind w:left="80"/>
              <w:spacing w:after="0"/>
              <w:rPr>
                <w:sz w:val="20"/>
                <w:szCs w:val="20"/>
                <w:color w:val="auto"/>
              </w:rPr>
            </w:pPr>
            <w:r>
              <w:rPr>
                <w:rFonts w:ascii="Courier New" w:cs="Courier New" w:eastAsia="Courier New" w:hAnsi="Courier New"/>
                <w:sz w:val="12"/>
                <w:szCs w:val="12"/>
                <w:color w:val="auto"/>
              </w:rPr>
              <w:t>principles, in force from time to time;</w:t>
            </w:r>
          </w:p>
        </w:tc>
        <w:tc>
          <w:tcPr>
            <w:tcW w:w="300" w:type="dxa"/>
            <w:vAlign w:val="bottom"/>
          </w:tcPr>
          <w:p>
            <w:pPr>
              <w:spacing w:after="0"/>
              <w:rPr>
                <w:sz w:val="12"/>
                <w:szCs w:val="12"/>
                <w:color w:val="auto"/>
              </w:rPr>
            </w:pPr>
          </w:p>
        </w:tc>
      </w:tr>
      <w:tr>
        <w:trPr>
          <w:trHeight w:val="425"/>
        </w:trPr>
        <w:tc>
          <w:tcPr>
            <w:tcW w:w="1020" w:type="dxa"/>
            <w:vAlign w:val="bottom"/>
          </w:tcPr>
          <w:p>
            <w:pPr>
              <w:spacing w:after="0"/>
              <w:rPr>
                <w:sz w:val="24"/>
                <w:szCs w:val="24"/>
                <w:color w:val="auto"/>
              </w:rPr>
            </w:pPr>
          </w:p>
        </w:tc>
        <w:tc>
          <w:tcPr>
            <w:tcW w:w="2660" w:type="dxa"/>
            <w:vAlign w:val="bottom"/>
          </w:tcPr>
          <w:p>
            <w:pPr>
              <w:ind w:left="1700"/>
              <w:spacing w:after="0"/>
              <w:rPr>
                <w:sz w:val="20"/>
                <w:szCs w:val="20"/>
                <w:color w:val="auto"/>
              </w:rPr>
            </w:pPr>
            <w:r>
              <w:rPr>
                <w:rFonts w:ascii="Courier New" w:cs="Courier New" w:eastAsia="Courier New" w:hAnsi="Courier New"/>
                <w:sz w:val="12"/>
                <w:szCs w:val="12"/>
                <w:color w:val="auto"/>
              </w:rPr>
              <w:t>- 25 -</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1.1.66.</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"GOVERNMENTAL</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020" w:type="dxa"/>
            <w:vAlign w:val="bottom"/>
          </w:tcPr>
          <w:p>
            <w:pPr>
              <w:spacing w:after="0"/>
              <w:rPr>
                <w:sz w:val="12"/>
                <w:szCs w:val="12"/>
                <w:color w:val="auto"/>
              </w:rPr>
            </w:pP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AUTHORISATION"</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means</w:t>
            </w:r>
          </w:p>
        </w:tc>
        <w:tc>
          <w:tcPr>
            <w:tcW w:w="28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rPr>
              <w:t>any</w:t>
            </w:r>
          </w:p>
        </w:tc>
        <w:tc>
          <w:tcPr>
            <w:tcW w:w="22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approval,</w:t>
            </w:r>
          </w:p>
        </w:tc>
        <w:tc>
          <w:tcPr>
            <w:tcW w:w="30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9"/>
              </w:rPr>
              <w:t>exemption,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notification,</w:t>
            </w:r>
          </w:p>
        </w:tc>
        <w:tc>
          <w:tcPr>
            <w:tcW w:w="220" w:type="dxa"/>
            <w:vAlign w:val="bottom"/>
          </w:tcPr>
          <w:p>
            <w:pPr>
              <w:spacing w:after="0"/>
              <w:rPr>
                <w:sz w:val="12"/>
                <w:szCs w:val="12"/>
                <w:color w:val="auto"/>
              </w:rPr>
            </w:pP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licence,</w:t>
            </w:r>
          </w:p>
        </w:tc>
        <w:tc>
          <w:tcPr>
            <w:tcW w:w="22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12"/>
                <w:szCs w:val="12"/>
                <w:color w:val="auto"/>
                <w:w w:val="99"/>
              </w:rPr>
              <w:t>permit,</w:t>
            </w:r>
          </w:p>
        </w:tc>
        <w:tc>
          <w:tcPr>
            <w:tcW w:w="22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waiver,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other authorisation</w:t>
            </w:r>
          </w:p>
        </w:tc>
        <w:tc>
          <w:tcPr>
            <w:tcW w:w="66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9"/>
              </w:rPr>
              <w:t>issued,</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granted,</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given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or otherwise</w:t>
            </w:r>
          </w:p>
        </w:tc>
        <w:tc>
          <w:tcPr>
            <w:tcW w:w="44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made</w:t>
            </w:r>
          </w:p>
        </w:tc>
        <w:tc>
          <w:tcPr>
            <w:tcW w:w="192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available by or under 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authority</w:t>
            </w:r>
          </w:p>
        </w:tc>
        <w:tc>
          <w:tcPr>
            <w:tcW w:w="3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of</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any</w:t>
            </w:r>
          </w:p>
        </w:tc>
        <w:tc>
          <w:tcPr>
            <w:tcW w:w="220" w:type="dxa"/>
            <w:vAlign w:val="bottom"/>
          </w:tcPr>
          <w:p>
            <w:pPr>
              <w:spacing w:after="0"/>
              <w:rPr>
                <w:sz w:val="12"/>
                <w:szCs w:val="12"/>
                <w:color w:val="auto"/>
              </w:rPr>
            </w:pPr>
          </w:p>
        </w:tc>
        <w:tc>
          <w:tcPr>
            <w:tcW w:w="960" w:type="dxa"/>
            <w:vAlign w:val="bottom"/>
            <w:gridSpan w:val="4"/>
          </w:tcPr>
          <w:p>
            <w:pPr>
              <w:spacing w:after="0"/>
              <w:rPr>
                <w:sz w:val="20"/>
                <w:szCs w:val="20"/>
                <w:color w:val="auto"/>
              </w:rPr>
            </w:pPr>
            <w:r>
              <w:rPr>
                <w:rFonts w:ascii="Courier New" w:cs="Courier New" w:eastAsia="Courier New" w:hAnsi="Courier New"/>
                <w:sz w:val="12"/>
                <w:szCs w:val="12"/>
                <w:color w:val="auto"/>
              </w:rPr>
              <w:t>Governmental</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Body</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pursuant to any law;</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1.1.67.</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"GOVERNMENTAL BODY"</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means</w:t>
            </w:r>
          </w:p>
        </w:tc>
        <w:tc>
          <w:tcPr>
            <w:tcW w:w="280" w:type="dxa"/>
            <w:vAlign w:val="bottom"/>
          </w:tcPr>
          <w:p>
            <w:pPr>
              <w:spacing w:after="0"/>
              <w:rPr>
                <w:sz w:val="20"/>
                <w:szCs w:val="20"/>
                <w:color w:val="auto"/>
              </w:rPr>
            </w:pPr>
            <w:r>
              <w:rPr>
                <w:rFonts w:ascii="Courier New" w:cs="Courier New" w:eastAsia="Courier New" w:hAnsi="Courier New"/>
                <w:sz w:val="12"/>
                <w:szCs w:val="12"/>
                <w:color w:val="auto"/>
              </w:rPr>
              <w:t>any</w:t>
            </w:r>
          </w:p>
        </w:tc>
        <w:tc>
          <w:tcPr>
            <w:tcW w:w="60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Israeli</w:t>
            </w:r>
          </w:p>
        </w:tc>
        <w:tc>
          <w:tcPr>
            <w:tcW w:w="6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(and,</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for</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purposes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clauses 1.1.109,</w:t>
            </w:r>
          </w:p>
        </w:tc>
        <w:tc>
          <w:tcPr>
            <w:tcW w:w="88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1.1.119,</w:t>
            </w:r>
          </w:p>
        </w:tc>
        <w:tc>
          <w:tcPr>
            <w:tcW w:w="126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9.46, 16.1.3(ii),</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25.4 and 32.3</w:t>
            </w:r>
          </w:p>
        </w:tc>
        <w:tc>
          <w:tcPr>
            <w:tcW w:w="6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only,</w:t>
            </w: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foreign)</w:t>
            </w:r>
          </w:p>
        </w:tc>
        <w:tc>
          <w:tcPr>
            <w:tcW w:w="10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governmental,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national,</w:t>
            </w: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state,</w:t>
            </w: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local,</w:t>
            </w:r>
          </w:p>
        </w:tc>
        <w:tc>
          <w:tcPr>
            <w:tcW w:w="148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municipal or other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8"/>
              </w:rPr>
              <w:t>government,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governmental</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3"/>
          </w:tcPr>
          <w:p>
            <w:pPr>
              <w:ind w:left="80"/>
              <w:spacing w:after="0"/>
              <w:rPr>
                <w:sz w:val="20"/>
                <w:szCs w:val="20"/>
                <w:color w:val="auto"/>
              </w:rPr>
            </w:pPr>
            <w:r>
              <w:rPr>
                <w:rFonts w:ascii="Courier New" w:cs="Courier New" w:eastAsia="Courier New" w:hAnsi="Courier New"/>
                <w:sz w:val="12"/>
                <w:szCs w:val="12"/>
                <w:color w:val="auto"/>
              </w:rPr>
              <w:t>quasi-governmental  authority  of any  nature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(including any governmental</w:t>
            </w: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agency,</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branch,</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ministry,</w:t>
            </w: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department,</w:t>
            </w:r>
          </w:p>
        </w:tc>
        <w:tc>
          <w:tcPr>
            <w:tcW w:w="22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Courier New" w:cs="Courier New" w:eastAsia="Courier New" w:hAnsi="Courier New"/>
                <w:sz w:val="12"/>
                <w:szCs w:val="12"/>
                <w:color w:val="auto"/>
              </w:rPr>
              <w:t>official</w:t>
            </w:r>
          </w:p>
        </w:tc>
        <w:tc>
          <w:tcPr>
            <w:tcW w:w="2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or</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entity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w w:val="99"/>
              </w:rPr>
              <w:t>and any</w:t>
            </w:r>
          </w:p>
        </w:tc>
        <w:tc>
          <w:tcPr>
            <w:tcW w:w="6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court</w:t>
            </w: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or other</w:t>
            </w: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tribunal),</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or body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exercising</w:t>
            </w:r>
          </w:p>
        </w:tc>
        <w:tc>
          <w:tcPr>
            <w:tcW w:w="1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or</w:t>
            </w: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entitled</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to</w:t>
            </w:r>
          </w:p>
        </w:tc>
        <w:tc>
          <w:tcPr>
            <w:tcW w:w="74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rPr>
              <w:t>exercise</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administrative,</w:t>
            </w:r>
          </w:p>
        </w:tc>
        <w:tc>
          <w:tcPr>
            <w:tcW w:w="220" w:type="dxa"/>
            <w:vAlign w:val="bottom"/>
          </w:tcPr>
          <w:p>
            <w:pPr>
              <w:spacing w:after="0"/>
              <w:rPr>
                <w:sz w:val="12"/>
                <w:szCs w:val="12"/>
                <w:color w:val="auto"/>
              </w:rPr>
            </w:pPr>
          </w:p>
        </w:tc>
        <w:tc>
          <w:tcPr>
            <w:tcW w:w="88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9"/>
              </w:rPr>
              <w:t>executive,</w:t>
            </w:r>
          </w:p>
        </w:tc>
        <w:tc>
          <w:tcPr>
            <w:tcW w:w="30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judicial,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3"/>
          </w:tcPr>
          <w:p>
            <w:pPr>
              <w:ind w:left="80"/>
              <w:spacing w:after="0"/>
              <w:rPr>
                <w:sz w:val="20"/>
                <w:szCs w:val="20"/>
                <w:color w:val="auto"/>
              </w:rPr>
            </w:pPr>
            <w:r>
              <w:rPr>
                <w:rFonts w:ascii="Courier New" w:cs="Courier New" w:eastAsia="Courier New" w:hAnsi="Courier New"/>
                <w:sz w:val="12"/>
                <w:szCs w:val="12"/>
                <w:color w:val="auto"/>
              </w:rPr>
              <w:t>legislative,  police,  regulatory  or  taxing</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2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authority or power of any</w:t>
            </w: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nature;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1.1.68.</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"GRANTS"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means</w:t>
            </w:r>
          </w:p>
        </w:tc>
        <w:tc>
          <w:tcPr>
            <w:tcW w:w="280" w:type="dxa"/>
            <w:vAlign w:val="bottom"/>
          </w:tcPr>
          <w:p>
            <w:pPr>
              <w:spacing w:after="0"/>
              <w:rPr>
                <w:sz w:val="20"/>
                <w:szCs w:val="20"/>
                <w:color w:val="auto"/>
              </w:rPr>
            </w:pPr>
            <w:r>
              <w:rPr>
                <w:rFonts w:ascii="Courier New" w:cs="Courier New" w:eastAsia="Courier New" w:hAnsi="Courier New"/>
                <w:sz w:val="12"/>
                <w:szCs w:val="12"/>
                <w:color w:val="auto"/>
              </w:rPr>
              <w:t>all</w:t>
            </w:r>
          </w:p>
        </w:tc>
        <w:tc>
          <w:tcPr>
            <w:tcW w:w="60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pending</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and</w:t>
            </w: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outstanding</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grants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from each</w:t>
            </w:r>
          </w:p>
        </w:tc>
        <w:tc>
          <w:tcPr>
            <w:tcW w:w="1040" w:type="dxa"/>
            <w:vAlign w:val="bottom"/>
            <w:gridSpan w:val="5"/>
          </w:tcPr>
          <w:p>
            <w:pPr>
              <w:spacing w:after="0"/>
              <w:rPr>
                <w:sz w:val="20"/>
                <w:szCs w:val="20"/>
                <w:color w:val="auto"/>
              </w:rPr>
            </w:pPr>
            <w:r>
              <w:rPr>
                <w:rFonts w:ascii="Courier New" w:cs="Courier New" w:eastAsia="Courier New" w:hAnsi="Courier New"/>
                <w:sz w:val="12"/>
                <w:szCs w:val="12"/>
                <w:color w:val="auto"/>
              </w:rPr>
              <w:t>Governmental</w:t>
            </w:r>
          </w:p>
        </w:tc>
        <w:tc>
          <w:tcPr>
            <w:tcW w:w="148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Body of the State of</w:t>
            </w:r>
          </w:p>
        </w:tc>
      </w:tr>
    </w:tbl>
    <w:p>
      <w:pPr>
        <w:sectPr>
          <w:pgSz w:w="11900" w:h="16865" w:orient="portrait"/>
          <w:cols w:equalWidth="0" w:num="1">
            <w:col w:w="10239"/>
          </w:cols>
          <w:pgMar w:left="220" w:top="141" w:right="1440" w:bottom="0" w:gutter="0" w:footer="0" w:header="0"/>
        </w:sectPr>
      </w:pPr>
    </w:p>
    <w:bookmarkStart w:id="84" w:name="page85"/>
    <w:bookmarkEnd w:id="84"/>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Israel,</w:t>
            </w: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or</w:t>
            </w:r>
          </w:p>
        </w:tc>
        <w:tc>
          <w:tcPr>
            <w:tcW w:w="44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from</w:t>
            </w: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any</w:t>
            </w: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w w:val="94"/>
              </w:rPr>
              <w:t>other</w:t>
            </w:r>
          </w:p>
        </w:tc>
        <w:tc>
          <w:tcPr>
            <w:tcW w:w="220" w:type="dxa"/>
            <w:vAlign w:val="bottom"/>
          </w:tcPr>
          <w:p>
            <w:pPr>
              <w:spacing w:after="0"/>
              <w:rPr>
                <w:sz w:val="12"/>
                <w:szCs w:val="12"/>
                <w:color w:val="auto"/>
              </w:rPr>
            </w:pP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Governmental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100" w:type="dxa"/>
            <w:vAlign w:val="bottom"/>
            <w:gridSpan w:val="14"/>
          </w:tcPr>
          <w:p>
            <w:pPr>
              <w:ind w:left="80"/>
              <w:spacing w:after="0"/>
              <w:rPr>
                <w:sz w:val="20"/>
                <w:szCs w:val="20"/>
                <w:color w:val="auto"/>
              </w:rPr>
            </w:pPr>
            <w:r>
              <w:rPr>
                <w:rFonts w:ascii="Courier New" w:cs="Courier New" w:eastAsia="Courier New" w:hAnsi="Courier New"/>
                <w:sz w:val="12"/>
                <w:szCs w:val="12"/>
                <w:color w:val="auto"/>
              </w:rPr>
              <w:t>Body, to the Borrower or any Subsidiary;</w:t>
            </w: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1.1.69.</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"GROUP"</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48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means the Borrower,</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any</w:t>
            </w:r>
          </w:p>
        </w:tc>
        <w:tc>
          <w:tcPr>
            <w:tcW w:w="80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7"/>
              </w:rPr>
              <w:t>Subsidiary</w:t>
            </w:r>
          </w:p>
        </w:tc>
        <w:tc>
          <w:tcPr>
            <w:tcW w:w="1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and any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other</w:t>
            </w:r>
          </w:p>
        </w:tc>
        <w:tc>
          <w:tcPr>
            <w:tcW w:w="1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entity</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the</w:t>
            </w: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accounts</w:t>
            </w:r>
          </w:p>
        </w:tc>
        <w:tc>
          <w:tcPr>
            <w:tcW w:w="60" w:type="dxa"/>
            <w:vAlign w:val="bottom"/>
          </w:tcPr>
          <w:p>
            <w:pPr>
              <w:spacing w:after="0"/>
              <w:rPr>
                <w:sz w:val="12"/>
                <w:szCs w:val="12"/>
                <w:color w:val="auto"/>
              </w:rPr>
            </w:pPr>
          </w:p>
        </w:tc>
        <w:tc>
          <w:tcPr>
            <w:tcW w:w="1120" w:type="dxa"/>
            <w:vAlign w:val="bottom"/>
            <w:gridSpan w:val="5"/>
          </w:tcPr>
          <w:p>
            <w:pPr>
              <w:spacing w:after="0"/>
              <w:rPr>
                <w:sz w:val="20"/>
                <w:szCs w:val="20"/>
                <w:color w:val="auto"/>
              </w:rPr>
            </w:pPr>
            <w:r>
              <w:rPr>
                <w:rFonts w:ascii="Courier New" w:cs="Courier New" w:eastAsia="Courier New" w:hAnsi="Courier New"/>
                <w:sz w:val="12"/>
                <w:szCs w:val="12"/>
                <w:color w:val="auto"/>
              </w:rPr>
              <w:t>of which are 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accordance</w:t>
            </w:r>
          </w:p>
        </w:tc>
        <w:tc>
          <w:tcPr>
            <w:tcW w:w="22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with</w:t>
            </w: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GAAP</w:t>
            </w:r>
          </w:p>
        </w:tc>
        <w:tc>
          <w:tcPr>
            <w:tcW w:w="300" w:type="dxa"/>
            <w:vAlign w:val="bottom"/>
          </w:tcPr>
          <w:p>
            <w:pPr>
              <w:spacing w:after="0"/>
              <w:rPr>
                <w:sz w:val="20"/>
                <w:szCs w:val="20"/>
                <w:color w:val="auto"/>
              </w:rPr>
            </w:pPr>
            <w:r>
              <w:rPr>
                <w:rFonts w:ascii="Courier New" w:cs="Courier New" w:eastAsia="Courier New" w:hAnsi="Courier New"/>
                <w:sz w:val="12"/>
                <w:szCs w:val="12"/>
                <w:color w:val="auto"/>
              </w:rPr>
              <w:t>to</w:t>
            </w: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rPr>
              <w:t>be</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consolidated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with</w:t>
            </w:r>
          </w:p>
        </w:tc>
        <w:tc>
          <w:tcPr>
            <w:tcW w:w="3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the</w:t>
            </w:r>
          </w:p>
        </w:tc>
        <w:tc>
          <w:tcPr>
            <w:tcW w:w="110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consolidated</w:t>
            </w:r>
          </w:p>
        </w:tc>
        <w:tc>
          <w:tcPr>
            <w:tcW w:w="80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Accounts</w:t>
            </w:r>
          </w:p>
        </w:tc>
        <w:tc>
          <w:tcPr>
            <w:tcW w:w="160" w:type="dxa"/>
            <w:vAlign w:val="bottom"/>
          </w:tcPr>
          <w:p>
            <w:pPr>
              <w:spacing w:after="0"/>
              <w:rPr>
                <w:sz w:val="12"/>
                <w:szCs w:val="12"/>
                <w:color w:val="auto"/>
              </w:rPr>
            </w:pPr>
          </w:p>
        </w:tc>
        <w:tc>
          <w:tcPr>
            <w:tcW w:w="2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of</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Borrower;</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1.1.70.</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"HEDGING TRANSACTION"</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48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means any Interest</w:t>
            </w:r>
          </w:p>
        </w:tc>
        <w:tc>
          <w:tcPr>
            <w:tcW w:w="102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Rate Hedging</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Transaction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80" w:type="dxa"/>
            <w:vAlign w:val="bottom"/>
            <w:gridSpan w:val="13"/>
          </w:tcPr>
          <w:p>
            <w:pPr>
              <w:ind w:left="80"/>
              <w:spacing w:after="0"/>
              <w:rPr>
                <w:sz w:val="20"/>
                <w:szCs w:val="20"/>
                <w:color w:val="auto"/>
              </w:rPr>
            </w:pPr>
            <w:r>
              <w:rPr>
                <w:rFonts w:ascii="Courier New" w:cs="Courier New" w:eastAsia="Courier New" w:hAnsi="Courier New"/>
                <w:sz w:val="12"/>
                <w:szCs w:val="12"/>
                <w:color w:val="auto"/>
              </w:rPr>
              <w:t>and any Currency Hedging Transaction;</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1.1.71.</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"ILA"</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2500" w:type="dxa"/>
            <w:vAlign w:val="bottom"/>
            <w:gridSpan w:val="11"/>
          </w:tcPr>
          <w:p>
            <w:pPr>
              <w:ind w:left="80"/>
              <w:spacing w:after="0"/>
              <w:rPr>
                <w:sz w:val="20"/>
                <w:szCs w:val="20"/>
                <w:color w:val="auto"/>
              </w:rPr>
            </w:pPr>
            <w:r>
              <w:rPr>
                <w:rFonts w:ascii="Courier New" w:cs="Courier New" w:eastAsia="Courier New" w:hAnsi="Courier New"/>
                <w:sz w:val="12"/>
                <w:szCs w:val="12"/>
                <w:color w:val="auto"/>
              </w:rPr>
              <w:t>means the Israel Lands Authority;</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1.1.72.</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"INDEBTEDNESS"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means any</w:t>
            </w:r>
          </w:p>
        </w:tc>
        <w:tc>
          <w:tcPr>
            <w:tcW w:w="88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obligation</w:t>
            </w:r>
          </w:p>
        </w:tc>
        <w:tc>
          <w:tcPr>
            <w:tcW w:w="80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(whether</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incurred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principal</w:t>
            </w:r>
          </w:p>
        </w:tc>
        <w:tc>
          <w:tcPr>
            <w:tcW w:w="220" w:type="dxa"/>
            <w:vAlign w:val="bottom"/>
          </w:tcPr>
          <w:p>
            <w:pPr>
              <w:ind w:left="60"/>
              <w:spacing w:after="0"/>
              <w:rPr>
                <w:sz w:val="20"/>
                <w:szCs w:val="20"/>
                <w:color w:val="auto"/>
              </w:rPr>
            </w:pPr>
            <w:r>
              <w:rPr>
                <w:rFonts w:ascii="Courier New" w:cs="Courier New" w:eastAsia="Courier New" w:hAnsi="Courier New"/>
                <w:sz w:val="12"/>
                <w:szCs w:val="12"/>
                <w:color w:val="auto"/>
                <w:w w:val="96"/>
              </w:rPr>
              <w:t>or</w:t>
            </w:r>
          </w:p>
        </w:tc>
        <w:tc>
          <w:tcPr>
            <w:tcW w:w="88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surety or</w:t>
            </w:r>
          </w:p>
        </w:tc>
        <w:tc>
          <w:tcPr>
            <w:tcW w:w="80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7"/>
              </w:rPr>
              <w:t>guarantor)</w:t>
            </w:r>
          </w:p>
        </w:tc>
        <w:tc>
          <w:tcPr>
            <w:tcW w:w="1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for 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payment</w:t>
            </w:r>
          </w:p>
        </w:tc>
        <w:tc>
          <w:tcPr>
            <w:tcW w:w="4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or</w:t>
            </w: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w w:val="98"/>
              </w:rPr>
              <w:t>repayment</w:t>
            </w:r>
          </w:p>
        </w:tc>
        <w:tc>
          <w:tcPr>
            <w:tcW w:w="22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rPr>
              <w:t>of</w:t>
            </w:r>
          </w:p>
        </w:tc>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rPr>
              <w:t>money,</w:t>
            </w:r>
          </w:p>
        </w:tc>
        <w:tc>
          <w:tcPr>
            <w:tcW w:w="1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whether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actual or contingent;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25"/>
        </w:trPr>
        <w:tc>
          <w:tcPr>
            <w:tcW w:w="1020" w:type="dxa"/>
            <w:vAlign w:val="bottom"/>
          </w:tcPr>
          <w:p>
            <w:pPr>
              <w:spacing w:after="0"/>
              <w:rPr>
                <w:sz w:val="24"/>
                <w:szCs w:val="24"/>
                <w:color w:val="auto"/>
              </w:rPr>
            </w:pPr>
          </w:p>
        </w:tc>
        <w:tc>
          <w:tcPr>
            <w:tcW w:w="2660" w:type="dxa"/>
            <w:vAlign w:val="bottom"/>
          </w:tcPr>
          <w:p>
            <w:pPr>
              <w:ind w:left="1700"/>
              <w:spacing w:after="0"/>
              <w:rPr>
                <w:sz w:val="20"/>
                <w:szCs w:val="20"/>
                <w:color w:val="auto"/>
              </w:rPr>
            </w:pPr>
            <w:r>
              <w:rPr>
                <w:rFonts w:ascii="Courier New" w:cs="Courier New" w:eastAsia="Courier New" w:hAnsi="Courier New"/>
                <w:sz w:val="12"/>
                <w:szCs w:val="12"/>
                <w:color w:val="auto"/>
              </w:rPr>
              <w:t>- 26 -</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1.1.73.</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1.1.74.</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1.1.75.</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"INSURANCE ADVISER"</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means</w:t>
            </w:r>
          </w:p>
        </w:tc>
        <w:tc>
          <w:tcPr>
            <w:tcW w:w="16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M.M.I.</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7"/>
              </w:rPr>
              <w:t>Risk</w:t>
            </w:r>
          </w:p>
        </w:tc>
        <w:tc>
          <w:tcPr>
            <w:tcW w:w="102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Management</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Consultants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Ltd.,</w:t>
            </w:r>
          </w:p>
        </w:tc>
        <w:tc>
          <w:tcPr>
            <w:tcW w:w="1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who is</w:t>
            </w:r>
          </w:p>
        </w:tc>
        <w:tc>
          <w:tcPr>
            <w:tcW w:w="88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retained</w:t>
            </w: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rPr>
              <w:t>by the</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Borrower</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insurance</w:t>
            </w:r>
          </w:p>
        </w:tc>
        <w:tc>
          <w:tcPr>
            <w:tcW w:w="66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9"/>
              </w:rPr>
              <w:t>adviser</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to</w:t>
            </w:r>
          </w:p>
        </w:tc>
        <w:tc>
          <w:tcPr>
            <w:tcW w:w="300" w:type="dxa"/>
            <w:vAlign w:val="bottom"/>
          </w:tcPr>
          <w:p>
            <w:pPr>
              <w:spacing w:after="0"/>
              <w:rPr>
                <w:sz w:val="20"/>
                <w:szCs w:val="20"/>
                <w:color w:val="auto"/>
              </w:rPr>
            </w:pPr>
            <w:r>
              <w:rPr>
                <w:rFonts w:ascii="Courier New" w:cs="Courier New" w:eastAsia="Courier New" w:hAnsi="Courier New"/>
                <w:sz w:val="12"/>
                <w:szCs w:val="12"/>
                <w:color w:val="auto"/>
              </w:rPr>
              <w:t>the</w:t>
            </w:r>
          </w:p>
        </w:tc>
        <w:tc>
          <w:tcPr>
            <w:tcW w:w="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Banks</w:t>
            </w:r>
          </w:p>
        </w:tc>
        <w:tc>
          <w:tcPr>
            <w:tcW w:w="3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and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Borrower</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for</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the</w:t>
            </w:r>
          </w:p>
        </w:tc>
        <w:tc>
          <w:tcPr>
            <w:tcW w:w="220" w:type="dxa"/>
            <w:vAlign w:val="bottom"/>
          </w:tcPr>
          <w:p>
            <w:pPr>
              <w:spacing w:after="0"/>
              <w:rPr>
                <w:sz w:val="12"/>
                <w:szCs w:val="12"/>
                <w:color w:val="auto"/>
              </w:rPr>
            </w:pP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w w:val="97"/>
              </w:rPr>
              <w:t>purposes</w:t>
            </w:r>
          </w:p>
        </w:tc>
        <w:tc>
          <w:tcPr>
            <w:tcW w:w="22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Courier New" w:cs="Courier New" w:eastAsia="Courier New" w:hAnsi="Courier New"/>
                <w:sz w:val="12"/>
                <w:szCs w:val="12"/>
                <w:color w:val="auto"/>
                <w:w w:val="96"/>
              </w:rPr>
              <w:t>of</w:t>
            </w:r>
          </w:p>
        </w:tc>
        <w:tc>
          <w:tcPr>
            <w:tcW w:w="2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this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Agreement,</w:t>
            </w: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as</w:t>
            </w: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such</w:t>
            </w:r>
          </w:p>
        </w:tc>
        <w:tc>
          <w:tcPr>
            <w:tcW w:w="58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7"/>
              </w:rPr>
              <w:t>person</w:t>
            </w:r>
          </w:p>
        </w:tc>
        <w:tc>
          <w:tcPr>
            <w:tcW w:w="440" w:type="dxa"/>
            <w:vAlign w:val="bottom"/>
            <w:gridSpan w:val="2"/>
          </w:tcPr>
          <w:p>
            <w:pPr>
              <w:ind w:left="160"/>
              <w:spacing w:after="0"/>
              <w:rPr>
                <w:sz w:val="20"/>
                <w:szCs w:val="20"/>
                <w:color w:val="auto"/>
              </w:rPr>
            </w:pPr>
            <w:r>
              <w:rPr>
                <w:rFonts w:ascii="Courier New" w:cs="Courier New" w:eastAsia="Courier New" w:hAnsi="Courier New"/>
                <w:sz w:val="12"/>
                <w:szCs w:val="12"/>
                <w:color w:val="auto"/>
                <w:w w:val="90"/>
              </w:rPr>
              <w:t>may,</w:t>
            </w:r>
          </w:p>
        </w:tc>
        <w:tc>
          <w:tcPr>
            <w:tcW w:w="160" w:type="dxa"/>
            <w:vAlign w:val="bottom"/>
          </w:tcPr>
          <w:p>
            <w:pPr>
              <w:spacing w:after="0"/>
              <w:rPr>
                <w:sz w:val="12"/>
                <w:szCs w:val="12"/>
                <w:color w:val="auto"/>
              </w:rPr>
            </w:pPr>
          </w:p>
        </w:tc>
        <w:tc>
          <w:tcPr>
            <w:tcW w:w="2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on</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request</w:t>
            </w:r>
          </w:p>
        </w:tc>
        <w:tc>
          <w:tcPr>
            <w:tcW w:w="4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of</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6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Banks,</w:t>
            </w:r>
          </w:p>
        </w:tc>
        <w:tc>
          <w:tcPr>
            <w:tcW w:w="300" w:type="dxa"/>
            <w:vAlign w:val="bottom"/>
          </w:tcPr>
          <w:p>
            <w:pPr>
              <w:ind w:left="140"/>
              <w:spacing w:after="0"/>
              <w:rPr>
                <w:sz w:val="20"/>
                <w:szCs w:val="20"/>
                <w:color w:val="auto"/>
              </w:rPr>
            </w:pPr>
            <w:r>
              <w:rPr>
                <w:rFonts w:ascii="Courier New" w:cs="Courier New" w:eastAsia="Courier New" w:hAnsi="Courier New"/>
                <w:sz w:val="12"/>
                <w:szCs w:val="12"/>
                <w:color w:val="auto"/>
                <w:w w:val="96"/>
              </w:rPr>
              <w:t>be</w:t>
            </w:r>
          </w:p>
        </w:tc>
        <w:tc>
          <w:tcPr>
            <w:tcW w:w="60" w:type="dxa"/>
            <w:vAlign w:val="bottom"/>
          </w:tcPr>
          <w:p>
            <w:pPr>
              <w:spacing w:after="0"/>
              <w:rPr>
                <w:sz w:val="12"/>
                <w:szCs w:val="12"/>
                <w:color w:val="auto"/>
              </w:rPr>
            </w:pPr>
          </w:p>
        </w:tc>
        <w:tc>
          <w:tcPr>
            <w:tcW w:w="82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replaced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by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another</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7"/>
              </w:rPr>
              <w:t>firm</w:t>
            </w:r>
          </w:p>
        </w:tc>
        <w:tc>
          <w:tcPr>
            <w:tcW w:w="88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9"/>
              </w:rPr>
              <w:t>acceptable</w:t>
            </w:r>
          </w:p>
        </w:tc>
        <w:tc>
          <w:tcPr>
            <w:tcW w:w="58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7"/>
              </w:rPr>
              <w:t>to the</w:t>
            </w:r>
          </w:p>
        </w:tc>
        <w:tc>
          <w:tcPr>
            <w:tcW w:w="60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Banks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the Borrower,</w:t>
            </w:r>
          </w:p>
        </w:tc>
        <w:tc>
          <w:tcPr>
            <w:tcW w:w="118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the Borrower's</w:t>
            </w:r>
          </w:p>
        </w:tc>
        <w:tc>
          <w:tcPr>
            <w:tcW w:w="60" w:type="dxa"/>
            <w:vAlign w:val="bottom"/>
          </w:tcPr>
          <w:p>
            <w:pPr>
              <w:spacing w:after="0"/>
              <w:rPr>
                <w:sz w:val="12"/>
                <w:szCs w:val="12"/>
                <w:color w:val="auto"/>
              </w:rPr>
            </w:pPr>
          </w:p>
        </w:tc>
        <w:tc>
          <w:tcPr>
            <w:tcW w:w="11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consent not to</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2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be unreasonably withheld;</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1.1.76.</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"INSURANCE POLICIES"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means</w:t>
            </w:r>
          </w:p>
        </w:tc>
        <w:tc>
          <w:tcPr>
            <w:tcW w:w="160" w:type="dxa"/>
            <w:vAlign w:val="bottom"/>
          </w:tcPr>
          <w:p>
            <w:pPr>
              <w:spacing w:after="0"/>
              <w:rPr>
                <w:sz w:val="24"/>
                <w:szCs w:val="24"/>
                <w:color w:val="auto"/>
              </w:rPr>
            </w:pPr>
          </w:p>
        </w:tc>
        <w:tc>
          <w:tcPr>
            <w:tcW w:w="4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all</w:t>
            </w:r>
          </w:p>
        </w:tc>
        <w:tc>
          <w:tcPr>
            <w:tcW w:w="88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insurance</w:t>
            </w:r>
          </w:p>
        </w:tc>
        <w:tc>
          <w:tcPr>
            <w:tcW w:w="80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policies</w:t>
            </w:r>
          </w:p>
        </w:tc>
        <w:tc>
          <w:tcPr>
            <w:tcW w:w="16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to</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be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maintained</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or</w:t>
            </w: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w w:val="98"/>
              </w:rPr>
              <w:t>effected,</w:t>
            </w:r>
          </w:p>
        </w:tc>
        <w:tc>
          <w:tcPr>
            <w:tcW w:w="1480" w:type="dxa"/>
            <w:vAlign w:val="bottom"/>
            <w:gridSpan w:val="7"/>
          </w:tcPr>
          <w:p>
            <w:pPr>
              <w:ind w:left="140"/>
              <w:spacing w:after="0"/>
              <w:rPr>
                <w:sz w:val="20"/>
                <w:szCs w:val="20"/>
                <w:color w:val="auto"/>
              </w:rPr>
            </w:pPr>
            <w:r>
              <w:rPr>
                <w:rFonts w:ascii="Courier New" w:cs="Courier New" w:eastAsia="Courier New" w:hAnsi="Courier New"/>
                <w:sz w:val="12"/>
                <w:szCs w:val="12"/>
                <w:color w:val="auto"/>
              </w:rPr>
              <w:t>from time to time,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by</w:t>
            </w: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rPr>
              <w:t>the</w:t>
            </w:r>
          </w:p>
        </w:tc>
        <w:tc>
          <w:tcPr>
            <w:tcW w:w="66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Borrower</w:t>
            </w: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in</w:t>
            </w:r>
          </w:p>
        </w:tc>
        <w:tc>
          <w:tcPr>
            <w:tcW w:w="96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accordance</w:t>
            </w:r>
          </w:p>
        </w:tc>
        <w:tc>
          <w:tcPr>
            <w:tcW w:w="2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with</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clause</w:t>
            </w: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w w:val="99"/>
              </w:rPr>
              <w:t>16.10 below;</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1.1.77.</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"INSURANCE REPORT"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means the</w:t>
            </w:r>
          </w:p>
        </w:tc>
        <w:tc>
          <w:tcPr>
            <w:tcW w:w="88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insurance</w:t>
            </w:r>
          </w:p>
        </w:tc>
        <w:tc>
          <w:tcPr>
            <w:tcW w:w="520" w:type="dxa"/>
            <w:vAlign w:val="bottom"/>
            <w:gridSpan w:val="2"/>
          </w:tcPr>
          <w:p>
            <w:pPr>
              <w:spacing w:after="0"/>
              <w:rPr>
                <w:sz w:val="20"/>
                <w:szCs w:val="20"/>
                <w:color w:val="auto"/>
              </w:rPr>
            </w:pPr>
            <w:r>
              <w:rPr>
                <w:rFonts w:ascii="Courier New" w:cs="Courier New" w:eastAsia="Courier New" w:hAnsi="Courier New"/>
                <w:sz w:val="12"/>
                <w:szCs w:val="12"/>
                <w:color w:val="auto"/>
              </w:rPr>
              <w:t>report</w:t>
            </w:r>
          </w:p>
        </w:tc>
        <w:tc>
          <w:tcPr>
            <w:tcW w:w="60" w:type="dxa"/>
            <w:vAlign w:val="bottom"/>
          </w:tcPr>
          <w:p>
            <w:pPr>
              <w:spacing w:after="0"/>
              <w:rPr>
                <w:sz w:val="24"/>
                <w:szCs w:val="24"/>
                <w:color w:val="auto"/>
              </w:rPr>
            </w:pPr>
          </w:p>
        </w:tc>
        <w:tc>
          <w:tcPr>
            <w:tcW w:w="11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dated June 2006</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100" w:type="dxa"/>
            <w:vAlign w:val="bottom"/>
            <w:gridSpan w:val="14"/>
          </w:tcPr>
          <w:p>
            <w:pPr>
              <w:ind w:left="80"/>
              <w:spacing w:after="0"/>
              <w:rPr>
                <w:sz w:val="20"/>
                <w:szCs w:val="20"/>
                <w:color w:val="auto"/>
              </w:rPr>
            </w:pPr>
            <w:r>
              <w:rPr>
                <w:rFonts w:ascii="Courier New" w:cs="Courier New" w:eastAsia="Courier New" w:hAnsi="Courier New"/>
                <w:sz w:val="12"/>
                <w:szCs w:val="12"/>
                <w:color w:val="auto"/>
              </w:rPr>
              <w:t>prepared   by  the   Insurance   Adviser</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5"/>
          </w:tcPr>
          <w:p>
            <w:pPr>
              <w:ind w:left="80"/>
              <w:spacing w:after="0"/>
              <w:rPr>
                <w:sz w:val="20"/>
                <w:szCs w:val="20"/>
                <w:color w:val="auto"/>
              </w:rPr>
            </w:pPr>
            <w:r>
              <w:rPr>
                <w:rFonts w:ascii="Courier New" w:cs="Courier New" w:eastAsia="Courier New" w:hAnsi="Courier New"/>
                <w:sz w:val="12"/>
                <w:szCs w:val="12"/>
                <w:color w:val="auto"/>
              </w:rPr>
              <w:t>addressed  to the  Banks  and  the  Borrower,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including all</w:t>
            </w:r>
          </w:p>
        </w:tc>
        <w:tc>
          <w:tcPr>
            <w:tcW w:w="88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revisions</w:t>
            </w:r>
          </w:p>
        </w:tc>
        <w:tc>
          <w:tcPr>
            <w:tcW w:w="148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thereto in the form</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to be prepared by the</w:t>
            </w:r>
          </w:p>
        </w:tc>
        <w:tc>
          <w:tcPr>
            <w:tcW w:w="80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Insurance</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Adviser 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100" w:type="dxa"/>
            <w:vAlign w:val="bottom"/>
            <w:gridSpan w:val="14"/>
          </w:tcPr>
          <w:p>
            <w:pPr>
              <w:ind w:left="80"/>
              <w:spacing w:after="0"/>
              <w:rPr>
                <w:sz w:val="20"/>
                <w:szCs w:val="20"/>
                <w:color w:val="auto"/>
              </w:rPr>
            </w:pPr>
            <w:r>
              <w:rPr>
                <w:rFonts w:ascii="Courier New" w:cs="Courier New" w:eastAsia="Courier New" w:hAnsi="Courier New"/>
                <w:sz w:val="12"/>
                <w:szCs w:val="12"/>
                <w:color w:val="auto"/>
              </w:rPr>
              <w:t>addressed to the Banks and the Borrower;</w:t>
            </w: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1.1.78.</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1.1.79.</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"INTELLECTUAL</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020" w:type="dxa"/>
            <w:vAlign w:val="bottom"/>
          </w:tcPr>
          <w:p>
            <w:pPr>
              <w:spacing w:after="0"/>
              <w:rPr>
                <w:sz w:val="12"/>
                <w:szCs w:val="12"/>
                <w:color w:val="auto"/>
              </w:rPr>
            </w:pP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PROPERTY ASSETS"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means</w:t>
            </w:r>
          </w:p>
        </w:tc>
        <w:tc>
          <w:tcPr>
            <w:tcW w:w="160" w:type="dxa"/>
            <w:vAlign w:val="bottom"/>
          </w:tcPr>
          <w:p>
            <w:pPr>
              <w:spacing w:after="0"/>
              <w:rPr>
                <w:sz w:val="12"/>
                <w:szCs w:val="12"/>
                <w:color w:val="auto"/>
              </w:rPr>
            </w:pPr>
          </w:p>
        </w:tc>
        <w:tc>
          <w:tcPr>
            <w:tcW w:w="4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all</w:t>
            </w:r>
          </w:p>
        </w:tc>
        <w:tc>
          <w:tcPr>
            <w:tcW w:w="44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such</w:t>
            </w:r>
          </w:p>
        </w:tc>
        <w:tc>
          <w:tcPr>
            <w:tcW w:w="74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rights</w:t>
            </w:r>
          </w:p>
        </w:tc>
        <w:tc>
          <w:tcPr>
            <w:tcW w:w="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set</w:t>
            </w:r>
          </w:p>
        </w:tc>
        <w:tc>
          <w:tcPr>
            <w:tcW w:w="22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forth</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paragraphs (a)-(e)</w:t>
            </w: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4"/>
              </w:rPr>
              <w:t>below</w:t>
            </w:r>
          </w:p>
        </w:tc>
        <w:tc>
          <w:tcPr>
            <w:tcW w:w="80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and all</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know-how,</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trade</w:t>
            </w:r>
          </w:p>
        </w:tc>
        <w:tc>
          <w:tcPr>
            <w:tcW w:w="16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secrets,</w:t>
            </w:r>
          </w:p>
        </w:tc>
        <w:tc>
          <w:tcPr>
            <w:tcW w:w="1020" w:type="dxa"/>
            <w:vAlign w:val="bottom"/>
            <w:gridSpan w:val="5"/>
          </w:tcPr>
          <w:p>
            <w:pPr>
              <w:ind w:left="140"/>
              <w:spacing w:after="0"/>
              <w:rPr>
                <w:sz w:val="20"/>
                <w:szCs w:val="20"/>
                <w:color w:val="auto"/>
              </w:rPr>
            </w:pPr>
            <w:r>
              <w:rPr>
                <w:rFonts w:ascii="Courier New" w:cs="Courier New" w:eastAsia="Courier New" w:hAnsi="Courier New"/>
                <w:sz w:val="12"/>
                <w:szCs w:val="12"/>
                <w:color w:val="auto"/>
                <w:w w:val="99"/>
              </w:rPr>
              <w:t>confidential</w:t>
            </w:r>
          </w:p>
        </w:tc>
        <w:tc>
          <w:tcPr>
            <w:tcW w:w="220" w:type="dxa"/>
            <w:vAlign w:val="bottom"/>
          </w:tcPr>
          <w:p>
            <w:pPr>
              <w:spacing w:after="0"/>
              <w:rPr>
                <w:sz w:val="12"/>
                <w:szCs w:val="12"/>
                <w:color w:val="auto"/>
              </w:rPr>
            </w:pP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information,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customer</w:t>
            </w:r>
          </w:p>
        </w:tc>
        <w:tc>
          <w:tcPr>
            <w:tcW w:w="6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lists,</w:t>
            </w:r>
          </w:p>
        </w:tc>
        <w:tc>
          <w:tcPr>
            <w:tcW w:w="220" w:type="dxa"/>
            <w:vAlign w:val="bottom"/>
          </w:tcPr>
          <w:p>
            <w:pPr>
              <w:spacing w:after="0"/>
              <w:rPr>
                <w:sz w:val="12"/>
                <w:szCs w:val="12"/>
                <w:color w:val="auto"/>
              </w:rPr>
            </w:pPr>
          </w:p>
        </w:tc>
        <w:tc>
          <w:tcPr>
            <w:tcW w:w="800" w:type="dxa"/>
            <w:vAlign w:val="bottom"/>
            <w:gridSpan w:val="4"/>
          </w:tcPr>
          <w:p>
            <w:pPr>
              <w:spacing w:after="0"/>
              <w:rPr>
                <w:sz w:val="20"/>
                <w:szCs w:val="20"/>
                <w:color w:val="auto"/>
              </w:rPr>
            </w:pPr>
            <w:r>
              <w:rPr>
                <w:rFonts w:ascii="Courier New" w:cs="Courier New" w:eastAsia="Courier New" w:hAnsi="Courier New"/>
                <w:sz w:val="12"/>
                <w:szCs w:val="12"/>
                <w:color w:val="auto"/>
              </w:rPr>
              <w:t>software,</w:t>
            </w:r>
          </w:p>
        </w:tc>
        <w:tc>
          <w:tcPr>
            <w:tcW w:w="22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technical</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information,</w:t>
            </w:r>
          </w:p>
        </w:tc>
        <w:tc>
          <w:tcPr>
            <w:tcW w:w="22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data,</w:t>
            </w:r>
          </w:p>
        </w:tc>
        <w:tc>
          <w:tcPr>
            <w:tcW w:w="80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process</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technology,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plans,</w:t>
            </w:r>
          </w:p>
        </w:tc>
        <w:tc>
          <w:tcPr>
            <w:tcW w:w="2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drawings</w:t>
            </w:r>
          </w:p>
        </w:tc>
        <w:tc>
          <w:tcPr>
            <w:tcW w:w="220" w:type="dxa"/>
            <w:vAlign w:val="bottom"/>
          </w:tcPr>
          <w:p>
            <w:pPr>
              <w:spacing w:after="0"/>
              <w:rPr>
                <w:sz w:val="12"/>
                <w:szCs w:val="12"/>
                <w:color w:val="auto"/>
              </w:rPr>
            </w:pPr>
          </w:p>
        </w:tc>
        <w:tc>
          <w:tcPr>
            <w:tcW w:w="5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and</w:t>
            </w:r>
          </w:p>
        </w:tc>
        <w:tc>
          <w:tcPr>
            <w:tcW w:w="60" w:type="dxa"/>
            <w:vAlign w:val="bottom"/>
          </w:tcPr>
          <w:p>
            <w:pPr>
              <w:spacing w:after="0"/>
              <w:rPr>
                <w:sz w:val="12"/>
                <w:szCs w:val="12"/>
                <w:color w:val="auto"/>
              </w:rPr>
            </w:pP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blue</w:t>
            </w:r>
          </w:p>
        </w:tc>
        <w:tc>
          <w:tcPr>
            <w:tcW w:w="1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prints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(collectively,</w:t>
            </w: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"TRADE</w:t>
            </w:r>
          </w:p>
        </w:tc>
        <w:tc>
          <w:tcPr>
            <w:tcW w:w="80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7"/>
              </w:rPr>
              <w:t>SECRETS");</w:t>
            </w:r>
          </w:p>
        </w:tc>
        <w:tc>
          <w:tcPr>
            <w:tcW w:w="1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owned,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5"/>
          </w:tcPr>
          <w:p>
            <w:pPr>
              <w:ind w:left="80"/>
              <w:spacing w:after="0"/>
              <w:rPr>
                <w:sz w:val="20"/>
                <w:szCs w:val="20"/>
                <w:color w:val="auto"/>
              </w:rPr>
            </w:pPr>
            <w:r>
              <w:rPr>
                <w:rFonts w:ascii="Courier New" w:cs="Courier New" w:eastAsia="Courier New" w:hAnsi="Courier New"/>
                <w:sz w:val="12"/>
                <w:szCs w:val="12"/>
                <w:color w:val="auto"/>
              </w:rPr>
              <w:t>used  or  licensed  by  the  Borrower  or its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Subsidiaries</w:t>
            </w:r>
          </w:p>
        </w:tc>
        <w:tc>
          <w:tcPr>
            <w:tcW w:w="88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as licensee</w:t>
            </w:r>
          </w:p>
        </w:tc>
        <w:tc>
          <w:tcPr>
            <w:tcW w:w="96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or licensor</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which</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are,</w:t>
            </w:r>
          </w:p>
        </w:tc>
        <w:tc>
          <w:tcPr>
            <w:tcW w:w="1040" w:type="dxa"/>
            <w:vAlign w:val="bottom"/>
            <w:gridSpan w:val="5"/>
          </w:tcPr>
          <w:p>
            <w:pPr>
              <w:spacing w:after="0"/>
              <w:rPr>
                <w:sz w:val="20"/>
                <w:szCs w:val="20"/>
                <w:color w:val="auto"/>
              </w:rPr>
            </w:pPr>
            <w:r>
              <w:rPr>
                <w:rFonts w:ascii="Courier New" w:cs="Courier New" w:eastAsia="Courier New" w:hAnsi="Courier New"/>
                <w:sz w:val="12"/>
                <w:szCs w:val="12"/>
                <w:color w:val="auto"/>
              </w:rPr>
              <w:t>in each case,</w:t>
            </w:r>
          </w:p>
        </w:tc>
        <w:tc>
          <w:tcPr>
            <w:tcW w:w="124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used in or are</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necessary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for</w:t>
            </w: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rPr>
              <w:t>the</w:t>
            </w: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conduct</w:t>
            </w: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of</w:t>
            </w:r>
          </w:p>
        </w:tc>
        <w:tc>
          <w:tcPr>
            <w:tcW w:w="170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the  Business  as  now</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conducted</w:t>
            </w: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and</w:t>
            </w: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as</w:t>
            </w:r>
          </w:p>
        </w:tc>
        <w:tc>
          <w:tcPr>
            <w:tcW w:w="80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approved</w:t>
            </w:r>
          </w:p>
        </w:tc>
        <w:tc>
          <w:tcPr>
            <w:tcW w:w="38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by</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their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respective</w:t>
            </w:r>
          </w:p>
        </w:tc>
        <w:tc>
          <w:tcPr>
            <w:tcW w:w="22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Boards</w:t>
            </w: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of</w:t>
            </w:r>
          </w:p>
        </w:tc>
        <w:tc>
          <w:tcPr>
            <w:tcW w:w="80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8"/>
              </w:rPr>
              <w:t>Directors</w:t>
            </w:r>
          </w:p>
        </w:tc>
        <w:tc>
          <w:tcPr>
            <w:tcW w:w="1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to</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be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conducted,</w:t>
            </w:r>
          </w:p>
        </w:tc>
        <w:tc>
          <w:tcPr>
            <w:tcW w:w="220" w:type="dxa"/>
            <w:vAlign w:val="bottom"/>
          </w:tcPr>
          <w:p>
            <w:pPr>
              <w:spacing w:after="0"/>
              <w:rPr>
                <w:sz w:val="12"/>
                <w:szCs w:val="12"/>
                <w:color w:val="auto"/>
              </w:rPr>
            </w:pPr>
          </w:p>
        </w:tc>
        <w:tc>
          <w:tcPr>
            <w:tcW w:w="88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including</w:t>
            </w: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w w:val="92"/>
              </w:rPr>
              <w:t>for</w:t>
            </w:r>
          </w:p>
        </w:tc>
        <w:tc>
          <w:tcPr>
            <w:tcW w:w="60" w:type="dxa"/>
            <w:vAlign w:val="bottom"/>
          </w:tcPr>
          <w:p>
            <w:pPr>
              <w:spacing w:after="0"/>
              <w:rPr>
                <w:sz w:val="12"/>
                <w:szCs w:val="12"/>
                <w:color w:val="auto"/>
              </w:rPr>
            </w:pPr>
          </w:p>
        </w:tc>
        <w:tc>
          <w:tcPr>
            <w:tcW w:w="4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the</w:t>
            </w:r>
          </w:p>
        </w:tc>
        <w:tc>
          <w:tcPr>
            <w:tcW w:w="1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design,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construction</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and</w:t>
            </w:r>
          </w:p>
        </w:tc>
        <w:tc>
          <w:tcPr>
            <w:tcW w:w="80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8"/>
              </w:rPr>
              <w:t>operation</w:t>
            </w:r>
          </w:p>
        </w:tc>
        <w:tc>
          <w:tcPr>
            <w:tcW w:w="4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of</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Fab 2</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accordance</w:t>
            </w:r>
          </w:p>
        </w:tc>
        <w:tc>
          <w:tcPr>
            <w:tcW w:w="220" w:type="dxa"/>
            <w:vAlign w:val="bottom"/>
          </w:tcPr>
          <w:p>
            <w:pPr>
              <w:spacing w:after="0"/>
              <w:rPr>
                <w:sz w:val="12"/>
                <w:szCs w:val="12"/>
                <w:color w:val="auto"/>
              </w:rPr>
            </w:pPr>
          </w:p>
        </w:tc>
        <w:tc>
          <w:tcPr>
            <w:tcW w:w="44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with</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the</w:t>
            </w:r>
          </w:p>
        </w:tc>
        <w:tc>
          <w:tcPr>
            <w:tcW w:w="800" w:type="dxa"/>
            <w:vAlign w:val="bottom"/>
            <w:gridSpan w:val="4"/>
          </w:tcPr>
          <w:p>
            <w:pPr>
              <w:ind w:left="220"/>
              <w:spacing w:after="0"/>
              <w:rPr>
                <w:sz w:val="20"/>
                <w:szCs w:val="20"/>
                <w:color w:val="auto"/>
              </w:rPr>
            </w:pPr>
            <w:r>
              <w:rPr>
                <w:rFonts w:ascii="Courier New" w:cs="Courier New" w:eastAsia="Courier New" w:hAnsi="Courier New"/>
                <w:sz w:val="12"/>
                <w:szCs w:val="12"/>
                <w:color w:val="auto"/>
                <w:w w:val="97"/>
              </w:rPr>
              <w:t>Business</w:t>
            </w:r>
          </w:p>
        </w:tc>
        <w:tc>
          <w:tcPr>
            <w:tcW w:w="1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Plan.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SCHEDULE 1.1.79</w:t>
            </w: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hereto</w:t>
            </w:r>
          </w:p>
        </w:tc>
        <w:tc>
          <w:tcPr>
            <w:tcW w:w="1480" w:type="dxa"/>
            <w:vAlign w:val="bottom"/>
            <w:gridSpan w:val="7"/>
          </w:tcPr>
          <w:p>
            <w:pPr>
              <w:spacing w:after="0"/>
              <w:rPr>
                <w:sz w:val="20"/>
                <w:szCs w:val="20"/>
                <w:color w:val="auto"/>
              </w:rPr>
            </w:pPr>
            <w:r>
              <w:rPr>
                <w:rFonts w:ascii="Courier New" w:cs="Courier New" w:eastAsia="Courier New" w:hAnsi="Courier New"/>
                <w:sz w:val="12"/>
                <w:szCs w:val="12"/>
                <w:color w:val="auto"/>
              </w:rPr>
              <w:t>sets forth a list 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the</w:t>
            </w:r>
          </w:p>
        </w:tc>
        <w:tc>
          <w:tcPr>
            <w:tcW w:w="1040" w:type="dxa"/>
            <w:vAlign w:val="bottom"/>
            <w:gridSpan w:val="5"/>
          </w:tcPr>
          <w:p>
            <w:pPr>
              <w:spacing w:after="0"/>
              <w:rPr>
                <w:sz w:val="20"/>
                <w:szCs w:val="20"/>
                <w:color w:val="auto"/>
              </w:rPr>
            </w:pPr>
            <w:r>
              <w:rPr>
                <w:rFonts w:ascii="Courier New" w:cs="Courier New" w:eastAsia="Courier New" w:hAnsi="Courier New"/>
                <w:sz w:val="12"/>
                <w:szCs w:val="12"/>
                <w:color w:val="auto"/>
              </w:rPr>
              <w:t>Intellectual</w:t>
            </w: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Property</w:t>
            </w:r>
          </w:p>
        </w:tc>
        <w:tc>
          <w:tcPr>
            <w:tcW w:w="6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Assets,</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other</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than</w:t>
            </w:r>
          </w:p>
        </w:tc>
        <w:tc>
          <w:tcPr>
            <w:tcW w:w="1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Trade</w:t>
            </w:r>
          </w:p>
        </w:tc>
        <w:tc>
          <w:tcPr>
            <w:tcW w:w="22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Secrets</w:t>
            </w: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w w:val="92"/>
              </w:rPr>
              <w:t>and</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unregistered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Copyrights: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25"/>
        </w:trPr>
        <w:tc>
          <w:tcPr>
            <w:tcW w:w="1020" w:type="dxa"/>
            <w:vAlign w:val="bottom"/>
          </w:tcPr>
          <w:p>
            <w:pPr>
              <w:spacing w:after="0"/>
              <w:rPr>
                <w:sz w:val="24"/>
                <w:szCs w:val="24"/>
                <w:color w:val="auto"/>
              </w:rPr>
            </w:pPr>
          </w:p>
        </w:tc>
        <w:tc>
          <w:tcPr>
            <w:tcW w:w="2660" w:type="dxa"/>
            <w:vAlign w:val="bottom"/>
          </w:tcPr>
          <w:p>
            <w:pPr>
              <w:ind w:left="1700"/>
              <w:spacing w:after="0"/>
              <w:rPr>
                <w:sz w:val="20"/>
                <w:szCs w:val="20"/>
                <w:color w:val="auto"/>
              </w:rPr>
            </w:pPr>
            <w:r>
              <w:rPr>
                <w:rFonts w:ascii="Courier New" w:cs="Courier New" w:eastAsia="Courier New" w:hAnsi="Courier New"/>
                <w:sz w:val="12"/>
                <w:szCs w:val="12"/>
                <w:color w:val="auto"/>
              </w:rPr>
              <w:t>- 27 -</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(a)</w:t>
            </w:r>
          </w:p>
        </w:tc>
        <w:tc>
          <w:tcPr>
            <w:tcW w:w="16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trade</w:t>
            </w:r>
          </w:p>
        </w:tc>
        <w:tc>
          <w:tcPr>
            <w:tcW w:w="22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names,</w:t>
            </w:r>
          </w:p>
        </w:tc>
        <w:tc>
          <w:tcPr>
            <w:tcW w:w="220" w:type="dxa"/>
            <w:vAlign w:val="bottom"/>
          </w:tcPr>
          <w:p>
            <w:pPr>
              <w:spacing w:after="0"/>
              <w:rPr>
                <w:sz w:val="24"/>
                <w:szCs w:val="24"/>
                <w:color w:val="auto"/>
              </w:rPr>
            </w:pPr>
          </w:p>
        </w:tc>
        <w:tc>
          <w:tcPr>
            <w:tcW w:w="96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registered</w:t>
            </w:r>
          </w:p>
        </w:tc>
        <w:tc>
          <w:tcPr>
            <w:tcW w:w="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w w:val="99"/>
              </w:rPr>
              <w:t>unregistered</w:t>
            </w:r>
          </w:p>
        </w:tc>
        <w:tc>
          <w:tcPr>
            <w:tcW w:w="220" w:type="dxa"/>
            <w:vAlign w:val="bottom"/>
          </w:tcPr>
          <w:p>
            <w:pPr>
              <w:spacing w:after="0"/>
              <w:rPr>
                <w:sz w:val="12"/>
                <w:szCs w:val="12"/>
                <w:color w:val="auto"/>
              </w:rPr>
            </w:pPr>
          </w:p>
        </w:tc>
        <w:tc>
          <w:tcPr>
            <w:tcW w:w="102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trademarks,</w:t>
            </w:r>
          </w:p>
        </w:tc>
        <w:tc>
          <w:tcPr>
            <w:tcW w:w="1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service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7"/>
          </w:tcPr>
          <w:p>
            <w:pPr>
              <w:spacing w:after="0"/>
              <w:rPr>
                <w:sz w:val="20"/>
                <w:szCs w:val="20"/>
                <w:color w:val="auto"/>
              </w:rPr>
            </w:pPr>
            <w:r>
              <w:rPr>
                <w:rFonts w:ascii="Courier New" w:cs="Courier New" w:eastAsia="Courier New" w:hAnsi="Courier New"/>
                <w:sz w:val="12"/>
                <w:szCs w:val="12"/>
                <w:color w:val="auto"/>
              </w:rPr>
              <w:t>marks and applications</w:t>
            </w:r>
          </w:p>
        </w:tc>
        <w:tc>
          <w:tcPr>
            <w:tcW w:w="60" w:type="dxa"/>
            <w:vAlign w:val="bottom"/>
          </w:tcPr>
          <w:p>
            <w:pPr>
              <w:spacing w:after="0"/>
              <w:rPr>
                <w:sz w:val="12"/>
                <w:szCs w:val="12"/>
                <w:color w:val="auto"/>
              </w:rPr>
            </w:pPr>
          </w:p>
        </w:tc>
        <w:tc>
          <w:tcPr>
            <w:tcW w:w="11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(collectively,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w w:val="98"/>
              </w:rPr>
              <w:t>"MARKS");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(b)</w:t>
            </w:r>
          </w:p>
        </w:tc>
        <w:tc>
          <w:tcPr>
            <w:tcW w:w="16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w w:val="99"/>
              </w:rPr>
              <w:t>all patents,</w:t>
            </w:r>
          </w:p>
        </w:tc>
        <w:tc>
          <w:tcPr>
            <w:tcW w:w="74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patent</w:t>
            </w:r>
          </w:p>
        </w:tc>
        <w:tc>
          <w:tcPr>
            <w:tcW w:w="1180" w:type="dxa"/>
            <w:vAlign w:val="bottom"/>
            <w:gridSpan w:val="6"/>
          </w:tcPr>
          <w:p>
            <w:pPr>
              <w:spacing w:after="0"/>
              <w:rPr>
                <w:sz w:val="20"/>
                <w:szCs w:val="20"/>
                <w:color w:val="auto"/>
              </w:rPr>
            </w:pPr>
            <w:r>
              <w:rPr>
                <w:rFonts w:ascii="Courier New" w:cs="Courier New" w:eastAsia="Courier New" w:hAnsi="Courier New"/>
                <w:sz w:val="12"/>
                <w:szCs w:val="12"/>
                <w:color w:val="auto"/>
              </w:rPr>
              <w:t>applications 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rPr>
              <w:t>inventions</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and</w:t>
            </w:r>
          </w:p>
        </w:tc>
        <w:tc>
          <w:tcPr>
            <w:tcW w:w="102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discoveries</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that may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be</w:t>
            </w:r>
          </w:p>
        </w:tc>
        <w:tc>
          <w:tcPr>
            <w:tcW w:w="220" w:type="dxa"/>
            <w:vAlign w:val="bottom"/>
          </w:tcPr>
          <w:p>
            <w:pPr>
              <w:spacing w:after="0"/>
              <w:rPr>
                <w:sz w:val="12"/>
                <w:szCs w:val="12"/>
                <w:color w:val="auto"/>
              </w:rPr>
            </w:pPr>
          </w:p>
        </w:tc>
        <w:tc>
          <w:tcPr>
            <w:tcW w:w="88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9"/>
              </w:rPr>
              <w:t>patentable</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(collectively,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rPr>
              <w:t>"PATENTS");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(c)</w:t>
            </w:r>
          </w:p>
        </w:tc>
        <w:tc>
          <w:tcPr>
            <w:tcW w:w="1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all</w:t>
            </w:r>
          </w:p>
        </w:tc>
        <w:tc>
          <w:tcPr>
            <w:tcW w:w="220" w:type="dxa"/>
            <w:vAlign w:val="bottom"/>
          </w:tcPr>
          <w:p>
            <w:pPr>
              <w:spacing w:after="0"/>
              <w:rPr>
                <w:sz w:val="24"/>
                <w:szCs w:val="24"/>
                <w:color w:val="auto"/>
              </w:rPr>
            </w:pPr>
          </w:p>
        </w:tc>
        <w:tc>
          <w:tcPr>
            <w:tcW w:w="88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copyrights,</w:t>
            </w:r>
          </w:p>
        </w:tc>
        <w:tc>
          <w:tcPr>
            <w:tcW w:w="3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Courier New" w:cs="Courier New" w:eastAsia="Courier New" w:hAnsi="Courier New"/>
                <w:sz w:val="12"/>
                <w:szCs w:val="12"/>
                <w:color w:val="auto"/>
              </w:rPr>
              <w:t>registered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2"/>
                <w:szCs w:val="12"/>
                <w:color w:val="auto"/>
                <w:w w:val="99"/>
              </w:rPr>
              <w:t>unregistered</w:t>
            </w:r>
          </w:p>
        </w:tc>
        <w:tc>
          <w:tcPr>
            <w:tcW w:w="1400" w:type="dxa"/>
            <w:vAlign w:val="bottom"/>
            <w:gridSpan w:val="7"/>
          </w:tcPr>
          <w:p>
            <w:pPr>
              <w:ind w:left="140"/>
              <w:spacing w:after="0"/>
              <w:rPr>
                <w:sz w:val="20"/>
                <w:szCs w:val="20"/>
                <w:color w:val="auto"/>
              </w:rPr>
            </w:pPr>
            <w:r>
              <w:rPr>
                <w:rFonts w:ascii="Courier New" w:cs="Courier New" w:eastAsia="Courier New" w:hAnsi="Courier New"/>
                <w:sz w:val="12"/>
                <w:szCs w:val="12"/>
                <w:color w:val="auto"/>
              </w:rPr>
              <w:t>in both published</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works</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5"/>
          </w:tcPr>
          <w:p>
            <w:pPr>
              <w:spacing w:after="0"/>
              <w:rPr>
                <w:sz w:val="20"/>
                <w:szCs w:val="20"/>
                <w:color w:val="auto"/>
              </w:rPr>
            </w:pPr>
            <w:r>
              <w:rPr>
                <w:rFonts w:ascii="Courier New" w:cs="Courier New" w:eastAsia="Courier New" w:hAnsi="Courier New"/>
                <w:sz w:val="12"/>
                <w:szCs w:val="12"/>
                <w:color w:val="auto"/>
                <w:w w:val="99"/>
              </w:rPr>
              <w:t>and unpublished</w:t>
            </w:r>
          </w:p>
        </w:tc>
        <w:tc>
          <w:tcPr>
            <w:tcW w:w="5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9"/>
              </w:rPr>
              <w:t>works</w:t>
            </w:r>
          </w:p>
        </w:tc>
        <w:tc>
          <w:tcPr>
            <w:tcW w:w="60" w:type="dxa"/>
            <w:vAlign w:val="bottom"/>
          </w:tcPr>
          <w:p>
            <w:pPr>
              <w:spacing w:after="0"/>
              <w:rPr>
                <w:sz w:val="12"/>
                <w:szCs w:val="12"/>
                <w:color w:val="auto"/>
              </w:rPr>
            </w:pPr>
          </w:p>
        </w:tc>
        <w:tc>
          <w:tcPr>
            <w:tcW w:w="11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(collectively,</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5"/>
          </w:tcPr>
          <w:p>
            <w:pPr>
              <w:spacing w:after="0"/>
              <w:rPr>
                <w:sz w:val="20"/>
                <w:szCs w:val="20"/>
                <w:color w:val="auto"/>
              </w:rPr>
            </w:pPr>
            <w:r>
              <w:rPr>
                <w:rFonts w:ascii="Courier New" w:cs="Courier New" w:eastAsia="Courier New" w:hAnsi="Courier New"/>
                <w:sz w:val="12"/>
                <w:szCs w:val="12"/>
                <w:color w:val="auto"/>
              </w:rPr>
              <w:t>"COPYRIGHTS");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(d)</w:t>
            </w:r>
          </w:p>
        </w:tc>
        <w:tc>
          <w:tcPr>
            <w:tcW w:w="160" w:type="dxa"/>
            <w:vAlign w:val="bottom"/>
          </w:tcPr>
          <w:p>
            <w:pPr>
              <w:spacing w:after="0"/>
              <w:rPr>
                <w:sz w:val="24"/>
                <w:szCs w:val="24"/>
                <w:color w:val="auto"/>
              </w:rPr>
            </w:pPr>
          </w:p>
        </w:tc>
        <w:tc>
          <w:tcPr>
            <w:tcW w:w="1620" w:type="dxa"/>
            <w:vAlign w:val="bottom"/>
            <w:gridSpan w:val="7"/>
          </w:tcPr>
          <w:p>
            <w:pPr>
              <w:spacing w:after="0"/>
              <w:rPr>
                <w:sz w:val="20"/>
                <w:szCs w:val="20"/>
                <w:color w:val="auto"/>
              </w:rPr>
            </w:pPr>
            <w:r>
              <w:rPr>
                <w:rFonts w:ascii="Courier New" w:cs="Courier New" w:eastAsia="Courier New" w:hAnsi="Courier New"/>
                <w:sz w:val="12"/>
                <w:szCs w:val="12"/>
                <w:color w:val="auto"/>
              </w:rPr>
              <w:t>all domain names; and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(e)</w:t>
            </w:r>
          </w:p>
        </w:tc>
        <w:tc>
          <w:tcPr>
            <w:tcW w:w="16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all mask</w:t>
            </w: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works,</w:t>
            </w:r>
          </w:p>
        </w:tc>
        <w:tc>
          <w:tcPr>
            <w:tcW w:w="800" w:type="dxa"/>
            <w:vAlign w:val="bottom"/>
            <w:gridSpan w:val="4"/>
          </w:tcPr>
          <w:p>
            <w:pPr>
              <w:spacing w:after="0"/>
              <w:rPr>
                <w:sz w:val="20"/>
                <w:szCs w:val="20"/>
                <w:color w:val="auto"/>
              </w:rPr>
            </w:pPr>
            <w:r>
              <w:rPr>
                <w:rFonts w:ascii="Courier New" w:cs="Courier New" w:eastAsia="Courier New" w:hAnsi="Courier New"/>
                <w:sz w:val="12"/>
                <w:szCs w:val="12"/>
                <w:color w:val="auto"/>
              </w:rPr>
              <w:t>including</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rights 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gridSpan w:val="13"/>
          </w:tcPr>
          <w:p>
            <w:pPr>
              <w:spacing w:after="0"/>
              <w:rPr>
                <w:sz w:val="20"/>
                <w:szCs w:val="20"/>
                <w:color w:val="auto"/>
              </w:rPr>
            </w:pPr>
            <w:r>
              <w:rPr>
                <w:rFonts w:ascii="Courier New" w:cs="Courier New" w:eastAsia="Courier New" w:hAnsi="Courier New"/>
                <w:sz w:val="12"/>
                <w:szCs w:val="12"/>
                <w:color w:val="auto"/>
              </w:rPr>
              <w:t>the topography of integrated circuits;</w:t>
            </w: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1.1.80.</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"INTERCREDITOR</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020" w:type="dxa"/>
            <w:vAlign w:val="bottom"/>
          </w:tcPr>
          <w:p>
            <w:pPr>
              <w:spacing w:after="0"/>
              <w:rPr>
                <w:sz w:val="12"/>
                <w:szCs w:val="12"/>
                <w:color w:val="auto"/>
              </w:rPr>
            </w:pP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AGREEMENT"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means</w:t>
            </w:r>
          </w:p>
        </w:tc>
        <w:tc>
          <w:tcPr>
            <w:tcW w:w="1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110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intercreditor</w:t>
            </w:r>
          </w:p>
        </w:tc>
        <w:tc>
          <w:tcPr>
            <w:tcW w:w="80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8"/>
              </w:rPr>
              <w:t>agreement</w:t>
            </w:r>
          </w:p>
        </w:tc>
        <w:tc>
          <w:tcPr>
            <w:tcW w:w="1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entered</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2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into between the Banks;</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1.1.81.</w:t>
            </w:r>
          </w:p>
        </w:tc>
        <w:tc>
          <w:tcPr>
            <w:tcW w:w="2660" w:type="dxa"/>
            <w:vAlign w:val="bottom"/>
          </w:tcPr>
          <w:p>
            <w:pPr>
              <w:ind w:left="520"/>
              <w:spacing w:after="0"/>
              <w:rPr>
                <w:sz w:val="20"/>
                <w:szCs w:val="20"/>
                <w:color w:val="auto"/>
              </w:rPr>
            </w:pPr>
            <w:r>
              <w:rPr>
                <w:rFonts w:ascii="Courier New" w:cs="Courier New" w:eastAsia="Courier New" w:hAnsi="Courier New"/>
                <w:sz w:val="12"/>
                <w:szCs w:val="12"/>
                <w:color w:val="auto"/>
              </w:rPr>
              <w:t>"INTEREST"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(a)</w:t>
            </w:r>
          </w:p>
        </w:tc>
        <w:tc>
          <w:tcPr>
            <w:tcW w:w="16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interest</w:t>
            </w:r>
          </w:p>
        </w:tc>
        <w:tc>
          <w:tcPr>
            <w:tcW w:w="214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and amounts in the nature of</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interest</w:t>
            </w:r>
          </w:p>
        </w:tc>
        <w:tc>
          <w:tcPr>
            <w:tcW w:w="96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(including</w:t>
            </w:r>
          </w:p>
        </w:tc>
        <w:tc>
          <w:tcPr>
            <w:tcW w:w="60" w:type="dxa"/>
            <w:vAlign w:val="bottom"/>
          </w:tcPr>
          <w:p>
            <w:pPr>
              <w:spacing w:after="0"/>
              <w:rPr>
                <w:sz w:val="12"/>
                <w:szCs w:val="12"/>
                <w:color w:val="auto"/>
              </w:rPr>
            </w:pP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the</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interest</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gridSpan w:val="13"/>
          </w:tcPr>
          <w:p>
            <w:pPr>
              <w:spacing w:after="0"/>
              <w:rPr>
                <w:sz w:val="20"/>
                <w:szCs w:val="20"/>
                <w:color w:val="auto"/>
              </w:rPr>
            </w:pPr>
            <w:r>
              <w:rPr>
                <w:rFonts w:ascii="Courier New" w:cs="Courier New" w:eastAsia="Courier New" w:hAnsi="Courier New"/>
                <w:sz w:val="12"/>
                <w:szCs w:val="12"/>
                <w:color w:val="auto"/>
              </w:rPr>
              <w:t>element  of  finance  leases,  linkage</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gridSpan w:val="13"/>
          </w:tcPr>
          <w:p>
            <w:pPr>
              <w:spacing w:after="0"/>
              <w:rPr>
                <w:sz w:val="20"/>
                <w:szCs w:val="20"/>
                <w:color w:val="auto"/>
              </w:rPr>
            </w:pPr>
            <w:r>
              <w:rPr>
                <w:rFonts w:ascii="Courier New" w:cs="Courier New" w:eastAsia="Courier New" w:hAnsi="Courier New"/>
                <w:sz w:val="12"/>
                <w:szCs w:val="12"/>
                <w:color w:val="auto"/>
              </w:rPr>
              <w:t>differentials  with  respect  to  such</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interest</w:t>
            </w: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and any</w:t>
            </w:r>
          </w:p>
        </w:tc>
        <w:tc>
          <w:tcPr>
            <w:tcW w:w="58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5"/>
              </w:rPr>
              <w:t>similar</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payment in</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7"/>
          </w:tcPr>
          <w:p>
            <w:pPr>
              <w:spacing w:after="0"/>
              <w:rPr>
                <w:sz w:val="20"/>
                <w:szCs w:val="20"/>
                <w:color w:val="auto"/>
              </w:rPr>
            </w:pPr>
            <w:r>
              <w:rPr>
                <w:rFonts w:ascii="Courier New" w:cs="Courier New" w:eastAsia="Courier New" w:hAnsi="Courier New"/>
                <w:sz w:val="12"/>
                <w:szCs w:val="12"/>
                <w:color w:val="auto"/>
              </w:rPr>
              <w:t>respect of indexation</w:t>
            </w:r>
          </w:p>
        </w:tc>
        <w:tc>
          <w:tcPr>
            <w:tcW w:w="60" w:type="dxa"/>
            <w:vAlign w:val="bottom"/>
          </w:tcPr>
          <w:p>
            <w:pPr>
              <w:spacing w:after="0"/>
              <w:rPr>
                <w:sz w:val="12"/>
                <w:szCs w:val="12"/>
                <w:color w:val="auto"/>
              </w:rPr>
            </w:pPr>
          </w:p>
        </w:tc>
        <w:tc>
          <w:tcPr>
            <w:tcW w:w="11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with respect to</w:t>
            </w:r>
          </w:p>
        </w:tc>
      </w:tr>
      <w:tr>
        <w:trPr>
          <w:trHeight w:val="142"/>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5"/>
          </w:tcPr>
          <w:p>
            <w:pPr>
              <w:spacing w:after="0"/>
              <w:rPr>
                <w:sz w:val="20"/>
                <w:szCs w:val="20"/>
                <w:color w:val="auto"/>
              </w:rPr>
            </w:pPr>
            <w:r>
              <w:rPr>
                <w:rFonts w:ascii="Courier New" w:cs="Courier New" w:eastAsia="Courier New" w:hAnsi="Courier New"/>
                <w:sz w:val="12"/>
                <w:szCs w:val="12"/>
                <w:color w:val="auto"/>
                <w:w w:val="99"/>
              </w:rPr>
              <w:t>such interest);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bl>
    <w:p>
      <w:pPr>
        <w:spacing w:after="0" w:line="200" w:lineRule="exact"/>
        <w:rPr>
          <w:sz w:val="20"/>
          <w:szCs w:val="20"/>
          <w:color w:val="auto"/>
        </w:rPr>
      </w:pPr>
    </w:p>
    <w:p>
      <w:pPr>
        <w:sectPr>
          <w:pgSz w:w="11900" w:h="16862" w:orient="portrait"/>
          <w:cols w:equalWidth="0" w:num="1">
            <w:col w:w="10239"/>
          </w:cols>
          <w:pgMar w:left="220" w:top="141" w:right="1440" w:bottom="0" w:gutter="0" w:footer="0" w:header="0"/>
        </w:sectPr>
      </w:pPr>
    </w:p>
    <w:p>
      <w:pPr>
        <w:spacing w:after="0" w:line="87"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- 28 -</w:t>
      </w:r>
    </w:p>
    <w:p>
      <w:pPr>
        <w:sectPr>
          <w:pgSz w:w="11900" w:h="16862" w:orient="portrait"/>
          <w:cols w:equalWidth="0" w:num="1">
            <w:col w:w="10239"/>
          </w:cols>
          <w:pgMar w:left="220" w:top="141" w:right="1440" w:bottom="0" w:gutter="0" w:footer="0" w:header="0"/>
          <w:type w:val="continuous"/>
        </w:sectPr>
      </w:pPr>
    </w:p>
    <w:bookmarkStart w:id="85" w:name="page86"/>
    <w:bookmarkEnd w:id="85"/>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(b)</w:t>
            </w:r>
          </w:p>
        </w:tc>
        <w:tc>
          <w:tcPr>
            <w:tcW w:w="160" w:type="dxa"/>
            <w:vAlign w:val="bottom"/>
          </w:tcPr>
          <w:p>
            <w:pPr>
              <w:spacing w:after="0"/>
              <w:rPr>
                <w:sz w:val="12"/>
                <w:szCs w:val="12"/>
                <w:color w:val="auto"/>
              </w:rPr>
            </w:pPr>
          </w:p>
        </w:tc>
        <w:tc>
          <w:tcPr>
            <w:tcW w:w="800" w:type="dxa"/>
            <w:vAlign w:val="bottom"/>
            <w:gridSpan w:val="4"/>
          </w:tcPr>
          <w:p>
            <w:pPr>
              <w:spacing w:after="0"/>
              <w:rPr>
                <w:sz w:val="20"/>
                <w:szCs w:val="20"/>
                <w:color w:val="auto"/>
              </w:rPr>
            </w:pPr>
            <w:r>
              <w:rPr>
                <w:rFonts w:ascii="Courier New" w:cs="Courier New" w:eastAsia="Courier New" w:hAnsi="Courier New"/>
                <w:sz w:val="12"/>
                <w:szCs w:val="12"/>
                <w:color w:val="auto"/>
              </w:rPr>
              <w:t>prepayment</w:t>
            </w:r>
          </w:p>
        </w:tc>
        <w:tc>
          <w:tcPr>
            <w:tcW w:w="8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penalties</w:t>
            </w:r>
          </w:p>
        </w:tc>
        <w:tc>
          <w:tcPr>
            <w:tcW w:w="140" w:type="dxa"/>
            <w:vAlign w:val="bottom"/>
          </w:tcPr>
          <w:p>
            <w:pPr>
              <w:spacing w:after="0"/>
              <w:rPr>
                <w:sz w:val="12"/>
                <w:szCs w:val="12"/>
                <w:color w:val="auto"/>
              </w:rPr>
            </w:pPr>
          </w:p>
        </w:tc>
        <w:tc>
          <w:tcPr>
            <w:tcW w:w="220" w:type="dxa"/>
            <w:vAlign w:val="bottom"/>
          </w:tcPr>
          <w:p>
            <w:pPr>
              <w:jc w:val="center"/>
              <w:ind w:left="19"/>
              <w:spacing w:after="0"/>
              <w:rPr>
                <w:sz w:val="20"/>
                <w:szCs w:val="20"/>
                <w:color w:val="auto"/>
              </w:rPr>
            </w:pPr>
            <w:r>
              <w:rPr>
                <w:rFonts w:ascii="Courier New" w:cs="Courier New" w:eastAsia="Courier New" w:hAnsi="Courier New"/>
                <w:sz w:val="12"/>
                <w:szCs w:val="12"/>
                <w:color w:val="auto"/>
                <w:w w:val="96"/>
              </w:rPr>
              <w:t>or</w:t>
            </w:r>
          </w:p>
        </w:tc>
        <w:tc>
          <w:tcPr>
            <w:tcW w:w="22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premiums</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12"/>
          </w:tcPr>
          <w:p>
            <w:pPr>
              <w:spacing w:after="0"/>
              <w:rPr>
                <w:sz w:val="20"/>
                <w:szCs w:val="20"/>
                <w:color w:val="auto"/>
              </w:rPr>
            </w:pPr>
            <w:r>
              <w:rPr>
                <w:rFonts w:ascii="Courier New" w:cs="Courier New" w:eastAsia="Courier New" w:hAnsi="Courier New"/>
                <w:sz w:val="12"/>
                <w:szCs w:val="12"/>
                <w:color w:val="auto"/>
              </w:rPr>
              <w:t>incurred in repaying or prepaying</w:t>
            </w:r>
          </w:p>
        </w:tc>
        <w:tc>
          <w:tcPr>
            <w:tcW w:w="1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any</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4"/>
          </w:tcPr>
          <w:p>
            <w:pPr>
              <w:spacing w:after="0"/>
              <w:rPr>
                <w:sz w:val="20"/>
                <w:szCs w:val="20"/>
                <w:color w:val="auto"/>
              </w:rPr>
            </w:pPr>
            <w:r>
              <w:rPr>
                <w:rFonts w:ascii="Courier New" w:cs="Courier New" w:eastAsia="Courier New" w:hAnsi="Courier New"/>
                <w:sz w:val="12"/>
                <w:szCs w:val="12"/>
                <w:color w:val="auto"/>
              </w:rPr>
              <w:t>Financial</w:t>
            </w:r>
          </w:p>
        </w:tc>
        <w:tc>
          <w:tcPr>
            <w:tcW w:w="80" w:type="dxa"/>
            <w:vAlign w:val="bottom"/>
          </w:tcPr>
          <w:p>
            <w:pPr>
              <w:spacing w:after="0"/>
              <w:rPr>
                <w:sz w:val="12"/>
                <w:szCs w:val="12"/>
                <w:color w:val="auto"/>
              </w:rPr>
            </w:pPr>
          </w:p>
        </w:tc>
        <w:tc>
          <w:tcPr>
            <w:tcW w:w="88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99"/>
              </w:rPr>
              <w:t>Indebtedness</w:t>
            </w:r>
          </w:p>
        </w:tc>
        <w:tc>
          <w:tcPr>
            <w:tcW w:w="220" w:type="dxa"/>
            <w:vAlign w:val="bottom"/>
          </w:tcPr>
          <w:p>
            <w:pPr>
              <w:spacing w:after="0"/>
              <w:rPr>
                <w:sz w:val="12"/>
                <w:szCs w:val="12"/>
                <w:color w:val="auto"/>
              </w:rPr>
            </w:pPr>
          </w:p>
        </w:tc>
        <w:tc>
          <w:tcPr>
            <w:tcW w:w="8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(including,</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rPr>
              <w:t>for the</w:t>
            </w:r>
          </w:p>
        </w:tc>
        <w:tc>
          <w:tcPr>
            <w:tcW w:w="82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avoidance</w:t>
            </w:r>
          </w:p>
        </w:tc>
        <w:tc>
          <w:tcPr>
            <w:tcW w:w="80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of doubt,</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amounts</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gridSpan w:val="11"/>
          </w:tcPr>
          <w:p>
            <w:pPr>
              <w:spacing w:after="0"/>
              <w:rPr>
                <w:sz w:val="20"/>
                <w:szCs w:val="20"/>
                <w:color w:val="auto"/>
              </w:rPr>
            </w:pPr>
            <w:r>
              <w:rPr>
                <w:rFonts w:ascii="Courier New" w:cs="Courier New" w:eastAsia="Courier New" w:hAnsi="Courier New"/>
                <w:sz w:val="12"/>
                <w:szCs w:val="12"/>
                <w:color w:val="auto"/>
              </w:rPr>
              <w:t>payable pursuant to clause 19</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below);</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83"/>
        </w:trPr>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(c)</w:t>
            </w:r>
          </w:p>
        </w:tc>
        <w:tc>
          <w:tcPr>
            <w:tcW w:w="16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w w:val="97"/>
              </w:rPr>
              <w:t>discount</w:t>
            </w:r>
          </w:p>
        </w:tc>
        <w:tc>
          <w:tcPr>
            <w:tcW w:w="52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fees</w:t>
            </w: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w w:val="92"/>
              </w:rPr>
              <w:t>and</w:t>
            </w:r>
          </w:p>
        </w:tc>
        <w:tc>
          <w:tcPr>
            <w:tcW w:w="1020" w:type="dxa"/>
            <w:vAlign w:val="bottom"/>
            <w:gridSpan w:val="5"/>
          </w:tcPr>
          <w:p>
            <w:pPr>
              <w:jc w:val="center"/>
              <w:spacing w:after="0"/>
              <w:rPr>
                <w:sz w:val="20"/>
                <w:szCs w:val="20"/>
                <w:color w:val="auto"/>
              </w:rPr>
            </w:pPr>
            <w:r>
              <w:rPr>
                <w:rFonts w:ascii="Courier New" w:cs="Courier New" w:eastAsia="Courier New" w:hAnsi="Courier New"/>
                <w:sz w:val="12"/>
                <w:szCs w:val="12"/>
                <w:color w:val="auto"/>
              </w:rPr>
              <w:t>acceptance</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fees</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4"/>
          </w:tcPr>
          <w:p>
            <w:pPr>
              <w:spacing w:after="0"/>
              <w:rPr>
                <w:sz w:val="20"/>
                <w:szCs w:val="20"/>
                <w:color w:val="auto"/>
              </w:rPr>
            </w:pPr>
            <w:r>
              <w:rPr>
                <w:rFonts w:ascii="Courier New" w:cs="Courier New" w:eastAsia="Courier New" w:hAnsi="Courier New"/>
                <w:sz w:val="12"/>
                <w:szCs w:val="12"/>
                <w:color w:val="auto"/>
              </w:rPr>
              <w:t>payable or</w:t>
            </w:r>
          </w:p>
        </w:tc>
        <w:tc>
          <w:tcPr>
            <w:tcW w:w="80" w:type="dxa"/>
            <w:vAlign w:val="bottom"/>
          </w:tcPr>
          <w:p>
            <w:pPr>
              <w:spacing w:after="0"/>
              <w:rPr>
                <w:sz w:val="12"/>
                <w:szCs w:val="12"/>
                <w:color w:val="auto"/>
              </w:rPr>
            </w:pPr>
          </w:p>
        </w:tc>
        <w:tc>
          <w:tcPr>
            <w:tcW w:w="1920" w:type="dxa"/>
            <w:vAlign w:val="bottom"/>
            <w:gridSpan w:val="9"/>
          </w:tcPr>
          <w:p>
            <w:pPr>
              <w:jc w:val="right"/>
              <w:spacing w:after="0"/>
              <w:rPr>
                <w:sz w:val="20"/>
                <w:szCs w:val="20"/>
                <w:color w:val="auto"/>
              </w:rPr>
            </w:pPr>
            <w:r>
              <w:rPr>
                <w:rFonts w:ascii="Courier New" w:cs="Courier New" w:eastAsia="Courier New" w:hAnsi="Courier New"/>
                <w:sz w:val="12"/>
                <w:szCs w:val="12"/>
                <w:color w:val="auto"/>
              </w:rPr>
              <w:t>deducted in respect of any</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8"/>
          </w:tcPr>
          <w:p>
            <w:pPr>
              <w:spacing w:after="0"/>
              <w:rPr>
                <w:sz w:val="20"/>
                <w:szCs w:val="20"/>
                <w:color w:val="auto"/>
              </w:rPr>
            </w:pPr>
            <w:r>
              <w:rPr>
                <w:rFonts w:ascii="Courier New" w:cs="Courier New" w:eastAsia="Courier New" w:hAnsi="Courier New"/>
                <w:sz w:val="12"/>
                <w:szCs w:val="12"/>
                <w:color w:val="auto"/>
              </w:rPr>
              <w:t>Financial Indebtedness</w:t>
            </w:r>
          </w:p>
        </w:tc>
        <w:tc>
          <w:tcPr>
            <w:tcW w:w="140" w:type="dxa"/>
            <w:vAlign w:val="bottom"/>
          </w:tcPr>
          <w:p>
            <w:pPr>
              <w:spacing w:after="0"/>
              <w:rPr>
                <w:sz w:val="12"/>
                <w:szCs w:val="12"/>
                <w:color w:val="auto"/>
              </w:rPr>
            </w:pPr>
          </w:p>
        </w:tc>
        <w:tc>
          <w:tcPr>
            <w:tcW w:w="104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(including all</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4"/>
          </w:tcPr>
          <w:p>
            <w:pPr>
              <w:spacing w:after="0"/>
              <w:rPr>
                <w:sz w:val="20"/>
                <w:szCs w:val="20"/>
                <w:color w:val="auto"/>
              </w:rPr>
            </w:pPr>
            <w:r>
              <w:rPr>
                <w:rFonts w:ascii="Courier New" w:cs="Courier New" w:eastAsia="Courier New" w:hAnsi="Courier New"/>
                <w:sz w:val="12"/>
                <w:szCs w:val="12"/>
                <w:color w:val="auto"/>
                <w:w w:val="98"/>
              </w:rPr>
              <w:t>commissions</w:t>
            </w:r>
          </w:p>
        </w:tc>
        <w:tc>
          <w:tcPr>
            <w:tcW w:w="80" w:type="dxa"/>
            <w:vAlign w:val="bottom"/>
          </w:tcPr>
          <w:p>
            <w:pPr>
              <w:spacing w:after="0"/>
              <w:rPr>
                <w:sz w:val="12"/>
                <w:szCs w:val="12"/>
                <w:color w:val="auto"/>
              </w:rPr>
            </w:pPr>
          </w:p>
        </w:tc>
        <w:tc>
          <w:tcPr>
            <w:tcW w:w="74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payable</w:t>
            </w:r>
          </w:p>
        </w:tc>
        <w:tc>
          <w:tcPr>
            <w:tcW w:w="36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in</w:t>
            </w:r>
          </w:p>
        </w:tc>
        <w:tc>
          <w:tcPr>
            <w:tcW w:w="8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connection</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10"/>
          </w:tcPr>
          <w:p>
            <w:pPr>
              <w:spacing w:after="0"/>
              <w:rPr>
                <w:sz w:val="20"/>
                <w:szCs w:val="20"/>
                <w:color w:val="auto"/>
              </w:rPr>
            </w:pPr>
            <w:r>
              <w:rPr>
                <w:rFonts w:ascii="Courier New" w:cs="Courier New" w:eastAsia="Courier New" w:hAnsi="Courier New"/>
                <w:sz w:val="12"/>
                <w:szCs w:val="12"/>
                <w:color w:val="auto"/>
              </w:rPr>
              <w:t>with any letter of credit);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83"/>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1.1.82.</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"INTEREST</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1060" w:type="dxa"/>
            <w:vAlign w:val="bottom"/>
          </w:tcPr>
          <w:p>
            <w:pPr>
              <w:spacing w:after="0"/>
              <w:rPr>
                <w:sz w:val="12"/>
                <w:szCs w:val="12"/>
                <w:color w:val="auto"/>
              </w:rPr>
            </w:pP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DETERMINATION DATE"</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in relation</w:t>
            </w:r>
          </w:p>
        </w:tc>
        <w:tc>
          <w:tcPr>
            <w:tcW w:w="5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to any</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Interest</w:t>
            </w:r>
          </w:p>
        </w:tc>
        <w:tc>
          <w:tcPr>
            <w:tcW w:w="140" w:type="dxa"/>
            <w:vAlign w:val="bottom"/>
          </w:tcPr>
          <w:p>
            <w:pPr>
              <w:spacing w:after="0"/>
              <w:rPr>
                <w:sz w:val="12"/>
                <w:szCs w:val="12"/>
                <w:color w:val="auto"/>
              </w:rPr>
            </w:pPr>
          </w:p>
        </w:tc>
        <w:tc>
          <w:tcPr>
            <w:tcW w:w="66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w w:val="99"/>
              </w:rPr>
              <w:t>Period,</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means</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the</w:t>
            </w: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Business</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Day</w:t>
            </w:r>
          </w:p>
        </w:tc>
        <w:tc>
          <w:tcPr>
            <w:tcW w:w="80" w:type="dxa"/>
            <w:vAlign w:val="bottom"/>
          </w:tcPr>
          <w:p>
            <w:pPr>
              <w:spacing w:after="0"/>
              <w:rPr>
                <w:sz w:val="12"/>
                <w:szCs w:val="12"/>
                <w:color w:val="auto"/>
              </w:rPr>
            </w:pPr>
          </w:p>
        </w:tc>
        <w:tc>
          <w:tcPr>
            <w:tcW w:w="1320" w:type="dxa"/>
            <w:vAlign w:val="bottom"/>
            <w:gridSpan w:val="6"/>
          </w:tcPr>
          <w:p>
            <w:pPr>
              <w:jc w:val="right"/>
              <w:ind w:right="79"/>
              <w:spacing w:after="0"/>
              <w:rPr>
                <w:sz w:val="20"/>
                <w:szCs w:val="20"/>
                <w:color w:val="auto"/>
              </w:rPr>
            </w:pPr>
            <w:r>
              <w:rPr>
                <w:rFonts w:ascii="Courier New" w:cs="Courier New" w:eastAsia="Courier New" w:hAnsi="Courier New"/>
                <w:sz w:val="12"/>
                <w:szCs w:val="12"/>
                <w:color w:val="auto"/>
              </w:rPr>
              <w:t>falling 2 (two)</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Business</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Days</w:t>
            </w:r>
          </w:p>
        </w:tc>
        <w:tc>
          <w:tcPr>
            <w:tcW w:w="16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w w:val="94"/>
              </w:rPr>
              <w:t>prior</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to</w:t>
            </w:r>
          </w:p>
        </w:tc>
        <w:tc>
          <w:tcPr>
            <w:tcW w:w="300" w:type="dxa"/>
            <w:vAlign w:val="bottom"/>
            <w:gridSpan w:val="2"/>
          </w:tcPr>
          <w:p>
            <w:pPr>
              <w:spacing w:after="0"/>
              <w:rPr>
                <w:sz w:val="20"/>
                <w:szCs w:val="20"/>
                <w:color w:val="auto"/>
              </w:rPr>
            </w:pPr>
            <w:r>
              <w:rPr>
                <w:rFonts w:ascii="Courier New" w:cs="Courier New" w:eastAsia="Courier New" w:hAnsi="Courier New"/>
                <w:sz w:val="12"/>
                <w:szCs w:val="12"/>
                <w:color w:val="auto"/>
              </w:rPr>
              <w:t>the</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first</w:t>
            </w:r>
          </w:p>
        </w:tc>
        <w:tc>
          <w:tcPr>
            <w:tcW w:w="140" w:type="dxa"/>
            <w:vAlign w:val="bottom"/>
          </w:tcPr>
          <w:p>
            <w:pPr>
              <w:spacing w:after="0"/>
              <w:rPr>
                <w:sz w:val="12"/>
                <w:szCs w:val="12"/>
                <w:color w:val="auto"/>
              </w:rPr>
            </w:pPr>
          </w:p>
        </w:tc>
        <w:tc>
          <w:tcPr>
            <w:tcW w:w="44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day</w:t>
            </w: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of</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such</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Interest Period;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83"/>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1.1.83.</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"INTEREST PAYMENT</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1060" w:type="dxa"/>
            <w:vAlign w:val="bottom"/>
          </w:tcPr>
          <w:p>
            <w:pPr>
              <w:spacing w:after="0"/>
              <w:rPr>
                <w:sz w:val="12"/>
                <w:szCs w:val="12"/>
                <w:color w:val="auto"/>
              </w:rPr>
            </w:pP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DATE"</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400" w:type="dxa"/>
            <w:vAlign w:val="bottom"/>
            <w:gridSpan w:val="16"/>
          </w:tcPr>
          <w:p>
            <w:pPr>
              <w:ind w:left="80"/>
              <w:spacing w:after="0"/>
              <w:rPr>
                <w:sz w:val="20"/>
                <w:szCs w:val="20"/>
                <w:color w:val="auto"/>
              </w:rPr>
            </w:pPr>
            <w:r>
              <w:rPr>
                <w:rFonts w:ascii="Courier New" w:cs="Courier New" w:eastAsia="Courier New" w:hAnsi="Courier New"/>
                <w:sz w:val="12"/>
                <w:szCs w:val="12"/>
                <w:color w:val="auto"/>
              </w:rPr>
              <w:t>means the last Business Day of each Quarter;</w:t>
            </w:r>
          </w:p>
        </w:tc>
      </w:tr>
      <w:tr>
        <w:trPr>
          <w:trHeight w:val="283"/>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1.1.83A.</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3"/>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1.1.83B.</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3"/>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1.1.84.</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"INTEREST PERIODS"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means</w:t>
            </w:r>
          </w:p>
        </w:tc>
        <w:tc>
          <w:tcPr>
            <w:tcW w:w="160" w:type="dxa"/>
            <w:vAlign w:val="bottom"/>
          </w:tcPr>
          <w:p>
            <w:pPr>
              <w:spacing w:after="0"/>
              <w:rPr>
                <w:sz w:val="24"/>
                <w:szCs w:val="24"/>
                <w:color w:val="auto"/>
              </w:rPr>
            </w:pPr>
          </w:p>
        </w:tc>
        <w:tc>
          <w:tcPr>
            <w:tcW w:w="88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consecutive</w:t>
            </w:r>
          </w:p>
        </w:tc>
        <w:tc>
          <w:tcPr>
            <w:tcW w:w="2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periods</w:t>
            </w:r>
          </w:p>
        </w:tc>
        <w:tc>
          <w:tcPr>
            <w:tcW w:w="140" w:type="dxa"/>
            <w:vAlign w:val="bottom"/>
          </w:tcPr>
          <w:p>
            <w:pPr>
              <w:spacing w:after="0"/>
              <w:rPr>
                <w:sz w:val="24"/>
                <w:szCs w:val="24"/>
                <w:color w:val="auto"/>
              </w:rPr>
            </w:pPr>
          </w:p>
        </w:tc>
        <w:tc>
          <w:tcPr>
            <w:tcW w:w="220" w:type="dxa"/>
            <w:vAlign w:val="bottom"/>
          </w:tcPr>
          <w:p>
            <w:pPr>
              <w:jc w:val="center"/>
              <w:ind w:left="19"/>
              <w:spacing w:after="0"/>
              <w:rPr>
                <w:sz w:val="20"/>
                <w:szCs w:val="20"/>
                <w:color w:val="auto"/>
              </w:rPr>
            </w:pPr>
            <w:r>
              <w:rPr>
                <w:rFonts w:ascii="Courier New" w:cs="Courier New" w:eastAsia="Courier New" w:hAnsi="Courier New"/>
                <w:sz w:val="12"/>
                <w:szCs w:val="12"/>
                <w:color w:val="auto"/>
                <w:w w:val="96"/>
              </w:rPr>
              <w:t>of</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c>
          <w:tcPr>
            <w:tcW w:w="2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(one)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Quarter;</w:t>
            </w:r>
          </w:p>
        </w:tc>
        <w:tc>
          <w:tcPr>
            <w:tcW w:w="1180" w:type="dxa"/>
            <w:vAlign w:val="bottom"/>
            <w:gridSpan w:val="6"/>
          </w:tcPr>
          <w:p>
            <w:pPr>
              <w:jc w:val="right"/>
              <w:ind w:right="99"/>
              <w:spacing w:after="0"/>
              <w:rPr>
                <w:sz w:val="20"/>
                <w:szCs w:val="20"/>
                <w:color w:val="auto"/>
              </w:rPr>
            </w:pPr>
            <w:r>
              <w:rPr>
                <w:rFonts w:ascii="Courier New" w:cs="Courier New" w:eastAsia="Courier New" w:hAnsi="Courier New"/>
                <w:sz w:val="12"/>
                <w:szCs w:val="12"/>
                <w:color w:val="auto"/>
                <w:w w:val="99"/>
              </w:rPr>
              <w:t>provided that,</w:t>
            </w:r>
          </w:p>
        </w:tc>
        <w:tc>
          <w:tcPr>
            <w:tcW w:w="140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notwithstanding the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aforegoing:</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83"/>
        </w:trPr>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(a)</w:t>
            </w:r>
          </w:p>
        </w:tc>
        <w:tc>
          <w:tcPr>
            <w:tcW w:w="1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if</w:t>
            </w:r>
          </w:p>
        </w:tc>
        <w:tc>
          <w:tcPr>
            <w:tcW w:w="1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any</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99"/>
              <w:spacing w:after="0"/>
              <w:rPr>
                <w:sz w:val="20"/>
                <w:szCs w:val="20"/>
                <w:color w:val="auto"/>
              </w:rPr>
            </w:pPr>
            <w:r>
              <w:rPr>
                <w:rFonts w:ascii="Courier New" w:cs="Courier New" w:eastAsia="Courier New" w:hAnsi="Courier New"/>
                <w:sz w:val="12"/>
                <w:szCs w:val="12"/>
                <w:color w:val="auto"/>
                <w:w w:val="97"/>
              </w:rPr>
              <w:t>Interest</w:t>
            </w:r>
          </w:p>
        </w:tc>
        <w:tc>
          <w:tcPr>
            <w:tcW w:w="14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Period</w:t>
            </w:r>
          </w:p>
        </w:tc>
        <w:tc>
          <w:tcPr>
            <w:tcW w:w="2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would</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4"/>
          </w:tcPr>
          <w:p>
            <w:pPr>
              <w:spacing w:after="0"/>
              <w:rPr>
                <w:sz w:val="20"/>
                <w:szCs w:val="20"/>
                <w:color w:val="auto"/>
              </w:rPr>
            </w:pPr>
            <w:r>
              <w:rPr>
                <w:rFonts w:ascii="Courier New" w:cs="Courier New" w:eastAsia="Courier New" w:hAnsi="Courier New"/>
                <w:sz w:val="12"/>
                <w:szCs w:val="12"/>
                <w:color w:val="auto"/>
              </w:rPr>
              <w:t>otherwise</w:t>
            </w:r>
          </w:p>
        </w:tc>
        <w:tc>
          <w:tcPr>
            <w:tcW w:w="2000" w:type="dxa"/>
            <w:vAlign w:val="bottom"/>
            <w:gridSpan w:val="10"/>
          </w:tcPr>
          <w:p>
            <w:pPr>
              <w:jc w:val="right"/>
              <w:spacing w:after="0"/>
              <w:rPr>
                <w:sz w:val="20"/>
                <w:szCs w:val="20"/>
                <w:color w:val="auto"/>
              </w:rPr>
            </w:pPr>
            <w:r>
              <w:rPr>
                <w:rFonts w:ascii="Courier New" w:cs="Courier New" w:eastAsia="Courier New" w:hAnsi="Courier New"/>
                <w:sz w:val="12"/>
                <w:szCs w:val="12"/>
                <w:color w:val="auto"/>
              </w:rPr>
              <w:t>end on a day which is not a</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gridSpan w:val="14"/>
          </w:tcPr>
          <w:p>
            <w:pPr>
              <w:spacing w:after="0"/>
              <w:rPr>
                <w:sz w:val="20"/>
                <w:szCs w:val="20"/>
                <w:color w:val="auto"/>
              </w:rPr>
            </w:pPr>
            <w:r>
              <w:rPr>
                <w:rFonts w:ascii="Courier New" w:cs="Courier New" w:eastAsia="Courier New" w:hAnsi="Courier New"/>
                <w:sz w:val="12"/>
                <w:szCs w:val="12"/>
                <w:color w:val="auto"/>
              </w:rPr>
              <w:t>Business  Day,  such  Interest  Period</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w w:val="94"/>
              </w:rPr>
              <w:t>shall</w:t>
            </w:r>
          </w:p>
        </w:tc>
        <w:tc>
          <w:tcPr>
            <w:tcW w:w="220" w:type="dxa"/>
            <w:vAlign w:val="bottom"/>
          </w:tcPr>
          <w:p>
            <w:pPr>
              <w:spacing w:after="0"/>
              <w:rPr>
                <w:sz w:val="12"/>
                <w:szCs w:val="12"/>
                <w:color w:val="auto"/>
              </w:rPr>
            </w:pPr>
          </w:p>
        </w:tc>
        <w:tc>
          <w:tcPr>
            <w:tcW w:w="3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2"/>
              </w:rPr>
              <w:t>end</w:t>
            </w:r>
          </w:p>
        </w:tc>
        <w:tc>
          <w:tcPr>
            <w:tcW w:w="220" w:type="dxa"/>
            <w:vAlign w:val="bottom"/>
          </w:tcPr>
          <w:p>
            <w:pPr>
              <w:spacing w:after="0"/>
              <w:rPr>
                <w:sz w:val="12"/>
                <w:szCs w:val="12"/>
                <w:color w:val="auto"/>
              </w:rPr>
            </w:pPr>
          </w:p>
        </w:tc>
        <w:tc>
          <w:tcPr>
            <w:tcW w:w="300" w:type="dxa"/>
            <w:vAlign w:val="bottom"/>
          </w:tcPr>
          <w:p>
            <w:pPr>
              <w:jc w:val="right"/>
              <w:ind w:right="99"/>
              <w:spacing w:after="0"/>
              <w:rPr>
                <w:sz w:val="20"/>
                <w:szCs w:val="20"/>
                <w:color w:val="auto"/>
              </w:rPr>
            </w:pPr>
            <w:r>
              <w:rPr>
                <w:rFonts w:ascii="Courier New" w:cs="Courier New" w:eastAsia="Courier New" w:hAnsi="Courier New"/>
                <w:sz w:val="12"/>
                <w:szCs w:val="12"/>
                <w:color w:val="auto"/>
                <w:w w:val="82"/>
              </w:rPr>
              <w:t>on</w:t>
            </w:r>
          </w:p>
        </w:tc>
        <w:tc>
          <w:tcPr>
            <w:tcW w:w="3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the</w:t>
            </w:r>
          </w:p>
        </w:tc>
        <w:tc>
          <w:tcPr>
            <w:tcW w:w="220" w:type="dxa"/>
            <w:vAlign w:val="bottom"/>
          </w:tcPr>
          <w:p>
            <w:pPr>
              <w:spacing w:after="0"/>
              <w:rPr>
                <w:sz w:val="12"/>
                <w:szCs w:val="12"/>
                <w:color w:val="auto"/>
              </w:rPr>
            </w:pPr>
          </w:p>
        </w:tc>
        <w:tc>
          <w:tcPr>
            <w:tcW w:w="8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immediately</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9"/>
          </w:tcPr>
          <w:p>
            <w:pPr>
              <w:spacing w:after="0"/>
              <w:rPr>
                <w:sz w:val="20"/>
                <w:szCs w:val="20"/>
                <w:color w:val="auto"/>
              </w:rPr>
            </w:pPr>
            <w:r>
              <w:rPr>
                <w:rFonts w:ascii="Courier New" w:cs="Courier New" w:eastAsia="Courier New" w:hAnsi="Courier New"/>
                <w:sz w:val="12"/>
                <w:szCs w:val="12"/>
                <w:color w:val="auto"/>
              </w:rPr>
              <w:t>preceding Business Day;</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83"/>
        </w:trPr>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(b)</w:t>
            </w:r>
          </w:p>
        </w:tc>
        <w:tc>
          <w:tcPr>
            <w:tcW w:w="16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rPr>
              <w:t>each</w:t>
            </w:r>
          </w:p>
        </w:tc>
        <w:tc>
          <w:tcPr>
            <w:tcW w:w="74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Interest</w:t>
            </w:r>
          </w:p>
        </w:tc>
        <w:tc>
          <w:tcPr>
            <w:tcW w:w="1700" w:type="dxa"/>
            <w:vAlign w:val="bottom"/>
            <w:gridSpan w:val="8"/>
          </w:tcPr>
          <w:p>
            <w:pPr>
              <w:jc w:val="right"/>
              <w:spacing w:after="0"/>
              <w:rPr>
                <w:sz w:val="20"/>
                <w:szCs w:val="20"/>
                <w:color w:val="auto"/>
              </w:rPr>
            </w:pPr>
            <w:r>
              <w:rPr>
                <w:rFonts w:ascii="Courier New" w:cs="Courier New" w:eastAsia="Courier New" w:hAnsi="Courier New"/>
                <w:sz w:val="12"/>
                <w:szCs w:val="12"/>
                <w:color w:val="auto"/>
              </w:rPr>
              <w:t>Period (other than the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6"/>
          </w:tcPr>
          <w:p>
            <w:pPr>
              <w:spacing w:after="0"/>
              <w:rPr>
                <w:sz w:val="20"/>
                <w:szCs w:val="20"/>
                <w:color w:val="auto"/>
              </w:rPr>
            </w:pPr>
            <w:r>
              <w:rPr>
                <w:rFonts w:ascii="Courier New" w:cs="Courier New" w:eastAsia="Courier New" w:hAnsi="Courier New"/>
                <w:sz w:val="12"/>
                <w:szCs w:val="12"/>
                <w:color w:val="auto"/>
              </w:rPr>
              <w:t>first Interest</w:t>
            </w:r>
          </w:p>
        </w:tc>
        <w:tc>
          <w:tcPr>
            <w:tcW w:w="1700" w:type="dxa"/>
            <w:vAlign w:val="bottom"/>
            <w:gridSpan w:val="8"/>
          </w:tcPr>
          <w:p>
            <w:pPr>
              <w:jc w:val="right"/>
              <w:spacing w:after="0"/>
              <w:rPr>
                <w:sz w:val="20"/>
                <w:szCs w:val="20"/>
                <w:color w:val="auto"/>
              </w:rPr>
            </w:pPr>
            <w:r>
              <w:rPr>
                <w:rFonts w:ascii="Courier New" w:cs="Courier New" w:eastAsia="Courier New" w:hAnsi="Courier New"/>
                <w:sz w:val="12"/>
                <w:szCs w:val="12"/>
                <w:color w:val="auto"/>
              </w:rPr>
              <w:t>Period) shall commence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8"/>
          </w:tcPr>
          <w:p>
            <w:pPr>
              <w:spacing w:after="0"/>
              <w:rPr>
                <w:sz w:val="20"/>
                <w:szCs w:val="20"/>
                <w:color w:val="auto"/>
              </w:rPr>
            </w:pPr>
            <w:r>
              <w:rPr>
                <w:rFonts w:ascii="Courier New" w:cs="Courier New" w:eastAsia="Courier New" w:hAnsi="Courier New"/>
                <w:sz w:val="12"/>
                <w:szCs w:val="12"/>
                <w:color w:val="auto"/>
              </w:rPr>
              <w:t>on the expiry of the</w:t>
            </w:r>
          </w:p>
        </w:tc>
        <w:tc>
          <w:tcPr>
            <w:tcW w:w="580" w:type="dxa"/>
            <w:vAlign w:val="bottom"/>
            <w:gridSpan w:val="3"/>
          </w:tcPr>
          <w:p>
            <w:pPr>
              <w:jc w:val="center"/>
              <w:spacing w:after="0"/>
              <w:rPr>
                <w:sz w:val="20"/>
                <w:szCs w:val="20"/>
                <w:color w:val="auto"/>
              </w:rPr>
            </w:pPr>
            <w:r>
              <w:rPr>
                <w:rFonts w:ascii="Courier New" w:cs="Courier New" w:eastAsia="Courier New" w:hAnsi="Courier New"/>
                <w:sz w:val="12"/>
                <w:szCs w:val="12"/>
                <w:color w:val="auto"/>
              </w:rPr>
              <w:t>Interest</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Period</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gridSpan w:val="14"/>
          </w:tcPr>
          <w:p>
            <w:pPr>
              <w:spacing w:after="0"/>
              <w:rPr>
                <w:sz w:val="20"/>
                <w:szCs w:val="20"/>
                <w:color w:val="auto"/>
              </w:rPr>
            </w:pPr>
            <w:r>
              <w:rPr>
                <w:rFonts w:ascii="Courier New" w:cs="Courier New" w:eastAsia="Courier New" w:hAnsi="Courier New"/>
                <w:sz w:val="12"/>
                <w:szCs w:val="12"/>
                <w:color w:val="auto"/>
              </w:rPr>
              <w:t>preceding  such  Interest  Period and,</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gridSpan w:val="11"/>
          </w:tcPr>
          <w:p>
            <w:pPr>
              <w:spacing w:after="0"/>
              <w:rPr>
                <w:sz w:val="20"/>
                <w:szCs w:val="20"/>
                <w:color w:val="auto"/>
              </w:rPr>
            </w:pPr>
            <w:r>
              <w:rPr>
                <w:rFonts w:ascii="Courier New" w:cs="Courier New" w:eastAsia="Courier New" w:hAnsi="Courier New"/>
                <w:sz w:val="12"/>
                <w:szCs w:val="12"/>
                <w:color w:val="auto"/>
              </w:rPr>
              <w:t>for  the  removal  of  doubt,</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shall,</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8"/>
          </w:tcPr>
          <w:p>
            <w:pPr>
              <w:spacing w:after="0"/>
              <w:rPr>
                <w:sz w:val="20"/>
                <w:szCs w:val="20"/>
                <w:color w:val="auto"/>
              </w:rPr>
            </w:pPr>
            <w:r>
              <w:rPr>
                <w:rFonts w:ascii="Courier New" w:cs="Courier New" w:eastAsia="Courier New" w:hAnsi="Courier New"/>
                <w:sz w:val="12"/>
                <w:szCs w:val="12"/>
                <w:color w:val="auto"/>
              </w:rPr>
              <w:t>subject to (a) above,</w:t>
            </w:r>
          </w:p>
        </w:tc>
        <w:tc>
          <w:tcPr>
            <w:tcW w:w="118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end on the last</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gridSpan w:val="14"/>
          </w:tcPr>
          <w:p>
            <w:pPr>
              <w:spacing w:after="0"/>
              <w:rPr>
                <w:sz w:val="20"/>
                <w:szCs w:val="20"/>
                <w:color w:val="auto"/>
              </w:rPr>
            </w:pPr>
            <w:r>
              <w:rPr>
                <w:rFonts w:ascii="Courier New" w:cs="Courier New" w:eastAsia="Courier New" w:hAnsi="Courier New"/>
                <w:sz w:val="12"/>
                <w:szCs w:val="12"/>
                <w:color w:val="auto"/>
              </w:rPr>
              <w:t>day  of  the  Quarter  following  such</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10"/>
          </w:tcPr>
          <w:p>
            <w:pPr>
              <w:spacing w:after="0"/>
              <w:rPr>
                <w:sz w:val="20"/>
                <w:szCs w:val="20"/>
                <w:color w:val="auto"/>
              </w:rPr>
            </w:pPr>
            <w:r>
              <w:rPr>
                <w:rFonts w:ascii="Courier New" w:cs="Courier New" w:eastAsia="Courier New" w:hAnsi="Courier New"/>
                <w:sz w:val="12"/>
                <w:szCs w:val="12"/>
                <w:color w:val="auto"/>
              </w:rPr>
              <w:t>preceding Interest Period;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425"/>
        </w:trPr>
        <w:tc>
          <w:tcPr>
            <w:tcW w:w="1060" w:type="dxa"/>
            <w:vAlign w:val="bottom"/>
          </w:tcPr>
          <w:p>
            <w:pPr>
              <w:spacing w:after="0"/>
              <w:rPr>
                <w:sz w:val="24"/>
                <w:szCs w:val="24"/>
                <w:color w:val="auto"/>
              </w:rPr>
            </w:pPr>
          </w:p>
        </w:tc>
        <w:tc>
          <w:tcPr>
            <w:tcW w:w="2620" w:type="dxa"/>
            <w:vAlign w:val="bottom"/>
          </w:tcPr>
          <w:p>
            <w:pPr>
              <w:ind w:left="1660"/>
              <w:spacing w:after="0"/>
              <w:rPr>
                <w:sz w:val="20"/>
                <w:szCs w:val="20"/>
                <w:color w:val="auto"/>
              </w:rPr>
            </w:pPr>
            <w:r>
              <w:rPr>
                <w:rFonts w:ascii="Courier New" w:cs="Courier New" w:eastAsia="Courier New" w:hAnsi="Courier New"/>
                <w:sz w:val="12"/>
                <w:szCs w:val="12"/>
                <w:color w:val="auto"/>
              </w:rPr>
              <w:t>- 29 -</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689"/>
        </w:trPr>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(c)</w:t>
            </w:r>
          </w:p>
        </w:tc>
        <w:tc>
          <w:tcPr>
            <w:tcW w:w="160" w:type="dxa"/>
            <w:vAlign w:val="bottom"/>
          </w:tcPr>
          <w:p>
            <w:pPr>
              <w:spacing w:after="0"/>
              <w:rPr>
                <w:sz w:val="24"/>
                <w:szCs w:val="24"/>
                <w:color w:val="auto"/>
              </w:rPr>
            </w:pPr>
          </w:p>
        </w:tc>
        <w:tc>
          <w:tcPr>
            <w:tcW w:w="1760" w:type="dxa"/>
            <w:vAlign w:val="bottom"/>
            <w:gridSpan w:val="9"/>
          </w:tcPr>
          <w:p>
            <w:pPr>
              <w:spacing w:after="0"/>
              <w:rPr>
                <w:sz w:val="20"/>
                <w:szCs w:val="20"/>
                <w:color w:val="auto"/>
              </w:rPr>
            </w:pPr>
            <w:r>
              <w:rPr>
                <w:rFonts w:ascii="Courier New" w:cs="Courier New" w:eastAsia="Courier New" w:hAnsi="Courier New"/>
                <w:sz w:val="12"/>
                <w:szCs w:val="12"/>
                <w:color w:val="auto"/>
              </w:rPr>
              <w:t>[INTENTIONALLY DELETED]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3"/>
        </w:trPr>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(d)</w:t>
            </w:r>
          </w:p>
        </w:tc>
        <w:tc>
          <w:tcPr>
            <w:tcW w:w="1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no</w:t>
            </w:r>
          </w:p>
        </w:tc>
        <w:tc>
          <w:tcPr>
            <w:tcW w:w="66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Interest</w:t>
            </w:r>
          </w:p>
        </w:tc>
        <w:tc>
          <w:tcPr>
            <w:tcW w:w="1540" w:type="dxa"/>
            <w:vAlign w:val="bottom"/>
            <w:gridSpan w:val="7"/>
          </w:tcPr>
          <w:p>
            <w:pPr>
              <w:jc w:val="right"/>
              <w:ind w:right="79"/>
              <w:spacing w:after="0"/>
              <w:rPr>
                <w:sz w:val="20"/>
                <w:szCs w:val="20"/>
                <w:color w:val="auto"/>
              </w:rPr>
            </w:pPr>
            <w:r>
              <w:rPr>
                <w:rFonts w:ascii="Courier New" w:cs="Courier New" w:eastAsia="Courier New" w:hAnsi="Courier New"/>
                <w:sz w:val="12"/>
                <w:szCs w:val="12"/>
                <w:color w:val="auto"/>
              </w:rPr>
              <w:t>Period may extend</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later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12"/>
          </w:tcPr>
          <w:p>
            <w:pPr>
              <w:spacing w:after="0"/>
              <w:rPr>
                <w:sz w:val="20"/>
                <w:szCs w:val="20"/>
                <w:color w:val="auto"/>
              </w:rPr>
            </w:pPr>
            <w:r>
              <w:rPr>
                <w:rFonts w:ascii="Courier New" w:cs="Courier New" w:eastAsia="Courier New" w:hAnsi="Courier New"/>
                <w:sz w:val="12"/>
                <w:szCs w:val="12"/>
                <w:color w:val="auto"/>
              </w:rPr>
              <w:t>than the Final Maturity Date; and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83"/>
        </w:trPr>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(e)</w:t>
            </w:r>
          </w:p>
        </w:tc>
        <w:tc>
          <w:tcPr>
            <w:tcW w:w="16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rPr>
              <w:t>with</w:t>
            </w:r>
          </w:p>
        </w:tc>
        <w:tc>
          <w:tcPr>
            <w:tcW w:w="220" w:type="dxa"/>
            <w:vAlign w:val="bottom"/>
          </w:tcPr>
          <w:p>
            <w:pPr>
              <w:spacing w:after="0"/>
              <w:rPr>
                <w:sz w:val="24"/>
                <w:szCs w:val="24"/>
                <w:color w:val="auto"/>
              </w:rPr>
            </w:pP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w w:val="99"/>
              </w:rPr>
              <w:t>respect</w:t>
            </w:r>
          </w:p>
        </w:tc>
        <w:tc>
          <w:tcPr>
            <w:tcW w:w="52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to</w:t>
            </w:r>
          </w:p>
        </w:tc>
        <w:tc>
          <w:tcPr>
            <w:tcW w:w="580" w:type="dxa"/>
            <w:vAlign w:val="bottom"/>
            <w:gridSpan w:val="3"/>
          </w:tcPr>
          <w:p>
            <w:pPr>
              <w:jc w:val="center"/>
              <w:spacing w:after="0"/>
              <w:rPr>
                <w:sz w:val="20"/>
                <w:szCs w:val="20"/>
                <w:color w:val="auto"/>
              </w:rPr>
            </w:pPr>
            <w:r>
              <w:rPr>
                <w:rFonts w:ascii="Courier New" w:cs="Courier New" w:eastAsia="Courier New" w:hAnsi="Courier New"/>
                <w:sz w:val="12"/>
                <w:szCs w:val="12"/>
                <w:color w:val="auto"/>
              </w:rPr>
              <w:t>Unpaid</w:t>
            </w:r>
          </w:p>
        </w:tc>
        <w:tc>
          <w:tcPr>
            <w:tcW w:w="2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Sums,</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4"/>
          </w:tcPr>
          <w:p>
            <w:pPr>
              <w:spacing w:after="0"/>
              <w:rPr>
                <w:sz w:val="20"/>
                <w:szCs w:val="20"/>
                <w:color w:val="auto"/>
              </w:rPr>
            </w:pPr>
            <w:r>
              <w:rPr>
                <w:rFonts w:ascii="Courier New" w:cs="Courier New" w:eastAsia="Courier New" w:hAnsi="Courier New"/>
                <w:sz w:val="12"/>
                <w:szCs w:val="12"/>
                <w:color w:val="auto"/>
              </w:rPr>
              <w:t>"INTEREST</w:t>
            </w: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PERIOD"</w:t>
            </w:r>
          </w:p>
        </w:tc>
        <w:tc>
          <w:tcPr>
            <w:tcW w:w="22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4"/>
              </w:rPr>
              <w:t>shall</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bear</w:t>
            </w:r>
          </w:p>
        </w:tc>
        <w:tc>
          <w:tcPr>
            <w:tcW w:w="1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the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rPr>
              <w:t>meaning</w:t>
            </w:r>
          </w:p>
        </w:tc>
        <w:tc>
          <w:tcPr>
            <w:tcW w:w="82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assigned</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to</w:t>
            </w:r>
          </w:p>
        </w:tc>
        <w:tc>
          <w:tcPr>
            <w:tcW w:w="140" w:type="dxa"/>
            <w:vAlign w:val="bottom"/>
          </w:tcPr>
          <w:p>
            <w:pPr>
              <w:spacing w:after="0"/>
              <w:rPr>
                <w:sz w:val="12"/>
                <w:szCs w:val="12"/>
                <w:color w:val="auto"/>
              </w:rPr>
            </w:pPr>
          </w:p>
        </w:tc>
        <w:tc>
          <w:tcPr>
            <w:tcW w:w="440" w:type="dxa"/>
            <w:vAlign w:val="bottom"/>
            <w:gridSpan w:val="2"/>
          </w:tcPr>
          <w:p>
            <w:pPr>
              <w:jc w:val="center"/>
              <w:ind w:right="79"/>
              <w:spacing w:after="0"/>
              <w:rPr>
                <w:sz w:val="20"/>
                <w:szCs w:val="20"/>
                <w:color w:val="auto"/>
              </w:rPr>
            </w:pPr>
            <w:r>
              <w:rPr>
                <w:rFonts w:ascii="Courier New" w:cs="Courier New" w:eastAsia="Courier New" w:hAnsi="Courier New"/>
                <w:sz w:val="12"/>
                <w:szCs w:val="12"/>
                <w:color w:val="auto"/>
              </w:rPr>
              <w:t>such</w:t>
            </w: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rPr>
              <w:t>term</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7"/>
          </w:tcPr>
          <w:p>
            <w:pPr>
              <w:spacing w:after="0"/>
              <w:rPr>
                <w:sz w:val="20"/>
                <w:szCs w:val="20"/>
                <w:color w:val="auto"/>
              </w:rPr>
            </w:pPr>
            <w:r>
              <w:rPr>
                <w:rFonts w:ascii="Courier New" w:cs="Courier New" w:eastAsia="Courier New" w:hAnsi="Courier New"/>
                <w:sz w:val="12"/>
                <w:szCs w:val="12"/>
                <w:color w:val="auto"/>
              </w:rPr>
              <w:t>clause 18.1 below;</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83"/>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1.1.85.</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"INTEREST RATE</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1060" w:type="dxa"/>
            <w:vAlign w:val="bottom"/>
          </w:tcPr>
          <w:p>
            <w:pPr>
              <w:spacing w:after="0"/>
              <w:rPr>
                <w:sz w:val="12"/>
                <w:szCs w:val="12"/>
                <w:color w:val="auto"/>
              </w:rPr>
            </w:pP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HEDGING TRANSACTION"</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includes</w:t>
            </w: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w w:val="97"/>
              </w:rPr>
              <w:t>any rate</w:t>
            </w:r>
          </w:p>
        </w:tc>
        <w:tc>
          <w:tcPr>
            <w:tcW w:w="80" w:type="dxa"/>
            <w:vAlign w:val="bottom"/>
          </w:tcPr>
          <w:p>
            <w:pPr>
              <w:spacing w:after="0"/>
              <w:rPr>
                <w:sz w:val="12"/>
                <w:szCs w:val="12"/>
                <w:color w:val="auto"/>
              </w:rPr>
            </w:pPr>
          </w:p>
        </w:tc>
        <w:tc>
          <w:tcPr>
            <w:tcW w:w="52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swap</w:t>
            </w:r>
          </w:p>
        </w:tc>
        <w:tc>
          <w:tcPr>
            <w:tcW w:w="1020" w:type="dxa"/>
            <w:vAlign w:val="bottom"/>
            <w:gridSpan w:val="5"/>
          </w:tcPr>
          <w:p>
            <w:pPr>
              <w:jc w:val="right"/>
              <w:ind w:right="79"/>
              <w:spacing w:after="0"/>
              <w:rPr>
                <w:sz w:val="20"/>
                <w:szCs w:val="20"/>
                <w:color w:val="auto"/>
              </w:rPr>
            </w:pPr>
            <w:r>
              <w:rPr>
                <w:rFonts w:ascii="Courier New" w:cs="Courier New" w:eastAsia="Courier New" w:hAnsi="Courier New"/>
                <w:sz w:val="12"/>
                <w:szCs w:val="12"/>
                <w:color w:val="auto"/>
                <w:w w:val="99"/>
              </w:rPr>
              <w:t>transaction,</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basis</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swap,</w:t>
            </w:r>
          </w:p>
        </w:tc>
        <w:tc>
          <w:tcPr>
            <w:tcW w:w="160" w:type="dxa"/>
            <w:vAlign w:val="bottom"/>
          </w:tcPr>
          <w:p>
            <w:pPr>
              <w:spacing w:after="0"/>
              <w:rPr>
                <w:sz w:val="12"/>
                <w:szCs w:val="12"/>
                <w:color w:val="auto"/>
              </w:rPr>
            </w:pPr>
          </w:p>
        </w:tc>
        <w:tc>
          <w:tcPr>
            <w:tcW w:w="2800" w:type="dxa"/>
            <w:vAlign w:val="bottom"/>
            <w:gridSpan w:val="14"/>
          </w:tcPr>
          <w:p>
            <w:pPr>
              <w:spacing w:after="0"/>
              <w:rPr>
                <w:sz w:val="20"/>
                <w:szCs w:val="20"/>
                <w:color w:val="auto"/>
              </w:rPr>
            </w:pPr>
            <w:r>
              <w:rPr>
                <w:rFonts w:ascii="Courier New" w:cs="Courier New" w:eastAsia="Courier New" w:hAnsi="Courier New"/>
                <w:sz w:val="12"/>
                <w:szCs w:val="12"/>
                <w:color w:val="auto"/>
              </w:rPr>
              <w:t>forward  rate  transaction,  commodity</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swap,</w:t>
            </w:r>
          </w:p>
        </w:tc>
        <w:tc>
          <w:tcPr>
            <w:tcW w:w="160" w:type="dxa"/>
            <w:vAlign w:val="bottom"/>
          </w:tcPr>
          <w:p>
            <w:pPr>
              <w:spacing w:after="0"/>
              <w:rPr>
                <w:sz w:val="12"/>
                <w:szCs w:val="12"/>
                <w:color w:val="auto"/>
              </w:rPr>
            </w:pPr>
          </w:p>
        </w:tc>
        <w:tc>
          <w:tcPr>
            <w:tcW w:w="2800" w:type="dxa"/>
            <w:vAlign w:val="bottom"/>
            <w:gridSpan w:val="14"/>
          </w:tcPr>
          <w:p>
            <w:pPr>
              <w:spacing w:after="0"/>
              <w:rPr>
                <w:sz w:val="20"/>
                <w:szCs w:val="20"/>
                <w:color w:val="auto"/>
              </w:rPr>
            </w:pPr>
            <w:r>
              <w:rPr>
                <w:rFonts w:ascii="Courier New" w:cs="Courier New" w:eastAsia="Courier New" w:hAnsi="Courier New"/>
                <w:sz w:val="12"/>
                <w:szCs w:val="12"/>
                <w:color w:val="auto"/>
              </w:rPr>
              <w:t>commodity  option,  equity  or  equity</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index swap,</w:t>
            </w:r>
          </w:p>
        </w:tc>
        <w:tc>
          <w:tcPr>
            <w:tcW w:w="126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equity or equity</w:t>
            </w:r>
          </w:p>
        </w:tc>
        <w:tc>
          <w:tcPr>
            <w:tcW w:w="140" w:type="dxa"/>
            <w:vAlign w:val="bottom"/>
          </w:tcPr>
          <w:p>
            <w:pPr>
              <w:spacing w:after="0"/>
              <w:rPr>
                <w:sz w:val="12"/>
                <w:szCs w:val="12"/>
                <w:color w:val="auto"/>
              </w:rPr>
            </w:pPr>
          </w:p>
        </w:tc>
        <w:tc>
          <w:tcPr>
            <w:tcW w:w="4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w w:val="94"/>
              </w:rPr>
              <w:t>index</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option,</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Interest</w:t>
            </w:r>
          </w:p>
        </w:tc>
        <w:tc>
          <w:tcPr>
            <w:tcW w:w="140" w:type="dxa"/>
            <w:vAlign w:val="bottom"/>
          </w:tcPr>
          <w:p>
            <w:pPr>
              <w:spacing w:after="0"/>
              <w:rPr>
                <w:sz w:val="12"/>
                <w:szCs w:val="12"/>
                <w:color w:val="auto"/>
              </w:rPr>
            </w:pP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7"/>
              </w:rPr>
              <w:t>rate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option,</w:t>
            </w:r>
          </w:p>
        </w:tc>
        <w:tc>
          <w:tcPr>
            <w:tcW w:w="220" w:type="dxa"/>
            <w:vAlign w:val="bottom"/>
          </w:tcPr>
          <w:p>
            <w:pPr>
              <w:spacing w:after="0"/>
              <w:rPr>
                <w:sz w:val="12"/>
                <w:szCs w:val="12"/>
                <w:color w:val="auto"/>
              </w:rPr>
            </w:pPr>
          </w:p>
        </w:tc>
        <w:tc>
          <w:tcPr>
            <w:tcW w:w="8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knock-out</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9"/>
              </w:rPr>
              <w:t>transaction,</w:t>
            </w:r>
          </w:p>
        </w:tc>
        <w:tc>
          <w:tcPr>
            <w:tcW w:w="220" w:type="dxa"/>
            <w:vAlign w:val="bottom"/>
          </w:tcPr>
          <w:p>
            <w:pPr>
              <w:spacing w:after="0"/>
              <w:rPr>
                <w:sz w:val="12"/>
                <w:szCs w:val="12"/>
                <w:color w:val="auto"/>
              </w:rPr>
            </w:pPr>
          </w:p>
        </w:tc>
        <w:tc>
          <w:tcPr>
            <w:tcW w:w="3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2"/>
              </w:rPr>
              <w:t>cap</w:t>
            </w:r>
          </w:p>
        </w:tc>
        <w:tc>
          <w:tcPr>
            <w:tcW w:w="22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transaction,</w:t>
            </w:r>
          </w:p>
        </w:tc>
        <w:tc>
          <w:tcPr>
            <w:tcW w:w="22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floor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9"/>
              </w:rPr>
              <w:t>transaction,</w:t>
            </w:r>
          </w:p>
        </w:tc>
        <w:tc>
          <w:tcPr>
            <w:tcW w:w="220" w:type="dxa"/>
            <w:vAlign w:val="bottom"/>
          </w:tcPr>
          <w:p>
            <w:pPr>
              <w:spacing w:after="0"/>
              <w:rPr>
                <w:sz w:val="12"/>
                <w:szCs w:val="12"/>
                <w:color w:val="auto"/>
              </w:rPr>
            </w:pP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rPr>
              <w:t>collar</w:t>
            </w: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transaction</w:t>
            </w:r>
          </w:p>
        </w:tc>
        <w:tc>
          <w:tcPr>
            <w:tcW w:w="44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or</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other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6"/>
          </w:tcPr>
          <w:p>
            <w:pPr>
              <w:ind w:left="80"/>
              <w:spacing w:after="0"/>
              <w:rPr>
                <w:sz w:val="20"/>
                <w:szCs w:val="20"/>
                <w:color w:val="auto"/>
              </w:rPr>
            </w:pPr>
            <w:r>
              <w:rPr>
                <w:rFonts w:ascii="Courier New" w:cs="Courier New" w:eastAsia="Courier New" w:hAnsi="Courier New"/>
                <w:sz w:val="12"/>
                <w:szCs w:val="12"/>
                <w:color w:val="auto"/>
              </w:rPr>
              <w:t>similar  transaction  (including  any  option</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9"/>
              </w:rPr>
              <w:t>with respect</w:t>
            </w:r>
          </w:p>
        </w:tc>
        <w:tc>
          <w:tcPr>
            <w:tcW w:w="1260" w:type="dxa"/>
            <w:vAlign w:val="bottom"/>
            <w:gridSpan w:val="6"/>
          </w:tcPr>
          <w:p>
            <w:pPr>
              <w:ind w:left="140"/>
              <w:spacing w:after="0"/>
              <w:rPr>
                <w:sz w:val="20"/>
                <w:szCs w:val="20"/>
                <w:color w:val="auto"/>
              </w:rPr>
            </w:pPr>
            <w:r>
              <w:rPr>
                <w:rFonts w:ascii="Courier New" w:cs="Courier New" w:eastAsia="Courier New" w:hAnsi="Courier New"/>
                <w:sz w:val="12"/>
                <w:szCs w:val="12"/>
                <w:color w:val="auto"/>
              </w:rPr>
              <w:t>thereto and any</w:t>
            </w:r>
          </w:p>
        </w:tc>
        <w:tc>
          <w:tcPr>
            <w:tcW w:w="140" w:type="dxa"/>
            <w:vAlign w:val="bottom"/>
          </w:tcPr>
          <w:p>
            <w:pPr>
              <w:spacing w:after="0"/>
              <w:rPr>
                <w:sz w:val="12"/>
                <w:szCs w:val="12"/>
                <w:color w:val="auto"/>
              </w:rPr>
            </w:pPr>
          </w:p>
        </w:tc>
        <w:tc>
          <w:tcPr>
            <w:tcW w:w="104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combination in</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respect thereof);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83"/>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1.1.86.</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"INVESTMENT CENTRE"</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means</w:t>
            </w:r>
          </w:p>
        </w:tc>
        <w:tc>
          <w:tcPr>
            <w:tcW w:w="1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140" w:type="dxa"/>
            <w:vAlign w:val="bottom"/>
          </w:tcPr>
          <w:p>
            <w:pPr>
              <w:spacing w:after="0"/>
              <w:rPr>
                <w:sz w:val="24"/>
                <w:szCs w:val="24"/>
                <w:color w:val="auto"/>
              </w:rPr>
            </w:pP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w w:val="99"/>
              </w:rPr>
              <w:t>Investment</w:t>
            </w: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Centre</w:t>
            </w:r>
          </w:p>
        </w:tc>
        <w:tc>
          <w:tcPr>
            <w:tcW w:w="22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established</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under</w:t>
            </w:r>
          </w:p>
        </w:tc>
        <w:tc>
          <w:tcPr>
            <w:tcW w:w="160" w:type="dxa"/>
            <w:vAlign w:val="bottom"/>
          </w:tcPr>
          <w:p>
            <w:pPr>
              <w:spacing w:after="0"/>
              <w:rPr>
                <w:sz w:val="12"/>
                <w:szCs w:val="12"/>
                <w:color w:val="auto"/>
              </w:rPr>
            </w:pPr>
          </w:p>
        </w:tc>
        <w:tc>
          <w:tcPr>
            <w:tcW w:w="36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the</w:t>
            </w:r>
          </w:p>
        </w:tc>
        <w:tc>
          <w:tcPr>
            <w:tcW w:w="220" w:type="dxa"/>
            <w:vAlign w:val="bottom"/>
          </w:tcPr>
          <w:p>
            <w:pPr>
              <w:spacing w:after="0"/>
              <w:rPr>
                <w:sz w:val="12"/>
                <w:szCs w:val="12"/>
                <w:color w:val="auto"/>
              </w:rPr>
            </w:pPr>
          </w:p>
        </w:tc>
        <w:tc>
          <w:tcPr>
            <w:tcW w:w="1040" w:type="dxa"/>
            <w:vAlign w:val="bottom"/>
            <w:gridSpan w:val="5"/>
          </w:tcPr>
          <w:p>
            <w:pPr>
              <w:spacing w:after="0"/>
              <w:rPr>
                <w:sz w:val="20"/>
                <w:szCs w:val="20"/>
                <w:color w:val="auto"/>
              </w:rPr>
            </w:pPr>
            <w:r>
              <w:rPr>
                <w:rFonts w:ascii="Courier New" w:cs="Courier New" w:eastAsia="Courier New" w:hAnsi="Courier New"/>
                <w:sz w:val="12"/>
                <w:szCs w:val="12"/>
                <w:color w:val="auto"/>
              </w:rPr>
              <w:t>Encouragement</w:t>
            </w:r>
          </w:p>
        </w:tc>
        <w:tc>
          <w:tcPr>
            <w:tcW w:w="140" w:type="dxa"/>
            <w:vAlign w:val="bottom"/>
          </w:tcPr>
          <w:p>
            <w:pPr>
              <w:spacing w:after="0"/>
              <w:rPr>
                <w:sz w:val="12"/>
                <w:szCs w:val="12"/>
                <w:color w:val="auto"/>
              </w:rPr>
            </w:pPr>
          </w:p>
        </w:tc>
        <w:tc>
          <w:tcPr>
            <w:tcW w:w="220" w:type="dxa"/>
            <w:vAlign w:val="bottom"/>
          </w:tcPr>
          <w:p>
            <w:pPr>
              <w:jc w:val="center"/>
              <w:ind w:left="19"/>
              <w:spacing w:after="0"/>
              <w:rPr>
                <w:sz w:val="20"/>
                <w:szCs w:val="20"/>
                <w:color w:val="auto"/>
              </w:rPr>
            </w:pPr>
            <w:r>
              <w:rPr>
                <w:rFonts w:ascii="Courier New" w:cs="Courier New" w:eastAsia="Courier New" w:hAnsi="Courier New"/>
                <w:sz w:val="12"/>
                <w:szCs w:val="12"/>
                <w:color w:val="auto"/>
                <w:w w:val="96"/>
              </w:rPr>
              <w:t>of</w:t>
            </w:r>
          </w:p>
        </w:tc>
        <w:tc>
          <w:tcPr>
            <w:tcW w:w="22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Capital</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Investments Law, 1959;</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83"/>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1.1.87.</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"INVESTMENT CENTRE</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1060" w:type="dxa"/>
            <w:vAlign w:val="bottom"/>
          </w:tcPr>
          <w:p>
            <w:pPr>
              <w:spacing w:after="0"/>
              <w:rPr>
                <w:sz w:val="12"/>
                <w:szCs w:val="12"/>
                <w:color w:val="auto"/>
              </w:rPr>
            </w:pP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FAB 2 GRANTS"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means</w:t>
            </w:r>
          </w:p>
        </w:tc>
        <w:tc>
          <w:tcPr>
            <w:tcW w:w="16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w w:val="94"/>
              </w:rPr>
              <w:t>those</w:t>
            </w:r>
          </w:p>
        </w:tc>
        <w:tc>
          <w:tcPr>
            <w:tcW w:w="74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grants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made</w:t>
            </w:r>
          </w:p>
        </w:tc>
        <w:tc>
          <w:tcPr>
            <w:tcW w:w="3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and</w:t>
            </w:r>
          </w:p>
        </w:tc>
        <w:tc>
          <w:tcPr>
            <w:tcW w:w="44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to</w:t>
            </w:r>
          </w:p>
        </w:tc>
        <w:tc>
          <w:tcPr>
            <w:tcW w:w="220" w:type="dxa"/>
            <w:vAlign w:val="bottom"/>
          </w:tcPr>
          <w:p>
            <w:pPr>
              <w:spacing w:after="0"/>
              <w:rPr>
                <w:sz w:val="20"/>
                <w:szCs w:val="20"/>
                <w:color w:val="auto"/>
              </w:rPr>
            </w:pPr>
            <w:r>
              <w:rPr>
                <w:rFonts w:ascii="Courier New" w:cs="Courier New" w:eastAsia="Courier New" w:hAnsi="Courier New"/>
                <w:sz w:val="12"/>
                <w:szCs w:val="12"/>
                <w:color w:val="auto"/>
              </w:rPr>
              <w:t>be</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made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under</w:t>
            </w:r>
          </w:p>
        </w:tc>
        <w:tc>
          <w:tcPr>
            <w:tcW w:w="160" w:type="dxa"/>
            <w:vAlign w:val="bottom"/>
          </w:tcPr>
          <w:p>
            <w:pPr>
              <w:spacing w:after="0"/>
              <w:rPr>
                <w:sz w:val="12"/>
                <w:szCs w:val="12"/>
                <w:color w:val="auto"/>
              </w:rPr>
            </w:pPr>
          </w:p>
        </w:tc>
        <w:tc>
          <w:tcPr>
            <w:tcW w:w="36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the</w:t>
            </w:r>
          </w:p>
        </w:tc>
        <w:tc>
          <w:tcPr>
            <w:tcW w:w="220" w:type="dxa"/>
            <w:vAlign w:val="bottom"/>
          </w:tcPr>
          <w:p>
            <w:pPr>
              <w:spacing w:after="0"/>
              <w:rPr>
                <w:sz w:val="12"/>
                <w:szCs w:val="12"/>
                <w:color w:val="auto"/>
              </w:rPr>
            </w:pPr>
          </w:p>
        </w:tc>
        <w:tc>
          <w:tcPr>
            <w:tcW w:w="1040" w:type="dxa"/>
            <w:vAlign w:val="bottom"/>
            <w:gridSpan w:val="5"/>
          </w:tcPr>
          <w:p>
            <w:pPr>
              <w:spacing w:after="0"/>
              <w:rPr>
                <w:sz w:val="20"/>
                <w:szCs w:val="20"/>
                <w:color w:val="auto"/>
              </w:rPr>
            </w:pPr>
            <w:r>
              <w:rPr>
                <w:rFonts w:ascii="Courier New" w:cs="Courier New" w:eastAsia="Courier New" w:hAnsi="Courier New"/>
                <w:sz w:val="12"/>
                <w:szCs w:val="12"/>
                <w:color w:val="auto"/>
              </w:rPr>
              <w:t>Encouragement</w:t>
            </w:r>
          </w:p>
        </w:tc>
        <w:tc>
          <w:tcPr>
            <w:tcW w:w="140" w:type="dxa"/>
            <w:vAlign w:val="bottom"/>
          </w:tcPr>
          <w:p>
            <w:pPr>
              <w:spacing w:after="0"/>
              <w:rPr>
                <w:sz w:val="12"/>
                <w:szCs w:val="12"/>
                <w:color w:val="auto"/>
              </w:rPr>
            </w:pPr>
          </w:p>
        </w:tc>
        <w:tc>
          <w:tcPr>
            <w:tcW w:w="220" w:type="dxa"/>
            <w:vAlign w:val="bottom"/>
          </w:tcPr>
          <w:p>
            <w:pPr>
              <w:jc w:val="center"/>
              <w:ind w:left="19"/>
              <w:spacing w:after="0"/>
              <w:rPr>
                <w:sz w:val="20"/>
                <w:szCs w:val="20"/>
                <w:color w:val="auto"/>
              </w:rPr>
            </w:pPr>
            <w:r>
              <w:rPr>
                <w:rFonts w:ascii="Courier New" w:cs="Courier New" w:eastAsia="Courier New" w:hAnsi="Courier New"/>
                <w:sz w:val="12"/>
                <w:szCs w:val="12"/>
                <w:color w:val="auto"/>
                <w:w w:val="96"/>
              </w:rPr>
              <w:t>of</w:t>
            </w:r>
          </w:p>
        </w:tc>
        <w:tc>
          <w:tcPr>
            <w:tcW w:w="22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Capital</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Investments</w:t>
            </w: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Law,</w:t>
            </w:r>
          </w:p>
        </w:tc>
        <w:tc>
          <w:tcPr>
            <w:tcW w:w="80" w:type="dxa"/>
            <w:vAlign w:val="bottom"/>
          </w:tcPr>
          <w:p>
            <w:pPr>
              <w:spacing w:after="0"/>
              <w:rPr>
                <w:sz w:val="12"/>
                <w:szCs w:val="12"/>
                <w:color w:val="auto"/>
              </w:rPr>
            </w:pPr>
          </w:p>
        </w:tc>
        <w:tc>
          <w:tcPr>
            <w:tcW w:w="1920" w:type="dxa"/>
            <w:vAlign w:val="bottom"/>
            <w:gridSpan w:val="9"/>
          </w:tcPr>
          <w:p>
            <w:pPr>
              <w:jc w:val="right"/>
              <w:spacing w:after="0"/>
              <w:rPr>
                <w:sz w:val="20"/>
                <w:szCs w:val="20"/>
                <w:color w:val="auto"/>
              </w:rPr>
            </w:pPr>
            <w:r>
              <w:rPr>
                <w:rFonts w:ascii="Courier New" w:cs="Courier New" w:eastAsia="Courier New" w:hAnsi="Courier New"/>
                <w:sz w:val="12"/>
                <w:szCs w:val="12"/>
                <w:color w:val="auto"/>
              </w:rPr>
              <w:t>1959, in respect of Fab 2,</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180" w:type="dxa"/>
            <w:vAlign w:val="bottom"/>
            <w:gridSpan w:val="15"/>
          </w:tcPr>
          <w:p>
            <w:pPr>
              <w:ind w:left="80"/>
              <w:spacing w:after="0"/>
              <w:rPr>
                <w:sz w:val="20"/>
                <w:szCs w:val="20"/>
                <w:color w:val="auto"/>
              </w:rPr>
            </w:pPr>
            <w:r>
              <w:rPr>
                <w:rFonts w:ascii="Courier New" w:cs="Courier New" w:eastAsia="Courier New" w:hAnsi="Courier New"/>
                <w:sz w:val="12"/>
                <w:szCs w:val="12"/>
                <w:color w:val="auto"/>
              </w:rPr>
              <w:t>as referred to in clause 16.27.3.3 below;</w:t>
            </w:r>
          </w:p>
        </w:tc>
        <w:tc>
          <w:tcPr>
            <w:tcW w:w="220" w:type="dxa"/>
            <w:vAlign w:val="bottom"/>
          </w:tcPr>
          <w:p>
            <w:pPr>
              <w:spacing w:after="0"/>
              <w:rPr>
                <w:sz w:val="12"/>
                <w:szCs w:val="12"/>
                <w:color w:val="auto"/>
              </w:rPr>
            </w:pPr>
          </w:p>
        </w:tc>
      </w:tr>
      <w:tr>
        <w:trPr>
          <w:trHeight w:val="283"/>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1.1.88.</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3"/>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1.1.89.</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3"/>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1.1.90.</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"KNOWLEDGE"</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the</w:t>
            </w:r>
          </w:p>
        </w:tc>
        <w:tc>
          <w:tcPr>
            <w:tcW w:w="74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Borrower</w:t>
            </w:r>
          </w:p>
        </w:tc>
        <w:tc>
          <w:tcPr>
            <w:tcW w:w="52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will</w:t>
            </w: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rPr>
              <w:t>be</w:t>
            </w:r>
          </w:p>
        </w:tc>
        <w:tc>
          <w:tcPr>
            <w:tcW w:w="5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deemed</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to</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have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"Knowledge"</w:t>
            </w: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of a</w:t>
            </w:r>
          </w:p>
        </w:tc>
        <w:tc>
          <w:tcPr>
            <w:tcW w:w="8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9"/>
              </w:rPr>
              <w:t>particular</w:t>
            </w:r>
          </w:p>
        </w:tc>
        <w:tc>
          <w:tcPr>
            <w:tcW w:w="140" w:type="dxa"/>
            <w:vAlign w:val="bottom"/>
          </w:tcPr>
          <w:p>
            <w:pPr>
              <w:spacing w:after="0"/>
              <w:rPr>
                <w:sz w:val="12"/>
                <w:szCs w:val="12"/>
                <w:color w:val="auto"/>
              </w:rPr>
            </w:pPr>
          </w:p>
        </w:tc>
        <w:tc>
          <w:tcPr>
            <w:tcW w:w="66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w w:val="99"/>
              </w:rPr>
              <w:t>fact or</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other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matter if any</w:t>
            </w: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individual</w:t>
            </w:r>
          </w:p>
        </w:tc>
        <w:tc>
          <w:tcPr>
            <w:tcW w:w="58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who is</w:t>
            </w:r>
          </w:p>
        </w:tc>
        <w:tc>
          <w:tcPr>
            <w:tcW w:w="8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serving as</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a Named</w:t>
            </w:r>
          </w:p>
        </w:tc>
        <w:tc>
          <w:tcPr>
            <w:tcW w:w="80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Director</w:t>
            </w:r>
          </w:p>
        </w:tc>
        <w:tc>
          <w:tcPr>
            <w:tcW w:w="80" w:type="dxa"/>
            <w:vAlign w:val="bottom"/>
          </w:tcPr>
          <w:p>
            <w:pPr>
              <w:spacing w:after="0"/>
              <w:rPr>
                <w:sz w:val="12"/>
                <w:szCs w:val="12"/>
                <w:color w:val="auto"/>
              </w:rPr>
            </w:pPr>
          </w:p>
        </w:tc>
        <w:tc>
          <w:tcPr>
            <w:tcW w:w="1920" w:type="dxa"/>
            <w:vAlign w:val="bottom"/>
            <w:gridSpan w:val="9"/>
          </w:tcPr>
          <w:p>
            <w:pPr>
              <w:jc w:val="right"/>
              <w:spacing w:after="0"/>
              <w:rPr>
                <w:sz w:val="20"/>
                <w:szCs w:val="20"/>
                <w:color w:val="auto"/>
              </w:rPr>
            </w:pPr>
            <w:r>
              <w:rPr>
                <w:rFonts w:ascii="Courier New" w:cs="Courier New" w:eastAsia="Courier New" w:hAnsi="Courier New"/>
                <w:sz w:val="12"/>
                <w:szCs w:val="12"/>
                <w:color w:val="auto"/>
              </w:rPr>
              <w:t>and Officer has, or at any</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6"/>
          </w:tcPr>
          <w:p>
            <w:pPr>
              <w:ind w:left="80"/>
              <w:spacing w:after="0"/>
              <w:rPr>
                <w:sz w:val="20"/>
                <w:szCs w:val="20"/>
                <w:color w:val="auto"/>
              </w:rPr>
            </w:pPr>
            <w:r>
              <w:rPr>
                <w:rFonts w:ascii="Courier New" w:cs="Courier New" w:eastAsia="Courier New" w:hAnsi="Courier New"/>
                <w:sz w:val="12"/>
                <w:szCs w:val="12"/>
                <w:color w:val="auto"/>
              </w:rPr>
              <w:t>time had, knowledge of such fact or matter;</w:t>
            </w:r>
          </w:p>
        </w:tc>
      </w:tr>
      <w:tr>
        <w:trPr>
          <w:trHeight w:val="425"/>
        </w:trPr>
        <w:tc>
          <w:tcPr>
            <w:tcW w:w="1060" w:type="dxa"/>
            <w:vAlign w:val="bottom"/>
          </w:tcPr>
          <w:p>
            <w:pPr>
              <w:spacing w:after="0"/>
              <w:rPr>
                <w:sz w:val="24"/>
                <w:szCs w:val="24"/>
                <w:color w:val="auto"/>
              </w:rPr>
            </w:pPr>
          </w:p>
        </w:tc>
        <w:tc>
          <w:tcPr>
            <w:tcW w:w="2620" w:type="dxa"/>
            <w:vAlign w:val="bottom"/>
          </w:tcPr>
          <w:p>
            <w:pPr>
              <w:ind w:left="1660"/>
              <w:spacing w:after="0"/>
              <w:rPr>
                <w:sz w:val="20"/>
                <w:szCs w:val="20"/>
                <w:color w:val="auto"/>
              </w:rPr>
            </w:pPr>
            <w:r>
              <w:rPr>
                <w:rFonts w:ascii="Courier New" w:cs="Courier New" w:eastAsia="Courier New" w:hAnsi="Courier New"/>
                <w:sz w:val="12"/>
                <w:szCs w:val="12"/>
                <w:color w:val="auto"/>
              </w:rPr>
              <w:t>- 30 -</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689"/>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1.1.91.</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3"/>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1.1.92.</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3"/>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1.1.93.</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"LEAD INVESTORS"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180" w:type="dxa"/>
            <w:vAlign w:val="bottom"/>
            <w:gridSpan w:val="15"/>
          </w:tcPr>
          <w:p>
            <w:pPr>
              <w:ind w:left="80"/>
              <w:spacing w:after="0"/>
              <w:rPr>
                <w:sz w:val="20"/>
                <w:szCs w:val="20"/>
                <w:color w:val="auto"/>
              </w:rPr>
            </w:pPr>
            <w:r>
              <w:rPr>
                <w:rFonts w:ascii="Courier New" w:cs="Courier New" w:eastAsia="Courier New" w:hAnsi="Courier New"/>
                <w:sz w:val="12"/>
                <w:szCs w:val="12"/>
                <w:color w:val="auto"/>
              </w:rPr>
              <w:t>means TIC, Sandisk, Alliance and Macronix;</w:t>
            </w:r>
          </w:p>
        </w:tc>
        <w:tc>
          <w:tcPr>
            <w:tcW w:w="220" w:type="dxa"/>
            <w:vAlign w:val="bottom"/>
          </w:tcPr>
          <w:p>
            <w:pPr>
              <w:spacing w:after="0"/>
              <w:rPr>
                <w:sz w:val="24"/>
                <w:szCs w:val="24"/>
                <w:color w:val="auto"/>
              </w:rPr>
            </w:pPr>
          </w:p>
        </w:tc>
      </w:tr>
      <w:tr>
        <w:trPr>
          <w:trHeight w:val="283"/>
        </w:trPr>
        <w:tc>
          <w:tcPr>
            <w:tcW w:w="1060" w:type="dxa"/>
            <w:vAlign w:val="bottom"/>
          </w:tcPr>
          <w:p>
            <w:pPr>
              <w:spacing w:after="0"/>
              <w:rPr>
                <w:sz w:val="20"/>
                <w:szCs w:val="20"/>
                <w:color w:val="auto"/>
              </w:rPr>
            </w:pPr>
            <w:r>
              <w:rPr>
                <w:rFonts w:ascii="Courier New" w:cs="Courier New" w:eastAsia="Courier New" w:hAnsi="Courier New"/>
                <w:sz w:val="12"/>
                <w:szCs w:val="12"/>
                <w:color w:val="auto"/>
              </w:rPr>
              <w:t>1.1.94.</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"LIBOR"</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58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with</w:t>
            </w:r>
          </w:p>
        </w:tc>
        <w:tc>
          <w:tcPr>
            <w:tcW w:w="82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respect</w:t>
            </w:r>
          </w:p>
        </w:tc>
        <w:tc>
          <w:tcPr>
            <w:tcW w:w="2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to</w:t>
            </w:r>
          </w:p>
        </w:tc>
        <w:tc>
          <w:tcPr>
            <w:tcW w:w="3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each</w:t>
            </w:r>
          </w:p>
        </w:tc>
        <w:tc>
          <w:tcPr>
            <w:tcW w:w="22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Interest</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Period,</w:t>
            </w:r>
          </w:p>
        </w:tc>
        <w:tc>
          <w:tcPr>
            <w:tcW w:w="1620" w:type="dxa"/>
            <w:vAlign w:val="bottom"/>
            <w:gridSpan w:val="8"/>
          </w:tcPr>
          <w:p>
            <w:pPr>
              <w:ind w:left="140"/>
              <w:spacing w:after="0"/>
              <w:rPr>
                <w:sz w:val="20"/>
                <w:szCs w:val="20"/>
                <w:color w:val="auto"/>
              </w:rPr>
            </w:pPr>
            <w:r>
              <w:rPr>
                <w:rFonts w:ascii="Courier New" w:cs="Courier New" w:eastAsia="Courier New" w:hAnsi="Courier New"/>
                <w:sz w:val="12"/>
                <w:szCs w:val="12"/>
                <w:color w:val="auto"/>
              </w:rPr>
              <w:t>the rate per annum</w:t>
            </w:r>
          </w:p>
        </w:tc>
        <w:tc>
          <w:tcPr>
            <w:tcW w:w="58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w w:val="95"/>
              </w:rPr>
              <w:t>rounded</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upward,</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if necessary,</w:t>
            </w:r>
          </w:p>
        </w:tc>
        <w:tc>
          <w:tcPr>
            <w:tcW w:w="1620" w:type="dxa"/>
            <w:vAlign w:val="bottom"/>
            <w:gridSpan w:val="8"/>
          </w:tcPr>
          <w:p>
            <w:pPr>
              <w:spacing w:after="0"/>
              <w:rPr>
                <w:sz w:val="20"/>
                <w:szCs w:val="20"/>
                <w:color w:val="auto"/>
              </w:rPr>
            </w:pPr>
            <w:r>
              <w:rPr>
                <w:rFonts w:ascii="Courier New" w:cs="Courier New" w:eastAsia="Courier New" w:hAnsi="Courier New"/>
                <w:sz w:val="12"/>
                <w:szCs w:val="12"/>
                <w:color w:val="auto"/>
              </w:rPr>
              <w:t>to the nearest whole</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multiple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of (1)/16%</w:t>
            </w:r>
          </w:p>
        </w:tc>
        <w:tc>
          <w:tcPr>
            <w:tcW w:w="140" w:type="dxa"/>
            <w:vAlign w:val="bottom"/>
          </w:tcPr>
          <w:p>
            <w:pPr>
              <w:spacing w:after="0"/>
              <w:rPr>
                <w:sz w:val="12"/>
                <w:szCs w:val="12"/>
                <w:color w:val="auto"/>
              </w:rPr>
            </w:pPr>
          </w:p>
        </w:tc>
        <w:tc>
          <w:tcPr>
            <w:tcW w:w="1040" w:type="dxa"/>
            <w:vAlign w:val="bottom"/>
            <w:gridSpan w:val="5"/>
          </w:tcPr>
          <w:p>
            <w:pPr>
              <w:spacing w:after="0"/>
              <w:rPr>
                <w:sz w:val="20"/>
                <w:szCs w:val="20"/>
                <w:color w:val="auto"/>
              </w:rPr>
            </w:pPr>
            <w:r>
              <w:rPr>
                <w:rFonts w:ascii="Courier New" w:cs="Courier New" w:eastAsia="Courier New" w:hAnsi="Courier New"/>
                <w:sz w:val="12"/>
                <w:szCs w:val="12"/>
                <w:color w:val="auto"/>
              </w:rPr>
              <w:t>(one-sixteenth</w:t>
            </w:r>
          </w:p>
        </w:tc>
        <w:tc>
          <w:tcPr>
            <w:tcW w:w="140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of a percent) for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Euro-Dollar</w:t>
            </w:r>
          </w:p>
        </w:tc>
        <w:tc>
          <w:tcPr>
            <w:tcW w:w="74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deposits</w:t>
            </w:r>
          </w:p>
        </w:tc>
        <w:tc>
          <w:tcPr>
            <w:tcW w:w="52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for</w:t>
            </w:r>
          </w:p>
        </w:tc>
        <w:tc>
          <w:tcPr>
            <w:tcW w:w="140" w:type="dxa"/>
            <w:vAlign w:val="bottom"/>
          </w:tcPr>
          <w:p>
            <w:pPr>
              <w:jc w:val="right"/>
              <w:ind w:right="20"/>
              <w:spacing w:after="0"/>
              <w:rPr>
                <w:sz w:val="20"/>
                <w:szCs w:val="20"/>
                <w:color w:val="auto"/>
              </w:rPr>
            </w:pPr>
            <w:r>
              <w:rPr>
                <w:rFonts w:ascii="Courier New" w:cs="Courier New" w:eastAsia="Courier New" w:hAnsi="Courier New"/>
                <w:sz w:val="9"/>
                <w:szCs w:val="9"/>
                <w:color w:val="auto"/>
                <w:w w:val="73"/>
              </w:rPr>
              <w:t>a</w:t>
            </w:r>
          </w:p>
        </w:tc>
        <w:tc>
          <w:tcPr>
            <w:tcW w:w="66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rPr>
              <w:t>period</w:t>
            </w:r>
          </w:p>
        </w:tc>
        <w:tc>
          <w:tcPr>
            <w:tcW w:w="160" w:type="dxa"/>
            <w:vAlign w:val="bottom"/>
          </w:tcPr>
          <w:p>
            <w:pPr>
              <w:spacing w:after="0"/>
              <w:rPr>
                <w:sz w:val="20"/>
                <w:szCs w:val="20"/>
                <w:color w:val="auto"/>
              </w:rPr>
            </w:pPr>
            <w:r>
              <w:rPr>
                <w:rFonts w:ascii="Courier New" w:cs="Courier New" w:eastAsia="Courier New" w:hAnsi="Courier New"/>
                <w:sz w:val="12"/>
                <w:szCs w:val="12"/>
                <w:color w:val="auto"/>
                <w:w w:val="96"/>
              </w:rPr>
              <w:t>of</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3</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(three)</w:t>
            </w:r>
          </w:p>
        </w:tc>
        <w:tc>
          <w:tcPr>
            <w:tcW w:w="58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7"/>
              </w:rPr>
              <w:t>months</w:t>
            </w:r>
          </w:p>
        </w:tc>
        <w:tc>
          <w:tcPr>
            <w:tcW w:w="104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(or if such</w:t>
            </w:r>
          </w:p>
        </w:tc>
        <w:tc>
          <w:tcPr>
            <w:tcW w:w="580" w:type="dxa"/>
            <w:vAlign w:val="bottom"/>
            <w:gridSpan w:val="3"/>
          </w:tcPr>
          <w:p>
            <w:pPr>
              <w:jc w:val="center"/>
              <w:spacing w:after="0"/>
              <w:rPr>
                <w:sz w:val="20"/>
                <w:szCs w:val="20"/>
                <w:color w:val="auto"/>
              </w:rPr>
            </w:pPr>
            <w:r>
              <w:rPr>
                <w:rFonts w:ascii="Courier New" w:cs="Courier New" w:eastAsia="Courier New" w:hAnsi="Courier New"/>
                <w:sz w:val="12"/>
                <w:szCs w:val="12"/>
                <w:color w:val="auto"/>
              </w:rPr>
              <w:t>Interest</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Period</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is less than a</w:t>
            </w:r>
          </w:p>
        </w:tc>
        <w:tc>
          <w:tcPr>
            <w:tcW w:w="82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Quarter,</w:t>
            </w:r>
          </w:p>
        </w:tc>
        <w:tc>
          <w:tcPr>
            <w:tcW w:w="140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then for the number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of</w:t>
            </w: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w w:val="99"/>
              </w:rPr>
              <w:t>weeks</w:t>
            </w:r>
          </w:p>
        </w:tc>
        <w:tc>
          <w:tcPr>
            <w:tcW w:w="14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w w:val="82"/>
              </w:rPr>
              <w:t>of</w:t>
            </w:r>
          </w:p>
        </w:tc>
        <w:tc>
          <w:tcPr>
            <w:tcW w:w="220" w:type="dxa"/>
            <w:vAlign w:val="bottom"/>
          </w:tcPr>
          <w:p>
            <w:pPr>
              <w:spacing w:after="0"/>
              <w:rPr>
                <w:sz w:val="12"/>
                <w:szCs w:val="12"/>
                <w:color w:val="auto"/>
              </w:rPr>
            </w:pPr>
          </w:p>
        </w:tc>
        <w:tc>
          <w:tcPr>
            <w:tcW w:w="300" w:type="dxa"/>
            <w:vAlign w:val="bottom"/>
            <w:gridSpan w:val="2"/>
          </w:tcPr>
          <w:p>
            <w:pPr>
              <w:spacing w:after="0"/>
              <w:rPr>
                <w:sz w:val="20"/>
                <w:szCs w:val="20"/>
                <w:color w:val="auto"/>
              </w:rPr>
            </w:pPr>
            <w:r>
              <w:rPr>
                <w:rFonts w:ascii="Courier New" w:cs="Courier New" w:eastAsia="Courier New" w:hAnsi="Courier New"/>
                <w:sz w:val="12"/>
                <w:szCs w:val="12"/>
                <w:color w:val="auto"/>
                <w:w w:val="97"/>
              </w:rPr>
              <w:t>such</w:t>
            </w:r>
          </w:p>
        </w:tc>
        <w:tc>
          <w:tcPr>
            <w:tcW w:w="30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7"/>
              </w:rPr>
              <w:t>Interest</w:t>
            </w:r>
          </w:p>
        </w:tc>
        <w:tc>
          <w:tcPr>
            <w:tcW w:w="22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Period,</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rounded-up</w:t>
            </w:r>
          </w:p>
        </w:tc>
        <w:tc>
          <w:tcPr>
            <w:tcW w:w="140" w:type="dxa"/>
            <w:vAlign w:val="bottom"/>
          </w:tcPr>
          <w:p>
            <w:pPr>
              <w:spacing w:after="0"/>
              <w:rPr>
                <w:sz w:val="12"/>
                <w:szCs w:val="12"/>
                <w:color w:val="auto"/>
              </w:rPr>
            </w:pPr>
          </w:p>
        </w:tc>
        <w:tc>
          <w:tcPr>
            <w:tcW w:w="1620" w:type="dxa"/>
            <w:vAlign w:val="bottom"/>
            <w:gridSpan w:val="8"/>
          </w:tcPr>
          <w:p>
            <w:pPr>
              <w:spacing w:after="0"/>
              <w:rPr>
                <w:sz w:val="20"/>
                <w:szCs w:val="20"/>
                <w:color w:val="auto"/>
              </w:rPr>
            </w:pPr>
            <w:r>
              <w:rPr>
                <w:rFonts w:ascii="Courier New" w:cs="Courier New" w:eastAsia="Courier New" w:hAnsi="Courier New"/>
                <w:sz w:val="12"/>
                <w:szCs w:val="12"/>
                <w:color w:val="auto"/>
              </w:rPr>
              <w:t>for part of a week),</w:t>
            </w: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offered</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bl>
    <w:p>
      <w:pPr>
        <w:sectPr>
          <w:pgSz w:w="11900" w:h="16865" w:orient="portrait"/>
          <w:cols w:equalWidth="0" w:num="1">
            <w:col w:w="10239"/>
          </w:cols>
          <w:pgMar w:left="220" w:top="566" w:right="1440" w:bottom="0" w:gutter="0" w:footer="0" w:header="0"/>
        </w:sectPr>
      </w:pPr>
    </w:p>
    <w:bookmarkStart w:id="86" w:name="page87"/>
    <w:bookmarkEnd w:id="86"/>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the</w:t>
            </w:r>
          </w:p>
        </w:tc>
        <w:tc>
          <w:tcPr>
            <w:tcW w:w="500" w:type="dxa"/>
            <w:vAlign w:val="bottom"/>
            <w:gridSpan w:val="3"/>
          </w:tcPr>
          <w:p>
            <w:pPr>
              <w:ind w:left="60"/>
              <w:spacing w:after="0"/>
              <w:rPr>
                <w:sz w:val="20"/>
                <w:szCs w:val="20"/>
                <w:color w:val="auto"/>
              </w:rPr>
            </w:pPr>
            <w:r>
              <w:rPr>
                <w:rFonts w:ascii="Courier New" w:cs="Courier New" w:eastAsia="Courier New" w:hAnsi="Courier New"/>
                <w:sz w:val="12"/>
                <w:szCs w:val="12"/>
                <w:color w:val="auto"/>
                <w:w w:val="97"/>
              </w:rPr>
              <w:t>London</w:t>
            </w:r>
          </w:p>
        </w:tc>
        <w:tc>
          <w:tcPr>
            <w:tcW w:w="96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Interbank</w:t>
            </w: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market,</w:t>
            </w:r>
          </w:p>
        </w:tc>
        <w:tc>
          <w:tcPr>
            <w:tcW w:w="90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as quoted at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0" w:type="dxa"/>
            <w:vAlign w:val="bottom"/>
            <w:gridSpan w:val="13"/>
          </w:tcPr>
          <w:p>
            <w:pPr>
              <w:ind w:left="80"/>
              <w:spacing w:after="0"/>
              <w:rPr>
                <w:sz w:val="20"/>
                <w:szCs w:val="20"/>
                <w:color w:val="auto"/>
              </w:rPr>
            </w:pPr>
            <w:r>
              <w:rPr>
                <w:rFonts w:ascii="Courier New" w:cs="Courier New" w:eastAsia="Courier New" w:hAnsi="Courier New"/>
                <w:sz w:val="12"/>
                <w:szCs w:val="12"/>
                <w:color w:val="auto"/>
              </w:rPr>
              <w:t>or  about  11:00 a.m.  (London  time)</w:t>
            </w: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on 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Interest</w:t>
            </w:r>
          </w:p>
        </w:tc>
        <w:tc>
          <w:tcPr>
            <w:tcW w:w="220" w:type="dxa"/>
            <w:vAlign w:val="bottom"/>
          </w:tcPr>
          <w:p>
            <w:pPr>
              <w:spacing w:after="0"/>
              <w:rPr>
                <w:sz w:val="12"/>
                <w:szCs w:val="12"/>
                <w:color w:val="auto"/>
              </w:rPr>
            </w:pPr>
          </w:p>
        </w:tc>
        <w:tc>
          <w:tcPr>
            <w:tcW w:w="11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Determination</w:t>
            </w: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Date</w:t>
            </w:r>
          </w:p>
        </w:tc>
        <w:tc>
          <w:tcPr>
            <w:tcW w:w="160" w:type="dxa"/>
            <w:vAlign w:val="bottom"/>
          </w:tcPr>
          <w:p>
            <w:pPr>
              <w:spacing w:after="0"/>
              <w:rPr>
                <w:sz w:val="12"/>
                <w:szCs w:val="12"/>
                <w:color w:val="auto"/>
              </w:rPr>
            </w:pPr>
          </w:p>
        </w:tc>
        <w:tc>
          <w:tcPr>
            <w:tcW w:w="220" w:type="dxa"/>
            <w:vAlign w:val="bottom"/>
            <w:gridSpan w:val="2"/>
          </w:tcPr>
          <w:p>
            <w:pPr>
              <w:spacing w:after="0"/>
              <w:rPr>
                <w:sz w:val="20"/>
                <w:szCs w:val="20"/>
                <w:color w:val="auto"/>
              </w:rPr>
            </w:pPr>
            <w:r>
              <w:rPr>
                <w:rFonts w:ascii="Courier New" w:cs="Courier New" w:eastAsia="Courier New" w:hAnsi="Courier New"/>
                <w:sz w:val="12"/>
                <w:szCs w:val="12"/>
                <w:color w:val="auto"/>
                <w:w w:val="92"/>
              </w:rPr>
              <w:t>for</w:t>
            </w:r>
          </w:p>
        </w:tc>
        <w:tc>
          <w:tcPr>
            <w:tcW w:w="2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such</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6"/>
          </w:tcPr>
          <w:p>
            <w:pPr>
              <w:ind w:left="80"/>
              <w:spacing w:after="0"/>
              <w:rPr>
                <w:sz w:val="20"/>
                <w:szCs w:val="20"/>
                <w:color w:val="auto"/>
              </w:rPr>
            </w:pPr>
            <w:r>
              <w:rPr>
                <w:rFonts w:ascii="Courier New" w:cs="Courier New" w:eastAsia="Courier New" w:hAnsi="Courier New"/>
                <w:sz w:val="12"/>
                <w:szCs w:val="12"/>
                <w:color w:val="auto"/>
              </w:rPr>
              <w:t>Interest  Period  on  the  composite  display</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designated</w:t>
            </w:r>
          </w:p>
        </w:tc>
        <w:tc>
          <w:tcPr>
            <w:tcW w:w="162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as LIBOR 01 Frasett</w:t>
            </w:r>
          </w:p>
        </w:tc>
        <w:tc>
          <w:tcPr>
            <w:tcW w:w="90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(in the case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of</w:t>
            </w:r>
          </w:p>
        </w:tc>
        <w:tc>
          <w:tcPr>
            <w:tcW w:w="1180" w:type="dxa"/>
            <w:vAlign w:val="bottom"/>
            <w:gridSpan w:val="6"/>
          </w:tcPr>
          <w:p>
            <w:pPr>
              <w:ind w:left="60"/>
              <w:spacing w:after="0"/>
              <w:rPr>
                <w:sz w:val="20"/>
                <w:szCs w:val="20"/>
                <w:color w:val="auto"/>
              </w:rPr>
            </w:pPr>
            <w:r>
              <w:rPr>
                <w:rFonts w:ascii="Courier New" w:cs="Courier New" w:eastAsia="Courier New" w:hAnsi="Courier New"/>
                <w:sz w:val="12"/>
                <w:szCs w:val="12"/>
                <w:color w:val="auto"/>
              </w:rPr>
              <w:t>Euro-Dollars)</w:t>
            </w:r>
          </w:p>
        </w:tc>
        <w:tc>
          <w:tcPr>
            <w:tcW w:w="280" w:type="dxa"/>
            <w:vAlign w:val="bottom"/>
          </w:tcPr>
          <w:p>
            <w:pPr>
              <w:ind w:left="60"/>
              <w:spacing w:after="0"/>
              <w:rPr>
                <w:sz w:val="20"/>
                <w:szCs w:val="20"/>
                <w:color w:val="auto"/>
              </w:rPr>
            </w:pPr>
            <w:r>
              <w:rPr>
                <w:rFonts w:ascii="Courier New" w:cs="Courier New" w:eastAsia="Courier New" w:hAnsi="Courier New"/>
                <w:sz w:val="12"/>
                <w:szCs w:val="12"/>
                <w:color w:val="auto"/>
              </w:rPr>
              <w:t>to</w:t>
            </w:r>
          </w:p>
        </w:tc>
        <w:tc>
          <w:tcPr>
            <w:tcW w:w="96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subscribers</w:t>
            </w:r>
          </w:p>
        </w:tc>
        <w:tc>
          <w:tcPr>
            <w:tcW w:w="80" w:type="dxa"/>
            <w:vAlign w:val="bottom"/>
          </w:tcPr>
          <w:p>
            <w:pPr>
              <w:spacing w:after="0"/>
              <w:rPr>
                <w:sz w:val="12"/>
                <w:szCs w:val="12"/>
                <w:color w:val="auto"/>
              </w:rPr>
            </w:pPr>
          </w:p>
        </w:tc>
        <w:tc>
          <w:tcPr>
            <w:tcW w:w="2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of</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REUTERS</w:t>
            </w:r>
          </w:p>
        </w:tc>
        <w:tc>
          <w:tcPr>
            <w:tcW w:w="60" w:type="dxa"/>
            <w:vAlign w:val="bottom"/>
          </w:tcPr>
          <w:p>
            <w:pPr>
              <w:spacing w:after="0"/>
              <w:rPr>
                <w:sz w:val="12"/>
                <w:szCs w:val="12"/>
                <w:color w:val="auto"/>
              </w:rPr>
            </w:pPr>
          </w:p>
        </w:tc>
        <w:tc>
          <w:tcPr>
            <w:tcW w:w="90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service</w:t>
            </w:r>
          </w:p>
        </w:tc>
        <w:tc>
          <w:tcPr>
            <w:tcW w:w="940" w:type="dxa"/>
            <w:vAlign w:val="bottom"/>
            <w:gridSpan w:val="4"/>
          </w:tcPr>
          <w:p>
            <w:pPr>
              <w:spacing w:after="0"/>
              <w:rPr>
                <w:sz w:val="20"/>
                <w:szCs w:val="20"/>
                <w:color w:val="auto"/>
              </w:rPr>
            </w:pPr>
            <w:r>
              <w:rPr>
                <w:rFonts w:ascii="Courier New" w:cs="Courier New" w:eastAsia="Courier New" w:hAnsi="Courier New"/>
                <w:sz w:val="12"/>
                <w:szCs w:val="12"/>
                <w:color w:val="auto"/>
              </w:rPr>
              <w:t>("REUTERS")</w:t>
            </w:r>
          </w:p>
        </w:tc>
        <w:tc>
          <w:tcPr>
            <w:tcW w:w="3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w w:val="92"/>
              </w:rPr>
              <w:t>or,</w:t>
            </w:r>
          </w:p>
        </w:tc>
        <w:tc>
          <w:tcPr>
            <w:tcW w:w="80" w:type="dxa"/>
            <w:vAlign w:val="bottom"/>
          </w:tcPr>
          <w:p>
            <w:pPr>
              <w:spacing w:after="0"/>
              <w:rPr>
                <w:sz w:val="12"/>
                <w:szCs w:val="12"/>
                <w:color w:val="auto"/>
              </w:rPr>
            </w:pPr>
          </w:p>
        </w:tc>
        <w:tc>
          <w:tcPr>
            <w:tcW w:w="2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in</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absence</w:t>
            </w:r>
          </w:p>
        </w:tc>
        <w:tc>
          <w:tcPr>
            <w:tcW w:w="60" w:type="dxa"/>
            <w:vAlign w:val="bottom"/>
          </w:tcPr>
          <w:p>
            <w:pPr>
              <w:spacing w:after="0"/>
              <w:rPr>
                <w:sz w:val="12"/>
                <w:szCs w:val="12"/>
                <w:color w:val="auto"/>
              </w:rPr>
            </w:pPr>
          </w:p>
        </w:tc>
        <w:tc>
          <w:tcPr>
            <w:tcW w:w="2140" w:type="dxa"/>
            <w:vAlign w:val="bottom"/>
            <w:gridSpan w:val="10"/>
          </w:tcPr>
          <w:p>
            <w:pPr>
              <w:ind w:left="160"/>
              <w:spacing w:after="0"/>
              <w:rPr>
                <w:sz w:val="20"/>
                <w:szCs w:val="20"/>
                <w:color w:val="auto"/>
              </w:rPr>
            </w:pPr>
            <w:r>
              <w:rPr>
                <w:rFonts w:ascii="Courier New" w:cs="Courier New" w:eastAsia="Courier New" w:hAnsi="Courier New"/>
                <w:sz w:val="12"/>
                <w:szCs w:val="12"/>
                <w:color w:val="auto"/>
              </w:rPr>
              <w:t>of  such  page  or  pages,</w:t>
            </w:r>
          </w:p>
        </w:tc>
        <w:tc>
          <w:tcPr>
            <w:tcW w:w="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6"/>
          </w:tcPr>
          <w:p>
            <w:pPr>
              <w:ind w:left="80"/>
              <w:spacing w:after="0"/>
              <w:rPr>
                <w:sz w:val="20"/>
                <w:szCs w:val="20"/>
                <w:color w:val="auto"/>
              </w:rPr>
            </w:pPr>
            <w:r>
              <w:rPr>
                <w:rFonts w:ascii="Courier New" w:cs="Courier New" w:eastAsia="Courier New" w:hAnsi="Courier New"/>
                <w:sz w:val="12"/>
                <w:szCs w:val="12"/>
                <w:color w:val="auto"/>
              </w:rPr>
              <w:t>Reuters  shall,  for any  reason  whatsoever,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amend,</w:t>
            </w:r>
          </w:p>
        </w:tc>
        <w:tc>
          <w:tcPr>
            <w:tcW w:w="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change</w:t>
            </w:r>
          </w:p>
        </w:tc>
        <w:tc>
          <w:tcPr>
            <w:tcW w:w="16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rPr>
              <w:t>or</w:t>
            </w:r>
          </w:p>
        </w:tc>
        <w:tc>
          <w:tcPr>
            <w:tcW w:w="720" w:type="dxa"/>
            <w:vAlign w:val="bottom"/>
            <w:gridSpan w:val="3"/>
          </w:tcPr>
          <w:p>
            <w:pPr>
              <w:spacing w:after="0"/>
              <w:rPr>
                <w:sz w:val="20"/>
                <w:szCs w:val="20"/>
                <w:color w:val="auto"/>
              </w:rPr>
            </w:pPr>
            <w:r>
              <w:rPr>
                <w:rFonts w:ascii="Courier New" w:cs="Courier New" w:eastAsia="Courier New" w:hAnsi="Courier New"/>
                <w:sz w:val="12"/>
                <w:szCs w:val="12"/>
                <w:color w:val="auto"/>
              </w:rPr>
              <w:t>otherwise</w:t>
            </w:r>
          </w:p>
        </w:tc>
        <w:tc>
          <w:tcPr>
            <w:tcW w:w="112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alter the data</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basis or the</w:t>
            </w:r>
          </w:p>
        </w:tc>
        <w:tc>
          <w:tcPr>
            <w:tcW w:w="740" w:type="dxa"/>
            <w:vAlign w:val="bottom"/>
            <w:gridSpan w:val="3"/>
          </w:tcPr>
          <w:p>
            <w:pPr>
              <w:spacing w:after="0"/>
              <w:rPr>
                <w:sz w:val="20"/>
                <w:szCs w:val="20"/>
                <w:color w:val="auto"/>
              </w:rPr>
            </w:pPr>
            <w:r>
              <w:rPr>
                <w:rFonts w:ascii="Courier New" w:cs="Courier New" w:eastAsia="Courier New" w:hAnsi="Courier New"/>
                <w:sz w:val="12"/>
                <w:szCs w:val="12"/>
                <w:color w:val="auto"/>
              </w:rPr>
              <w:t>reference</w:t>
            </w: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4"/>
              </w:rPr>
              <w:t>banks</w:t>
            </w:r>
          </w:p>
        </w:tc>
        <w:tc>
          <w:tcPr>
            <w:tcW w:w="11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used by it on</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the Amendment</w:t>
            </w:r>
          </w:p>
        </w:tc>
        <w:tc>
          <w:tcPr>
            <w:tcW w:w="11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Closing Date,</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for</w:t>
            </w:r>
          </w:p>
        </w:tc>
        <w:tc>
          <w:tcPr>
            <w:tcW w:w="160" w:type="dxa"/>
            <w:vAlign w:val="bottom"/>
          </w:tcPr>
          <w:p>
            <w:pPr>
              <w:spacing w:after="0"/>
              <w:rPr>
                <w:sz w:val="12"/>
                <w:szCs w:val="12"/>
                <w:color w:val="auto"/>
              </w:rPr>
            </w:pP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w w:val="99"/>
              </w:rPr>
              <w:t>quotations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under</w:t>
            </w: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w w:val="90"/>
              </w:rPr>
              <w:t>said</w:t>
            </w:r>
          </w:p>
        </w:tc>
        <w:tc>
          <w:tcPr>
            <w:tcW w:w="96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composite</w:t>
            </w: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display,</w:t>
            </w:r>
          </w:p>
        </w:tc>
        <w:tc>
          <w:tcPr>
            <w:tcW w:w="90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the rate of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Interest</w:t>
            </w:r>
          </w:p>
        </w:tc>
        <w:tc>
          <w:tcPr>
            <w:tcW w:w="4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as</w:t>
            </w:r>
          </w:p>
        </w:tc>
        <w:tc>
          <w:tcPr>
            <w:tcW w:w="460" w:type="dxa"/>
            <w:vAlign w:val="bottom"/>
            <w:gridSpan w:val="2"/>
          </w:tcPr>
          <w:p>
            <w:pPr>
              <w:spacing w:after="0"/>
              <w:rPr>
                <w:sz w:val="20"/>
                <w:szCs w:val="20"/>
                <w:color w:val="auto"/>
              </w:rPr>
            </w:pPr>
            <w:r>
              <w:rPr>
                <w:rFonts w:ascii="Courier New" w:cs="Courier New" w:eastAsia="Courier New" w:hAnsi="Courier New"/>
                <w:sz w:val="12"/>
                <w:szCs w:val="12"/>
                <w:color w:val="auto"/>
              </w:rPr>
              <w:t>quoted</w:t>
            </w:r>
          </w:p>
        </w:tc>
        <w:tc>
          <w:tcPr>
            <w:tcW w:w="94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8"/>
              </w:rPr>
              <w:t>at or about</w:t>
            </w:r>
          </w:p>
        </w:tc>
        <w:tc>
          <w:tcPr>
            <w:tcW w:w="160" w:type="dxa"/>
            <w:vAlign w:val="bottom"/>
          </w:tcPr>
          <w:p>
            <w:pPr>
              <w:spacing w:after="0"/>
              <w:rPr>
                <w:sz w:val="12"/>
                <w:szCs w:val="12"/>
                <w:color w:val="auto"/>
              </w:rPr>
            </w:pP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w w:val="99"/>
              </w:rPr>
              <w:t>11:00 a.m.</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London</w:t>
            </w: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time</w:t>
            </w:r>
          </w:p>
        </w:tc>
        <w:tc>
          <w:tcPr>
            <w:tcW w:w="16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rPr>
              <w:t>on</w:t>
            </w:r>
          </w:p>
        </w:tc>
        <w:tc>
          <w:tcPr>
            <w:tcW w:w="280" w:type="dxa"/>
            <w:vAlign w:val="bottom"/>
          </w:tcPr>
          <w:p>
            <w:pPr>
              <w:spacing w:after="0"/>
              <w:rPr>
                <w:sz w:val="20"/>
                <w:szCs w:val="20"/>
                <w:color w:val="auto"/>
              </w:rPr>
            </w:pPr>
            <w:r>
              <w:rPr>
                <w:rFonts w:ascii="Courier New" w:cs="Courier New" w:eastAsia="Courier New" w:hAnsi="Courier New"/>
                <w:sz w:val="12"/>
                <w:szCs w:val="12"/>
                <w:color w:val="auto"/>
              </w:rPr>
              <w:t>the</w:t>
            </w:r>
          </w:p>
        </w:tc>
        <w:tc>
          <w:tcPr>
            <w:tcW w:w="82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relevant</w:t>
            </w:r>
          </w:p>
        </w:tc>
        <w:tc>
          <w:tcPr>
            <w:tcW w:w="14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Interest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6"/>
          </w:tcPr>
          <w:p>
            <w:pPr>
              <w:ind w:left="80"/>
              <w:spacing w:after="0"/>
              <w:rPr>
                <w:sz w:val="20"/>
                <w:szCs w:val="20"/>
                <w:color w:val="auto"/>
              </w:rPr>
            </w:pPr>
            <w:r>
              <w:rPr>
                <w:rFonts w:ascii="Courier New" w:cs="Courier New" w:eastAsia="Courier New" w:hAnsi="Courier New"/>
                <w:sz w:val="12"/>
                <w:szCs w:val="12"/>
                <w:color w:val="auto"/>
              </w:rPr>
              <w:t>Determination  Date  on  such  other  page or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pages of</w:t>
            </w:r>
          </w:p>
        </w:tc>
        <w:tc>
          <w:tcPr>
            <w:tcW w:w="1620" w:type="dxa"/>
            <w:vAlign w:val="bottom"/>
            <w:gridSpan w:val="7"/>
          </w:tcPr>
          <w:p>
            <w:pPr>
              <w:ind w:left="160"/>
              <w:spacing w:after="0"/>
              <w:rPr>
                <w:sz w:val="20"/>
                <w:szCs w:val="20"/>
                <w:color w:val="auto"/>
              </w:rPr>
            </w:pPr>
            <w:r>
              <w:rPr>
                <w:rFonts w:ascii="Courier New" w:cs="Courier New" w:eastAsia="Courier New" w:hAnsi="Courier New"/>
                <w:sz w:val="12"/>
                <w:szCs w:val="12"/>
                <w:color w:val="auto"/>
              </w:rPr>
              <w:t>Reuters as shall be</w:t>
            </w:r>
          </w:p>
        </w:tc>
        <w:tc>
          <w:tcPr>
            <w:tcW w:w="820" w:type="dxa"/>
            <w:vAlign w:val="bottom"/>
            <w:gridSpan w:val="5"/>
          </w:tcPr>
          <w:p>
            <w:pPr>
              <w:ind w:left="80"/>
              <w:spacing w:after="0"/>
              <w:rPr>
                <w:sz w:val="20"/>
                <w:szCs w:val="20"/>
                <w:color w:val="auto"/>
              </w:rPr>
            </w:pPr>
            <w:r>
              <w:rPr>
                <w:rFonts w:ascii="Courier New" w:cs="Courier New" w:eastAsia="Courier New" w:hAnsi="Courier New"/>
                <w:sz w:val="12"/>
                <w:szCs w:val="12"/>
                <w:color w:val="auto"/>
                <w:w w:val="99"/>
              </w:rPr>
              <w:t>determined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by</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the Banks</w:t>
            </w:r>
          </w:p>
        </w:tc>
        <w:tc>
          <w:tcPr>
            <w:tcW w:w="960" w:type="dxa"/>
            <w:vAlign w:val="bottom"/>
            <w:gridSpan w:val="4"/>
          </w:tcPr>
          <w:p>
            <w:pPr>
              <w:spacing w:after="0"/>
              <w:rPr>
                <w:sz w:val="20"/>
                <w:szCs w:val="20"/>
                <w:color w:val="auto"/>
              </w:rPr>
            </w:pPr>
            <w:r>
              <w:rPr>
                <w:rFonts w:ascii="Courier New" w:cs="Courier New" w:eastAsia="Courier New" w:hAnsi="Courier New"/>
                <w:sz w:val="12"/>
                <w:szCs w:val="12"/>
                <w:color w:val="auto"/>
              </w:rPr>
              <w:t>for a period</w:t>
            </w:r>
          </w:p>
        </w:tc>
        <w:tc>
          <w:tcPr>
            <w:tcW w:w="960" w:type="dxa"/>
            <w:vAlign w:val="bottom"/>
            <w:gridSpan w:val="5"/>
          </w:tcPr>
          <w:p>
            <w:pPr>
              <w:ind w:left="80"/>
              <w:spacing w:after="0"/>
              <w:rPr>
                <w:sz w:val="20"/>
                <w:szCs w:val="20"/>
                <w:color w:val="auto"/>
              </w:rPr>
            </w:pPr>
            <w:r>
              <w:rPr>
                <w:rFonts w:ascii="Courier New" w:cs="Courier New" w:eastAsia="Courier New" w:hAnsi="Courier New"/>
                <w:sz w:val="12"/>
                <w:szCs w:val="12"/>
                <w:color w:val="auto"/>
                <w:w w:val="99"/>
              </w:rPr>
              <w:t>of 3 (three)</w:t>
            </w: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months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00" w:type="dxa"/>
            <w:vAlign w:val="bottom"/>
            <w:gridSpan w:val="11"/>
          </w:tcPr>
          <w:p>
            <w:pPr>
              <w:ind w:left="80"/>
              <w:spacing w:after="0"/>
              <w:rPr>
                <w:sz w:val="20"/>
                <w:szCs w:val="20"/>
                <w:color w:val="auto"/>
              </w:rPr>
            </w:pPr>
            <w:r>
              <w:rPr>
                <w:rFonts w:ascii="Courier New" w:cs="Courier New" w:eastAsia="Courier New" w:hAnsi="Courier New"/>
                <w:sz w:val="12"/>
                <w:szCs w:val="12"/>
                <w:color w:val="auto"/>
              </w:rPr>
              <w:t>or,  as the  case  may  be,  that</w:t>
            </w:r>
          </w:p>
        </w:tc>
        <w:tc>
          <w:tcPr>
            <w:tcW w:w="160" w:type="dxa"/>
            <w:vAlign w:val="bottom"/>
          </w:tcPr>
          <w:p>
            <w:pPr>
              <w:spacing w:after="0"/>
              <w:rPr>
                <w:sz w:val="12"/>
                <w:szCs w:val="12"/>
                <w:color w:val="auto"/>
              </w:rPr>
            </w:pPr>
          </w:p>
        </w:tc>
        <w:tc>
          <w:tcPr>
            <w:tcW w:w="440" w:type="dxa"/>
            <w:vAlign w:val="bottom"/>
            <w:gridSpan w:val="3"/>
          </w:tcPr>
          <w:p>
            <w:pPr>
              <w:spacing w:after="0"/>
              <w:rPr>
                <w:sz w:val="20"/>
                <w:szCs w:val="20"/>
                <w:color w:val="auto"/>
              </w:rPr>
            </w:pPr>
            <w:r>
              <w:rPr>
                <w:rFonts w:ascii="Courier New" w:cs="Courier New" w:eastAsia="Courier New" w:hAnsi="Courier New"/>
                <w:sz w:val="12"/>
                <w:szCs w:val="12"/>
                <w:color w:val="auto"/>
                <w:w w:val="97"/>
              </w:rPr>
              <w:t>number</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weeks</w:t>
            </w:r>
          </w:p>
        </w:tc>
        <w:tc>
          <w:tcPr>
            <w:tcW w:w="60" w:type="dxa"/>
            <w:vAlign w:val="bottom"/>
          </w:tcPr>
          <w:p>
            <w:pPr>
              <w:spacing w:after="0"/>
              <w:rPr>
                <w:sz w:val="12"/>
                <w:szCs w:val="12"/>
                <w:color w:val="auto"/>
              </w:rPr>
            </w:pPr>
          </w:p>
        </w:tc>
        <w:tc>
          <w:tcPr>
            <w:tcW w:w="900" w:type="dxa"/>
            <w:vAlign w:val="bottom"/>
            <w:gridSpan w:val="4"/>
          </w:tcPr>
          <w:p>
            <w:pPr>
              <w:spacing w:after="0"/>
              <w:rPr>
                <w:sz w:val="20"/>
                <w:szCs w:val="20"/>
                <w:color w:val="auto"/>
              </w:rPr>
            </w:pPr>
            <w:r>
              <w:rPr>
                <w:rFonts w:ascii="Courier New" w:cs="Courier New" w:eastAsia="Courier New" w:hAnsi="Courier New"/>
                <w:sz w:val="12"/>
                <w:szCs w:val="12"/>
                <w:color w:val="auto"/>
              </w:rPr>
              <w:t>comprising</w:t>
            </w:r>
          </w:p>
        </w:tc>
        <w:tc>
          <w:tcPr>
            <w:tcW w:w="50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such</w:t>
            </w: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Interest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Period,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rounded-up,</w:t>
            </w:r>
          </w:p>
        </w:tc>
        <w:tc>
          <w:tcPr>
            <w:tcW w:w="38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as</w:t>
            </w:r>
          </w:p>
        </w:tc>
        <w:tc>
          <w:tcPr>
            <w:tcW w:w="80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aforesaid</w:t>
            </w:r>
          </w:p>
        </w:tc>
        <w:tc>
          <w:tcPr>
            <w:tcW w:w="74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(rounded</w:t>
            </w: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upward,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if necessary,</w:t>
            </w:r>
          </w:p>
        </w:tc>
        <w:tc>
          <w:tcPr>
            <w:tcW w:w="156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to the nearest whole</w:t>
            </w:r>
          </w:p>
        </w:tc>
        <w:tc>
          <w:tcPr>
            <w:tcW w:w="14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multiple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6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of  (1)/16%  (one-sixteenth</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of a</w:t>
            </w:r>
          </w:p>
        </w:tc>
        <w:tc>
          <w:tcPr>
            <w:tcW w:w="160" w:type="dxa"/>
            <w:vAlign w:val="bottom"/>
          </w:tcPr>
          <w:p>
            <w:pPr>
              <w:spacing w:after="0"/>
              <w:rPr>
                <w:sz w:val="12"/>
                <w:szCs w:val="12"/>
                <w:color w:val="auto"/>
              </w:rPr>
            </w:pP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w w:val="99"/>
              </w:rPr>
              <w:t>percent)).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In</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60" w:type="dxa"/>
            <w:vAlign w:val="bottom"/>
          </w:tcPr>
          <w:p>
            <w:pPr>
              <w:spacing w:after="0"/>
              <w:rPr>
                <w:sz w:val="12"/>
                <w:szCs w:val="12"/>
                <w:color w:val="auto"/>
              </w:rPr>
            </w:pP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4"/>
              </w:rPr>
              <w:t>event</w:t>
            </w:r>
          </w:p>
        </w:tc>
        <w:tc>
          <w:tcPr>
            <w:tcW w:w="16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that</w:t>
            </w:r>
          </w:p>
        </w:tc>
        <w:tc>
          <w:tcPr>
            <w:tcW w:w="5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the</w:t>
            </w:r>
          </w:p>
        </w:tc>
        <w:tc>
          <w:tcPr>
            <w:tcW w:w="60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Reuters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service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ceases</w:t>
            </w:r>
          </w:p>
        </w:tc>
        <w:tc>
          <w:tcPr>
            <w:tcW w:w="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to</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w w:val="82"/>
              </w:rPr>
              <w:t>be</w:t>
            </w:r>
          </w:p>
        </w:tc>
        <w:tc>
          <w:tcPr>
            <w:tcW w:w="160" w:type="dxa"/>
            <w:vAlign w:val="bottom"/>
          </w:tcPr>
          <w:p>
            <w:pPr>
              <w:spacing w:after="0"/>
              <w:rPr>
                <w:sz w:val="12"/>
                <w:szCs w:val="12"/>
                <w:color w:val="auto"/>
              </w:rPr>
            </w:pPr>
          </w:p>
        </w:tc>
        <w:tc>
          <w:tcPr>
            <w:tcW w:w="80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available,</w:t>
            </w: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the</w:t>
            </w:r>
          </w:p>
        </w:tc>
        <w:tc>
          <w:tcPr>
            <w:tcW w:w="160" w:type="dxa"/>
            <w:vAlign w:val="bottom"/>
          </w:tcPr>
          <w:p>
            <w:pPr>
              <w:spacing w:after="0"/>
              <w:rPr>
                <w:sz w:val="12"/>
                <w:szCs w:val="12"/>
                <w:color w:val="auto"/>
              </w:rPr>
            </w:pPr>
          </w:p>
        </w:tc>
        <w:tc>
          <w:tcPr>
            <w:tcW w:w="440" w:type="dxa"/>
            <w:vAlign w:val="bottom"/>
            <w:gridSpan w:val="3"/>
          </w:tcPr>
          <w:p>
            <w:pPr>
              <w:spacing w:after="0"/>
              <w:rPr>
                <w:sz w:val="20"/>
                <w:szCs w:val="20"/>
                <w:color w:val="auto"/>
              </w:rPr>
            </w:pPr>
            <w:r>
              <w:rPr>
                <w:rFonts w:ascii="Courier New" w:cs="Courier New" w:eastAsia="Courier New" w:hAnsi="Courier New"/>
                <w:sz w:val="12"/>
                <w:szCs w:val="12"/>
                <w:color w:val="auto"/>
              </w:rPr>
              <w:t>Banks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may</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specify</w:t>
            </w:r>
          </w:p>
        </w:tc>
        <w:tc>
          <w:tcPr>
            <w:tcW w:w="60" w:type="dxa"/>
            <w:vAlign w:val="bottom"/>
          </w:tcPr>
          <w:p>
            <w:pPr>
              <w:spacing w:after="0"/>
              <w:rPr>
                <w:sz w:val="12"/>
                <w:szCs w:val="12"/>
                <w:color w:val="auto"/>
              </w:rPr>
            </w:pPr>
          </w:p>
        </w:tc>
        <w:tc>
          <w:tcPr>
            <w:tcW w:w="60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another</w:t>
            </w:r>
          </w:p>
        </w:tc>
        <w:tc>
          <w:tcPr>
            <w:tcW w:w="80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service</w:t>
            </w: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(and the</w:t>
            </w:r>
          </w:p>
        </w:tc>
        <w:tc>
          <w:tcPr>
            <w:tcW w:w="14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relevant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w w:val="97"/>
              </w:rPr>
              <w:t>page</w:t>
            </w:r>
          </w:p>
        </w:tc>
        <w:tc>
          <w:tcPr>
            <w:tcW w:w="72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7"/>
              </w:rPr>
              <w:t>thereof)</w:t>
            </w:r>
          </w:p>
        </w:tc>
        <w:tc>
          <w:tcPr>
            <w:tcW w:w="160" w:type="dxa"/>
            <w:vAlign w:val="bottom"/>
          </w:tcPr>
          <w:p>
            <w:pPr>
              <w:spacing w:after="0"/>
              <w:rPr>
                <w:sz w:val="12"/>
                <w:szCs w:val="12"/>
                <w:color w:val="auto"/>
              </w:rPr>
            </w:pPr>
          </w:p>
        </w:tc>
        <w:tc>
          <w:tcPr>
            <w:tcW w:w="80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displaying</w:t>
            </w:r>
          </w:p>
        </w:tc>
        <w:tc>
          <w:tcPr>
            <w:tcW w:w="4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the</w:t>
            </w:r>
          </w:p>
        </w:tc>
        <w:tc>
          <w:tcPr>
            <w:tcW w:w="90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appropriate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LIBOR rate;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25"/>
        </w:trPr>
        <w:tc>
          <w:tcPr>
            <w:tcW w:w="1100" w:type="dxa"/>
            <w:vAlign w:val="bottom"/>
          </w:tcPr>
          <w:p>
            <w:pPr>
              <w:spacing w:after="0"/>
              <w:rPr>
                <w:sz w:val="24"/>
                <w:szCs w:val="24"/>
                <w:color w:val="auto"/>
              </w:rPr>
            </w:pPr>
          </w:p>
        </w:tc>
        <w:tc>
          <w:tcPr>
            <w:tcW w:w="2580" w:type="dxa"/>
            <w:vAlign w:val="bottom"/>
          </w:tcPr>
          <w:p>
            <w:pPr>
              <w:ind w:left="1620"/>
              <w:spacing w:after="0"/>
              <w:rPr>
                <w:sz w:val="20"/>
                <w:szCs w:val="20"/>
                <w:color w:val="auto"/>
              </w:rPr>
            </w:pPr>
            <w:r>
              <w:rPr>
                <w:rFonts w:ascii="Courier New" w:cs="Courier New" w:eastAsia="Courier New" w:hAnsi="Courier New"/>
                <w:sz w:val="12"/>
                <w:szCs w:val="12"/>
                <w:color w:val="auto"/>
              </w:rPr>
              <w:t>- 31 -</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1.1.95.</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"LLCR"</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rPr>
              <w:t>the</w:t>
            </w:r>
          </w:p>
        </w:tc>
        <w:tc>
          <w:tcPr>
            <w:tcW w:w="38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7"/>
              </w:rPr>
              <w:t>Life</w:t>
            </w:r>
          </w:p>
        </w:tc>
        <w:tc>
          <w:tcPr>
            <w:tcW w:w="300" w:type="dxa"/>
            <w:vAlign w:val="bottom"/>
          </w:tcPr>
          <w:p>
            <w:pPr>
              <w:ind w:left="140"/>
              <w:spacing w:after="0"/>
              <w:rPr>
                <w:sz w:val="20"/>
                <w:szCs w:val="20"/>
                <w:color w:val="auto"/>
              </w:rPr>
            </w:pPr>
            <w:r>
              <w:rPr>
                <w:rFonts w:ascii="Courier New" w:cs="Courier New" w:eastAsia="Courier New" w:hAnsi="Courier New"/>
                <w:sz w:val="12"/>
                <w:szCs w:val="12"/>
                <w:color w:val="auto"/>
                <w:w w:val="96"/>
              </w:rPr>
              <w:t>of</w:t>
            </w:r>
          </w:p>
        </w:tc>
        <w:tc>
          <w:tcPr>
            <w:tcW w:w="5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Loan</w:t>
            </w:r>
          </w:p>
        </w:tc>
        <w:tc>
          <w:tcPr>
            <w:tcW w:w="74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Coverage</w:t>
            </w:r>
          </w:p>
        </w:tc>
        <w:tc>
          <w:tcPr>
            <w:tcW w:w="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Ratio,</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being,</w:t>
            </w:r>
          </w:p>
        </w:tc>
        <w:tc>
          <w:tcPr>
            <w:tcW w:w="6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for any</w:t>
            </w:r>
          </w:p>
        </w:tc>
        <w:tc>
          <w:tcPr>
            <w:tcW w:w="80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Quarter,</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520" w:type="dxa"/>
            <w:vAlign w:val="bottom"/>
            <w:gridSpan w:val="3"/>
          </w:tcPr>
          <w:p>
            <w:pPr>
              <w:ind w:left="160"/>
              <w:spacing w:after="0"/>
              <w:rPr>
                <w:sz w:val="20"/>
                <w:szCs w:val="20"/>
                <w:color w:val="auto"/>
              </w:rPr>
            </w:pPr>
            <w:r>
              <w:rPr>
                <w:rFonts w:ascii="Courier New" w:cs="Courier New" w:eastAsia="Courier New" w:hAnsi="Courier New"/>
                <w:sz w:val="12"/>
                <w:szCs w:val="12"/>
                <w:color w:val="auto"/>
                <w:w w:val="94"/>
              </w:rPr>
              <w:t>ratio</w:t>
            </w: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of 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Net Cash Flow in respect</w:t>
            </w:r>
          </w:p>
        </w:tc>
        <w:tc>
          <w:tcPr>
            <w:tcW w:w="660" w:type="dxa"/>
            <w:vAlign w:val="bottom"/>
            <w:gridSpan w:val="3"/>
          </w:tcPr>
          <w:p>
            <w:pPr>
              <w:ind w:left="160"/>
              <w:spacing w:after="0"/>
              <w:rPr>
                <w:sz w:val="20"/>
                <w:szCs w:val="20"/>
                <w:color w:val="auto"/>
              </w:rPr>
            </w:pPr>
            <w:r>
              <w:rPr>
                <w:rFonts w:ascii="Courier New" w:cs="Courier New" w:eastAsia="Courier New" w:hAnsi="Courier New"/>
                <w:sz w:val="12"/>
                <w:szCs w:val="12"/>
                <w:color w:val="auto"/>
                <w:w w:val="95"/>
              </w:rPr>
              <w:t>of such</w:t>
            </w:r>
          </w:p>
        </w:tc>
        <w:tc>
          <w:tcPr>
            <w:tcW w:w="160" w:type="dxa"/>
            <w:vAlign w:val="bottom"/>
          </w:tcPr>
          <w:p>
            <w:pPr>
              <w:spacing w:after="0"/>
              <w:rPr>
                <w:sz w:val="12"/>
                <w:szCs w:val="12"/>
                <w:color w:val="auto"/>
              </w:rPr>
            </w:pP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w w:val="99"/>
              </w:rPr>
              <w:t>Quarter to</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00" w:type="dxa"/>
            <w:vAlign w:val="bottom"/>
            <w:gridSpan w:val="11"/>
          </w:tcPr>
          <w:p>
            <w:pPr>
              <w:ind w:left="80"/>
              <w:spacing w:after="0"/>
              <w:rPr>
                <w:sz w:val="20"/>
                <w:szCs w:val="20"/>
                <w:color w:val="auto"/>
              </w:rPr>
            </w:pPr>
            <w:r>
              <w:rPr>
                <w:rFonts w:ascii="Courier New" w:cs="Courier New" w:eastAsia="Courier New" w:hAnsi="Courier New"/>
                <w:sz w:val="12"/>
                <w:szCs w:val="12"/>
                <w:color w:val="auto"/>
              </w:rPr>
              <w:t>the Total Debt for such Quarter;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1.1.96.</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"LOANS"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6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at any</w:t>
            </w:r>
          </w:p>
        </w:tc>
        <w:tc>
          <w:tcPr>
            <w:tcW w:w="16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Courier New" w:cs="Courier New" w:eastAsia="Courier New" w:hAnsi="Courier New"/>
                <w:sz w:val="12"/>
                <w:szCs w:val="12"/>
                <w:color w:val="auto"/>
              </w:rPr>
              <w:t>time,  the loans</w:t>
            </w:r>
          </w:p>
        </w:tc>
        <w:tc>
          <w:tcPr>
            <w:tcW w:w="600" w:type="dxa"/>
            <w:vAlign w:val="bottom"/>
            <w:gridSpan w:val="4"/>
          </w:tcPr>
          <w:p>
            <w:pPr>
              <w:jc w:val="right"/>
              <w:ind w:right="79"/>
              <w:spacing w:after="0"/>
              <w:rPr>
                <w:sz w:val="20"/>
                <w:szCs w:val="20"/>
                <w:color w:val="auto"/>
              </w:rPr>
            </w:pPr>
            <w:r>
              <w:rPr>
                <w:rFonts w:ascii="Courier New" w:cs="Courier New" w:eastAsia="Courier New" w:hAnsi="Courier New"/>
                <w:sz w:val="12"/>
                <w:szCs w:val="12"/>
                <w:color w:val="auto"/>
              </w:rPr>
              <w:t>which</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were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granted</w:t>
            </w:r>
          </w:p>
        </w:tc>
        <w:tc>
          <w:tcPr>
            <w:tcW w:w="60" w:type="dxa"/>
            <w:vAlign w:val="bottom"/>
          </w:tcPr>
          <w:p>
            <w:pPr>
              <w:spacing w:after="0"/>
              <w:rPr>
                <w:sz w:val="12"/>
                <w:szCs w:val="12"/>
                <w:color w:val="auto"/>
              </w:rPr>
            </w:pP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4"/>
              </w:rPr>
              <w:t>under</w:t>
            </w:r>
          </w:p>
        </w:tc>
        <w:tc>
          <w:tcPr>
            <w:tcW w:w="16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this</w:t>
            </w:r>
          </w:p>
        </w:tc>
        <w:tc>
          <w:tcPr>
            <w:tcW w:w="94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Agreement</w:t>
            </w:r>
          </w:p>
        </w:tc>
        <w:tc>
          <w:tcPr>
            <w:tcW w:w="3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w w:val="92"/>
              </w:rPr>
              <w:t>or,</w:t>
            </w:r>
          </w:p>
        </w:tc>
        <w:tc>
          <w:tcPr>
            <w:tcW w:w="80" w:type="dxa"/>
            <w:vAlign w:val="bottom"/>
          </w:tcPr>
          <w:p>
            <w:pPr>
              <w:spacing w:after="0"/>
              <w:rPr>
                <w:sz w:val="12"/>
                <w:szCs w:val="12"/>
                <w:color w:val="auto"/>
              </w:rPr>
            </w:pPr>
          </w:p>
        </w:tc>
        <w:tc>
          <w:tcPr>
            <w:tcW w:w="2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as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6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case may be, the aggregate</w:t>
            </w:r>
          </w:p>
        </w:tc>
        <w:tc>
          <w:tcPr>
            <w:tcW w:w="74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principal</w:t>
            </w: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amount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of any such loan</w:t>
            </w:r>
          </w:p>
        </w:tc>
        <w:tc>
          <w:tcPr>
            <w:tcW w:w="102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outstanding</w:t>
            </w:r>
          </w:p>
        </w:tc>
        <w:tc>
          <w:tcPr>
            <w:tcW w:w="60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9"/>
              </w:rPr>
              <w:t>at such</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time,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it being</w:t>
            </w:r>
          </w:p>
        </w:tc>
        <w:tc>
          <w:tcPr>
            <w:tcW w:w="90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recorded</w:t>
            </w:r>
          </w:p>
        </w:tc>
        <w:tc>
          <w:tcPr>
            <w:tcW w:w="1840" w:type="dxa"/>
            <w:vAlign w:val="bottom"/>
            <w:gridSpan w:val="9"/>
          </w:tcPr>
          <w:p>
            <w:pPr>
              <w:spacing w:after="0"/>
              <w:rPr>
                <w:sz w:val="20"/>
                <w:szCs w:val="20"/>
                <w:color w:val="auto"/>
              </w:rPr>
            </w:pPr>
            <w:r>
              <w:rPr>
                <w:rFonts w:ascii="Courier New" w:cs="Courier New" w:eastAsia="Courier New" w:hAnsi="Courier New"/>
                <w:sz w:val="12"/>
                <w:szCs w:val="12"/>
                <w:color w:val="auto"/>
              </w:rPr>
              <w:t>that, as at the Amendment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Closing</w:t>
            </w:r>
          </w:p>
        </w:tc>
        <w:tc>
          <w:tcPr>
            <w:tcW w:w="60" w:type="dxa"/>
            <w:vAlign w:val="bottom"/>
          </w:tcPr>
          <w:p>
            <w:pPr>
              <w:spacing w:after="0"/>
              <w:rPr>
                <w:sz w:val="12"/>
                <w:szCs w:val="12"/>
                <w:color w:val="auto"/>
              </w:rPr>
            </w:pPr>
          </w:p>
        </w:tc>
        <w:tc>
          <w:tcPr>
            <w:tcW w:w="60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Date,</w:t>
            </w:r>
          </w:p>
        </w:tc>
        <w:tc>
          <w:tcPr>
            <w:tcW w:w="58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the</w:t>
            </w: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8"/>
              </w:rPr>
              <w:t>aggregate</w:t>
            </w:r>
          </w:p>
        </w:tc>
        <w:tc>
          <w:tcPr>
            <w:tcW w:w="160" w:type="dxa"/>
            <w:vAlign w:val="bottom"/>
          </w:tcPr>
          <w:p>
            <w:pPr>
              <w:spacing w:after="0"/>
              <w:rPr>
                <w:sz w:val="12"/>
                <w:szCs w:val="12"/>
                <w:color w:val="auto"/>
              </w:rPr>
            </w:pPr>
          </w:p>
        </w:tc>
        <w:tc>
          <w:tcPr>
            <w:tcW w:w="7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principal</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amount</w:t>
            </w:r>
          </w:p>
        </w:tc>
        <w:tc>
          <w:tcPr>
            <w:tcW w:w="60" w:type="dxa"/>
            <w:vAlign w:val="bottom"/>
          </w:tcPr>
          <w:p>
            <w:pPr>
              <w:spacing w:after="0"/>
              <w:rPr>
                <w:sz w:val="12"/>
                <w:szCs w:val="12"/>
                <w:color w:val="auto"/>
              </w:rPr>
            </w:pPr>
          </w:p>
        </w:tc>
        <w:tc>
          <w:tcPr>
            <w:tcW w:w="90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(excluding,</w:t>
            </w:r>
          </w:p>
        </w:tc>
        <w:tc>
          <w:tcPr>
            <w:tcW w:w="50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for</w:t>
            </w: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the</w:t>
            </w:r>
          </w:p>
        </w:tc>
        <w:tc>
          <w:tcPr>
            <w:tcW w:w="6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removal</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doubt,</w:t>
            </w:r>
          </w:p>
        </w:tc>
        <w:tc>
          <w:tcPr>
            <w:tcW w:w="60" w:type="dxa"/>
            <w:vAlign w:val="bottom"/>
          </w:tcPr>
          <w:p>
            <w:pPr>
              <w:spacing w:after="0"/>
              <w:rPr>
                <w:sz w:val="12"/>
                <w:szCs w:val="12"/>
                <w:color w:val="auto"/>
              </w:rPr>
            </w:pPr>
          </w:p>
        </w:tc>
        <w:tc>
          <w:tcPr>
            <w:tcW w:w="60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accrued</w:t>
            </w:r>
          </w:p>
        </w:tc>
        <w:tc>
          <w:tcPr>
            <w:tcW w:w="800" w:type="dxa"/>
            <w:vAlign w:val="bottom"/>
            <w:gridSpan w:val="3"/>
          </w:tcPr>
          <w:p>
            <w:pPr>
              <w:ind w:left="220"/>
              <w:spacing w:after="0"/>
              <w:rPr>
                <w:sz w:val="20"/>
                <w:szCs w:val="20"/>
                <w:color w:val="auto"/>
              </w:rPr>
            </w:pPr>
            <w:r>
              <w:rPr>
                <w:rFonts w:ascii="Courier New" w:cs="Courier New" w:eastAsia="Courier New" w:hAnsi="Courier New"/>
                <w:sz w:val="12"/>
                <w:szCs w:val="12"/>
                <w:color w:val="auto"/>
                <w:w w:val="97"/>
              </w:rPr>
              <w:t>Interest</w:t>
            </w: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and</w:t>
            </w:r>
          </w:p>
        </w:tc>
        <w:tc>
          <w:tcPr>
            <w:tcW w:w="160" w:type="dxa"/>
            <w:vAlign w:val="bottom"/>
          </w:tcPr>
          <w:p>
            <w:pPr>
              <w:spacing w:after="0"/>
              <w:rPr>
                <w:sz w:val="12"/>
                <w:szCs w:val="12"/>
                <w:color w:val="auto"/>
              </w:rPr>
            </w:pPr>
          </w:p>
        </w:tc>
        <w:tc>
          <w:tcPr>
            <w:tcW w:w="220" w:type="dxa"/>
            <w:vAlign w:val="bottom"/>
            <w:gridSpan w:val="2"/>
          </w:tcPr>
          <w:p>
            <w:pPr>
              <w:spacing w:after="0"/>
              <w:rPr>
                <w:sz w:val="20"/>
                <w:szCs w:val="20"/>
                <w:color w:val="auto"/>
              </w:rPr>
            </w:pPr>
            <w:r>
              <w:rPr>
                <w:rFonts w:ascii="Courier New" w:cs="Courier New" w:eastAsia="Courier New" w:hAnsi="Courier New"/>
                <w:sz w:val="12"/>
                <w:szCs w:val="12"/>
                <w:color w:val="auto"/>
                <w:w w:val="92"/>
              </w:rPr>
              <w:t>any</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other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amounts</w:t>
            </w:r>
          </w:p>
        </w:tc>
        <w:tc>
          <w:tcPr>
            <w:tcW w:w="60" w:type="dxa"/>
            <w:vAlign w:val="bottom"/>
          </w:tcPr>
          <w:p>
            <w:pPr>
              <w:spacing w:after="0"/>
              <w:rPr>
                <w:sz w:val="12"/>
                <w:szCs w:val="12"/>
                <w:color w:val="auto"/>
              </w:rPr>
            </w:pPr>
          </w:p>
        </w:tc>
        <w:tc>
          <w:tcPr>
            <w:tcW w:w="1180" w:type="dxa"/>
            <w:vAlign w:val="bottom"/>
            <w:gridSpan w:val="5"/>
          </w:tcPr>
          <w:p>
            <w:pPr>
              <w:ind w:left="80"/>
              <w:spacing w:after="0"/>
              <w:rPr>
                <w:sz w:val="20"/>
                <w:szCs w:val="20"/>
                <w:color w:val="auto"/>
              </w:rPr>
            </w:pPr>
            <w:r>
              <w:rPr>
                <w:rFonts w:ascii="Courier New" w:cs="Courier New" w:eastAsia="Courier New" w:hAnsi="Courier New"/>
                <w:sz w:val="12"/>
                <w:szCs w:val="12"/>
                <w:color w:val="auto"/>
                <w:w w:val="99"/>
              </w:rPr>
              <w:t>owing under the</w:t>
            </w: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Finance</w:t>
            </w:r>
          </w:p>
        </w:tc>
        <w:tc>
          <w:tcPr>
            <w:tcW w:w="160" w:type="dxa"/>
            <w:vAlign w:val="bottom"/>
          </w:tcPr>
          <w:p>
            <w:pPr>
              <w:spacing w:after="0"/>
              <w:rPr>
                <w:sz w:val="12"/>
                <w:szCs w:val="12"/>
                <w:color w:val="auto"/>
              </w:rPr>
            </w:pPr>
          </w:p>
        </w:tc>
        <w:tc>
          <w:tcPr>
            <w:tcW w:w="74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99"/>
              </w:rPr>
              <w:t>Documents)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of</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60" w:type="dxa"/>
            <w:vAlign w:val="bottom"/>
          </w:tcPr>
          <w:p>
            <w:pPr>
              <w:spacing w:after="0"/>
              <w:rPr>
                <w:sz w:val="12"/>
                <w:szCs w:val="12"/>
                <w:color w:val="auto"/>
              </w:rPr>
            </w:pP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4"/>
              </w:rPr>
              <w:t>loans</w:t>
            </w:r>
          </w:p>
        </w:tc>
        <w:tc>
          <w:tcPr>
            <w:tcW w:w="16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rPr>
              <w:t>is</w:t>
            </w:r>
          </w:p>
        </w:tc>
        <w:tc>
          <w:tcPr>
            <w:tcW w:w="1240" w:type="dxa"/>
            <w:vAlign w:val="bottom"/>
            <w:gridSpan w:val="6"/>
          </w:tcPr>
          <w:p>
            <w:pPr>
              <w:ind w:left="60"/>
              <w:spacing w:after="0"/>
              <w:rPr>
                <w:sz w:val="20"/>
                <w:szCs w:val="20"/>
                <w:color w:val="auto"/>
              </w:rPr>
            </w:pPr>
            <w:r>
              <w:rPr>
                <w:rFonts w:ascii="Courier New" w:cs="Courier New" w:eastAsia="Courier New" w:hAnsi="Courier New"/>
                <w:sz w:val="12"/>
                <w:szCs w:val="12"/>
                <w:color w:val="auto"/>
              </w:rPr>
              <w:t>US $368,693,001</w:t>
            </w: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(three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hundred</w:t>
            </w:r>
          </w:p>
        </w:tc>
        <w:tc>
          <w:tcPr>
            <w:tcW w:w="60" w:type="dxa"/>
            <w:vAlign w:val="bottom"/>
          </w:tcPr>
          <w:p>
            <w:pPr>
              <w:spacing w:after="0"/>
              <w:rPr>
                <w:sz w:val="12"/>
                <w:szCs w:val="12"/>
                <w:color w:val="auto"/>
              </w:rPr>
            </w:pPr>
          </w:p>
        </w:tc>
        <w:tc>
          <w:tcPr>
            <w:tcW w:w="4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and</w:t>
            </w:r>
          </w:p>
        </w:tc>
        <w:tc>
          <w:tcPr>
            <w:tcW w:w="16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Courier New" w:cs="Courier New" w:eastAsia="Courier New" w:hAnsi="Courier New"/>
                <w:sz w:val="12"/>
                <w:szCs w:val="12"/>
                <w:color w:val="auto"/>
                <w:w w:val="98"/>
              </w:rPr>
              <w:t>sixty-eight</w:t>
            </w:r>
          </w:p>
        </w:tc>
        <w:tc>
          <w:tcPr>
            <w:tcW w:w="220" w:type="dxa"/>
            <w:vAlign w:val="bottom"/>
          </w:tcPr>
          <w:p>
            <w:pPr>
              <w:spacing w:after="0"/>
              <w:rPr>
                <w:sz w:val="12"/>
                <w:szCs w:val="12"/>
                <w:color w:val="auto"/>
              </w:rPr>
            </w:pPr>
          </w:p>
        </w:tc>
        <w:tc>
          <w:tcPr>
            <w:tcW w:w="82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million,</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six</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6"/>
          </w:tcPr>
          <w:p>
            <w:pPr>
              <w:ind w:left="80"/>
              <w:spacing w:after="0"/>
              <w:rPr>
                <w:sz w:val="20"/>
                <w:szCs w:val="20"/>
                <w:color w:val="auto"/>
              </w:rPr>
            </w:pPr>
            <w:r>
              <w:rPr>
                <w:rFonts w:ascii="Courier New" w:cs="Courier New" w:eastAsia="Courier New" w:hAnsi="Courier New"/>
                <w:sz w:val="12"/>
                <w:szCs w:val="12"/>
                <w:color w:val="auto"/>
              </w:rPr>
              <w:t>hundred  and  ninety-three  thousand  and one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United</w:t>
            </w:r>
          </w:p>
        </w:tc>
        <w:tc>
          <w:tcPr>
            <w:tcW w:w="60" w:type="dxa"/>
            <w:vAlign w:val="bottom"/>
          </w:tcPr>
          <w:p>
            <w:pPr>
              <w:spacing w:after="0"/>
              <w:rPr>
                <w:sz w:val="12"/>
                <w:szCs w:val="12"/>
                <w:color w:val="auto"/>
              </w:rPr>
            </w:pPr>
          </w:p>
        </w:tc>
        <w:tc>
          <w:tcPr>
            <w:tcW w:w="600" w:type="dxa"/>
            <w:vAlign w:val="bottom"/>
            <w:gridSpan w:val="3"/>
          </w:tcPr>
          <w:p>
            <w:pPr>
              <w:ind w:left="160"/>
              <w:spacing w:after="0"/>
              <w:rPr>
                <w:sz w:val="20"/>
                <w:szCs w:val="20"/>
                <w:color w:val="auto"/>
              </w:rPr>
            </w:pPr>
            <w:r>
              <w:rPr>
                <w:rFonts w:ascii="Courier New" w:cs="Courier New" w:eastAsia="Courier New" w:hAnsi="Courier New"/>
                <w:sz w:val="12"/>
                <w:szCs w:val="12"/>
                <w:color w:val="auto"/>
                <w:w w:val="97"/>
              </w:rPr>
              <w:t>States</w:t>
            </w:r>
          </w:p>
        </w:tc>
        <w:tc>
          <w:tcPr>
            <w:tcW w:w="300" w:type="dxa"/>
            <w:vAlign w:val="bottom"/>
          </w:tcPr>
          <w:p>
            <w:pPr>
              <w:spacing w:after="0"/>
              <w:rPr>
                <w:sz w:val="12"/>
                <w:szCs w:val="12"/>
                <w:color w:val="auto"/>
              </w:rPr>
            </w:pPr>
          </w:p>
        </w:tc>
        <w:tc>
          <w:tcPr>
            <w:tcW w:w="720" w:type="dxa"/>
            <w:vAlign w:val="bottom"/>
            <w:gridSpan w:val="3"/>
          </w:tcPr>
          <w:p>
            <w:pPr>
              <w:spacing w:after="0"/>
              <w:rPr>
                <w:sz w:val="20"/>
                <w:szCs w:val="20"/>
                <w:color w:val="auto"/>
              </w:rPr>
            </w:pPr>
            <w:r>
              <w:rPr>
                <w:rFonts w:ascii="Courier New" w:cs="Courier New" w:eastAsia="Courier New" w:hAnsi="Courier New"/>
                <w:sz w:val="12"/>
                <w:szCs w:val="12"/>
                <w:color w:val="auto"/>
              </w:rPr>
              <w:t>Dollars),</w:t>
            </w:r>
          </w:p>
        </w:tc>
        <w:tc>
          <w:tcPr>
            <w:tcW w:w="220" w:type="dxa"/>
            <w:vAlign w:val="bottom"/>
          </w:tcPr>
          <w:p>
            <w:pPr>
              <w:spacing w:after="0"/>
              <w:rPr>
                <w:sz w:val="12"/>
                <w:szCs w:val="12"/>
                <w:color w:val="auto"/>
              </w:rPr>
            </w:pPr>
          </w:p>
        </w:tc>
        <w:tc>
          <w:tcPr>
            <w:tcW w:w="3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of</w:t>
            </w: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which</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6"/>
          </w:tcPr>
          <w:p>
            <w:pPr>
              <w:ind w:left="80"/>
              <w:spacing w:after="0"/>
              <w:rPr>
                <w:sz w:val="20"/>
                <w:szCs w:val="20"/>
                <w:color w:val="auto"/>
              </w:rPr>
            </w:pPr>
            <w:r>
              <w:rPr>
                <w:rFonts w:ascii="Courier New" w:cs="Courier New" w:eastAsia="Courier New" w:hAnsi="Courier New"/>
                <w:sz w:val="12"/>
                <w:szCs w:val="12"/>
                <w:color w:val="auto"/>
              </w:rPr>
              <w:t>US $184,348,255  (one hundred and eighty-four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million,</w:t>
            </w:r>
          </w:p>
        </w:tc>
        <w:tc>
          <w:tcPr>
            <w:tcW w:w="220" w:type="dxa"/>
            <w:vAlign w:val="bottom"/>
          </w:tcPr>
          <w:p>
            <w:pPr>
              <w:spacing w:after="0"/>
              <w:rPr>
                <w:sz w:val="12"/>
                <w:szCs w:val="12"/>
                <w:color w:val="auto"/>
              </w:rPr>
            </w:pPr>
          </w:p>
        </w:tc>
        <w:tc>
          <w:tcPr>
            <w:tcW w:w="2520" w:type="dxa"/>
            <w:vAlign w:val="bottom"/>
            <w:gridSpan w:val="12"/>
          </w:tcPr>
          <w:p>
            <w:pPr>
              <w:spacing w:after="0"/>
              <w:rPr>
                <w:sz w:val="20"/>
                <w:szCs w:val="20"/>
                <w:color w:val="auto"/>
              </w:rPr>
            </w:pPr>
            <w:r>
              <w:rPr>
                <w:rFonts w:ascii="Courier New" w:cs="Courier New" w:eastAsia="Courier New" w:hAnsi="Courier New"/>
                <w:sz w:val="12"/>
                <w:szCs w:val="12"/>
                <w:color w:val="auto"/>
              </w:rPr>
              <w:t>three   hundred  and   forty-eight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thousand,</w:t>
            </w:r>
          </w:p>
        </w:tc>
        <w:tc>
          <w:tcPr>
            <w:tcW w:w="1920" w:type="dxa"/>
            <w:vAlign w:val="bottom"/>
            <w:gridSpan w:val="9"/>
          </w:tcPr>
          <w:p>
            <w:pPr>
              <w:spacing w:after="0"/>
              <w:rPr>
                <w:sz w:val="20"/>
                <w:szCs w:val="20"/>
                <w:color w:val="auto"/>
              </w:rPr>
            </w:pPr>
            <w:r>
              <w:rPr>
                <w:rFonts w:ascii="Courier New" w:cs="Courier New" w:eastAsia="Courier New" w:hAnsi="Courier New"/>
                <w:sz w:val="12"/>
                <w:szCs w:val="12"/>
                <w:color w:val="auto"/>
              </w:rPr>
              <w:t>two hundred and fifty-five</w:t>
            </w: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United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States</w:t>
            </w:r>
          </w:p>
        </w:tc>
        <w:tc>
          <w:tcPr>
            <w:tcW w:w="6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Dollars)</w:t>
            </w:r>
          </w:p>
        </w:tc>
        <w:tc>
          <w:tcPr>
            <w:tcW w:w="80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is owed</w:t>
            </w:r>
          </w:p>
        </w:tc>
        <w:tc>
          <w:tcPr>
            <w:tcW w:w="220" w:type="dxa"/>
            <w:vAlign w:val="bottom"/>
          </w:tcPr>
          <w:p>
            <w:pPr>
              <w:spacing w:after="0"/>
              <w:rPr>
                <w:sz w:val="20"/>
                <w:szCs w:val="20"/>
                <w:color w:val="auto"/>
              </w:rPr>
            </w:pPr>
            <w:r>
              <w:rPr>
                <w:rFonts w:ascii="Courier New" w:cs="Courier New" w:eastAsia="Courier New" w:hAnsi="Courier New"/>
                <w:sz w:val="12"/>
                <w:szCs w:val="12"/>
                <w:color w:val="auto"/>
              </w:rPr>
              <w:t>to</w:t>
            </w:r>
          </w:p>
        </w:tc>
        <w:tc>
          <w:tcPr>
            <w:tcW w:w="38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7"/>
              </w:rPr>
              <w:t>Bank</w:t>
            </w:r>
          </w:p>
        </w:tc>
        <w:tc>
          <w:tcPr>
            <w:tcW w:w="14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Hapoalim</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and</w:t>
            </w:r>
          </w:p>
        </w:tc>
        <w:tc>
          <w:tcPr>
            <w:tcW w:w="1460" w:type="dxa"/>
            <w:vAlign w:val="bottom"/>
            <w:gridSpan w:val="7"/>
          </w:tcPr>
          <w:p>
            <w:pPr>
              <w:ind w:left="140"/>
              <w:spacing w:after="0"/>
              <w:rPr>
                <w:sz w:val="20"/>
                <w:szCs w:val="20"/>
                <w:color w:val="auto"/>
              </w:rPr>
            </w:pPr>
            <w:r>
              <w:rPr>
                <w:rFonts w:ascii="Courier New" w:cs="Courier New" w:eastAsia="Courier New" w:hAnsi="Courier New"/>
                <w:sz w:val="12"/>
                <w:szCs w:val="12"/>
                <w:color w:val="auto"/>
              </w:rPr>
              <w:t>US $184,344,746</w:t>
            </w: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(one</w:t>
            </w:r>
          </w:p>
        </w:tc>
        <w:tc>
          <w:tcPr>
            <w:tcW w:w="82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hundred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8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eighty-four   million,   three</w:t>
            </w:r>
          </w:p>
        </w:tc>
        <w:tc>
          <w:tcPr>
            <w:tcW w:w="220" w:type="dxa"/>
            <w:vAlign w:val="bottom"/>
          </w:tcPr>
          <w:p>
            <w:pPr>
              <w:spacing w:after="0"/>
              <w:rPr>
                <w:sz w:val="12"/>
                <w:szCs w:val="12"/>
                <w:color w:val="auto"/>
              </w:rPr>
            </w:pPr>
          </w:p>
        </w:tc>
        <w:tc>
          <w:tcPr>
            <w:tcW w:w="60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w w:val="99"/>
              </w:rPr>
              <w:t>hundred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8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forty-four   thousand,   seven</w:t>
            </w:r>
          </w:p>
        </w:tc>
        <w:tc>
          <w:tcPr>
            <w:tcW w:w="220" w:type="dxa"/>
            <w:vAlign w:val="bottom"/>
          </w:tcPr>
          <w:p>
            <w:pPr>
              <w:spacing w:after="0"/>
              <w:rPr>
                <w:sz w:val="12"/>
                <w:szCs w:val="12"/>
                <w:color w:val="auto"/>
              </w:rPr>
            </w:pPr>
          </w:p>
        </w:tc>
        <w:tc>
          <w:tcPr>
            <w:tcW w:w="60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w w:val="99"/>
              </w:rPr>
              <w:t>hundred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forty-six</w:t>
            </w:r>
          </w:p>
        </w:tc>
        <w:tc>
          <w:tcPr>
            <w:tcW w:w="960" w:type="dxa"/>
            <w:vAlign w:val="bottom"/>
            <w:gridSpan w:val="4"/>
          </w:tcPr>
          <w:p>
            <w:pPr>
              <w:spacing w:after="0"/>
              <w:rPr>
                <w:sz w:val="20"/>
                <w:szCs w:val="20"/>
                <w:color w:val="auto"/>
              </w:rPr>
            </w:pPr>
            <w:r>
              <w:rPr>
                <w:rFonts w:ascii="Courier New" w:cs="Courier New" w:eastAsia="Courier New" w:hAnsi="Courier New"/>
                <w:sz w:val="12"/>
                <w:szCs w:val="12"/>
                <w:color w:val="auto"/>
              </w:rPr>
              <w:t>United States</w:t>
            </w:r>
          </w:p>
        </w:tc>
        <w:tc>
          <w:tcPr>
            <w:tcW w:w="1560" w:type="dxa"/>
            <w:vAlign w:val="bottom"/>
            <w:gridSpan w:val="8"/>
          </w:tcPr>
          <w:p>
            <w:pPr>
              <w:ind w:left="160"/>
              <w:spacing w:after="0"/>
              <w:rPr>
                <w:sz w:val="20"/>
                <w:szCs w:val="20"/>
                <w:color w:val="auto"/>
              </w:rPr>
            </w:pPr>
            <w:r>
              <w:rPr>
                <w:rFonts w:ascii="Courier New" w:cs="Courier New" w:eastAsia="Courier New" w:hAnsi="Courier New"/>
                <w:sz w:val="12"/>
                <w:szCs w:val="12"/>
                <w:color w:val="auto"/>
              </w:rPr>
              <w:t>Dollars) is owed to</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Bank Leumi;</w:t>
            </w:r>
          </w:p>
        </w:tc>
        <w:tc>
          <w:tcPr>
            <w:tcW w:w="680" w:type="dxa"/>
            <w:vAlign w:val="bottom"/>
            <w:gridSpan w:val="3"/>
          </w:tcPr>
          <w:p>
            <w:pPr>
              <w:ind w:left="160"/>
              <w:spacing w:after="0"/>
              <w:rPr>
                <w:sz w:val="20"/>
                <w:szCs w:val="20"/>
                <w:color w:val="auto"/>
              </w:rPr>
            </w:pPr>
            <w:r>
              <w:rPr>
                <w:rFonts w:ascii="Courier New" w:cs="Courier New" w:eastAsia="Courier New" w:hAnsi="Courier New"/>
                <w:sz w:val="12"/>
                <w:szCs w:val="12"/>
                <w:color w:val="auto"/>
                <w:w w:val="99"/>
              </w:rPr>
              <w:t>"LOANS"</w:t>
            </w:r>
          </w:p>
        </w:tc>
        <w:tc>
          <w:tcPr>
            <w:tcW w:w="72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7"/>
              </w:rPr>
              <w:t>shall be</w:t>
            </w:r>
          </w:p>
        </w:tc>
        <w:tc>
          <w:tcPr>
            <w:tcW w:w="820" w:type="dxa"/>
            <w:vAlign w:val="bottom"/>
            <w:gridSpan w:val="5"/>
          </w:tcPr>
          <w:p>
            <w:pPr>
              <w:ind w:left="160"/>
              <w:spacing w:after="0"/>
              <w:rPr>
                <w:sz w:val="20"/>
                <w:szCs w:val="20"/>
                <w:color w:val="auto"/>
              </w:rPr>
            </w:pPr>
            <w:r>
              <w:rPr>
                <w:rFonts w:ascii="Courier New" w:cs="Courier New" w:eastAsia="Courier New" w:hAnsi="Courier New"/>
                <w:sz w:val="12"/>
                <w:szCs w:val="12"/>
                <w:color w:val="auto"/>
                <w:w w:val="98"/>
              </w:rPr>
              <w:t>construed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to</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00" w:type="dxa"/>
            <w:vAlign w:val="bottom"/>
            <w:gridSpan w:val="11"/>
          </w:tcPr>
          <w:p>
            <w:pPr>
              <w:ind w:left="80"/>
              <w:spacing w:after="0"/>
              <w:rPr>
                <w:sz w:val="20"/>
                <w:szCs w:val="20"/>
                <w:color w:val="auto"/>
              </w:rPr>
            </w:pPr>
            <w:r>
              <w:rPr>
                <w:rFonts w:ascii="Courier New" w:cs="Courier New" w:eastAsia="Courier New" w:hAnsi="Courier New"/>
                <w:sz w:val="12"/>
                <w:szCs w:val="12"/>
                <w:color w:val="auto"/>
              </w:rPr>
              <w:t>mean each of them respectively;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1.1.97.</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1.1.98.</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"MACRONIX"</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2800" w:type="dxa"/>
            <w:vAlign w:val="bottom"/>
            <w:gridSpan w:val="14"/>
          </w:tcPr>
          <w:p>
            <w:pPr>
              <w:spacing w:after="0"/>
              <w:rPr>
                <w:sz w:val="20"/>
                <w:szCs w:val="20"/>
                <w:color w:val="auto"/>
              </w:rPr>
            </w:pPr>
            <w:r>
              <w:rPr>
                <w:rFonts w:ascii="Courier New" w:cs="Courier New" w:eastAsia="Courier New" w:hAnsi="Courier New"/>
                <w:sz w:val="12"/>
                <w:szCs w:val="12"/>
                <w:color w:val="auto"/>
              </w:rPr>
              <w:t>Macronix  International  Co.  Ltd.,  a</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company</w:t>
            </w:r>
          </w:p>
        </w:tc>
        <w:tc>
          <w:tcPr>
            <w:tcW w:w="60" w:type="dxa"/>
            <w:vAlign w:val="bottom"/>
          </w:tcPr>
          <w:p>
            <w:pPr>
              <w:spacing w:after="0"/>
              <w:rPr>
                <w:sz w:val="12"/>
                <w:szCs w:val="12"/>
                <w:color w:val="auto"/>
              </w:rPr>
            </w:pPr>
          </w:p>
        </w:tc>
        <w:tc>
          <w:tcPr>
            <w:tcW w:w="118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incorporated</w:t>
            </w: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4"/>
              </w:rPr>
              <w:t>under</w:t>
            </w:r>
          </w:p>
        </w:tc>
        <w:tc>
          <w:tcPr>
            <w:tcW w:w="380" w:type="dxa"/>
            <w:vAlign w:val="bottom"/>
            <w:gridSpan w:val="2"/>
          </w:tcPr>
          <w:p>
            <w:pPr>
              <w:ind w:left="160"/>
              <w:spacing w:after="0"/>
              <w:rPr>
                <w:sz w:val="20"/>
                <w:szCs w:val="20"/>
                <w:color w:val="auto"/>
              </w:rPr>
            </w:pPr>
            <w:r>
              <w:rPr>
                <w:rFonts w:ascii="Courier New" w:cs="Courier New" w:eastAsia="Courier New" w:hAnsi="Courier New"/>
                <w:sz w:val="12"/>
                <w:szCs w:val="12"/>
                <w:color w:val="auto"/>
                <w:w w:val="92"/>
              </w:rPr>
              <w:t>the</w:t>
            </w:r>
          </w:p>
        </w:tc>
        <w:tc>
          <w:tcPr>
            <w:tcW w:w="140" w:type="dxa"/>
            <w:vAlign w:val="bottom"/>
          </w:tcPr>
          <w:p>
            <w:pPr>
              <w:spacing w:after="0"/>
              <w:rPr>
                <w:sz w:val="12"/>
                <w:szCs w:val="12"/>
                <w:color w:val="auto"/>
              </w:rPr>
            </w:pPr>
          </w:p>
        </w:tc>
        <w:tc>
          <w:tcPr>
            <w:tcW w:w="3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laws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Taiwan;</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25"/>
        </w:trPr>
        <w:tc>
          <w:tcPr>
            <w:tcW w:w="1100" w:type="dxa"/>
            <w:vAlign w:val="bottom"/>
          </w:tcPr>
          <w:p>
            <w:pPr>
              <w:spacing w:after="0"/>
              <w:rPr>
                <w:sz w:val="24"/>
                <w:szCs w:val="24"/>
                <w:color w:val="auto"/>
              </w:rPr>
            </w:pPr>
          </w:p>
        </w:tc>
        <w:tc>
          <w:tcPr>
            <w:tcW w:w="2580" w:type="dxa"/>
            <w:vAlign w:val="bottom"/>
          </w:tcPr>
          <w:p>
            <w:pPr>
              <w:ind w:left="1620"/>
              <w:spacing w:after="0"/>
              <w:rPr>
                <w:sz w:val="20"/>
                <w:szCs w:val="20"/>
                <w:color w:val="auto"/>
              </w:rPr>
            </w:pPr>
            <w:r>
              <w:rPr>
                <w:rFonts w:ascii="Courier New" w:cs="Courier New" w:eastAsia="Courier New" w:hAnsi="Courier New"/>
                <w:sz w:val="12"/>
                <w:szCs w:val="12"/>
                <w:color w:val="auto"/>
              </w:rPr>
              <w:t>- 32 -</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1.1.99.</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1.1.100.</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"MATERIAL ADVERSE</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100" w:type="dxa"/>
            <w:vAlign w:val="bottom"/>
          </w:tcPr>
          <w:p>
            <w:pPr>
              <w:spacing w:after="0"/>
              <w:rPr>
                <w:sz w:val="12"/>
                <w:szCs w:val="12"/>
                <w:color w:val="auto"/>
              </w:rPr>
            </w:pP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EFFECT"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rPr>
              <w:t>any</w:t>
            </w:r>
          </w:p>
        </w:tc>
        <w:tc>
          <w:tcPr>
            <w:tcW w:w="6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effect</w:t>
            </w:r>
          </w:p>
        </w:tc>
        <w:tc>
          <w:tcPr>
            <w:tcW w:w="1100" w:type="dxa"/>
            <w:vAlign w:val="bottom"/>
            <w:gridSpan w:val="5"/>
          </w:tcPr>
          <w:p>
            <w:pPr>
              <w:spacing w:after="0"/>
              <w:rPr>
                <w:sz w:val="20"/>
                <w:szCs w:val="20"/>
                <w:color w:val="auto"/>
              </w:rPr>
            </w:pPr>
            <w:r>
              <w:rPr>
                <w:rFonts w:ascii="Courier New" w:cs="Courier New" w:eastAsia="Courier New" w:hAnsi="Courier New"/>
                <w:sz w:val="12"/>
                <w:szCs w:val="12"/>
                <w:color w:val="auto"/>
              </w:rPr>
              <w:t>which is or is</w:t>
            </w:r>
          </w:p>
        </w:tc>
        <w:tc>
          <w:tcPr>
            <w:tcW w:w="7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likely to</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be materially</w:t>
            </w: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adverse to:</w:t>
            </w:r>
          </w:p>
        </w:tc>
        <w:tc>
          <w:tcPr>
            <w:tcW w:w="60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(a) the</w:t>
            </w:r>
          </w:p>
        </w:tc>
        <w:tc>
          <w:tcPr>
            <w:tcW w:w="14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business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or</w:t>
            </w:r>
          </w:p>
        </w:tc>
        <w:tc>
          <w:tcPr>
            <w:tcW w:w="720" w:type="dxa"/>
            <w:vAlign w:val="bottom"/>
            <w:gridSpan w:val="4"/>
          </w:tcPr>
          <w:p>
            <w:pPr>
              <w:spacing w:after="0"/>
              <w:rPr>
                <w:sz w:val="20"/>
                <w:szCs w:val="20"/>
                <w:color w:val="auto"/>
              </w:rPr>
            </w:pPr>
            <w:r>
              <w:rPr>
                <w:rFonts w:ascii="Courier New" w:cs="Courier New" w:eastAsia="Courier New" w:hAnsi="Courier New"/>
                <w:sz w:val="12"/>
                <w:szCs w:val="12"/>
                <w:color w:val="auto"/>
              </w:rPr>
              <w:t>financial</w:t>
            </w:r>
          </w:p>
        </w:tc>
        <w:tc>
          <w:tcPr>
            <w:tcW w:w="16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Courier New" w:cs="Courier New" w:eastAsia="Courier New" w:hAnsi="Courier New"/>
                <w:sz w:val="12"/>
                <w:szCs w:val="12"/>
                <w:color w:val="auto"/>
              </w:rPr>
              <w:t>condition</w:t>
            </w: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of</w:t>
            </w:r>
          </w:p>
        </w:tc>
        <w:tc>
          <w:tcPr>
            <w:tcW w:w="3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the</w:t>
            </w:r>
          </w:p>
        </w:tc>
        <w:tc>
          <w:tcPr>
            <w:tcW w:w="7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Borrower;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(b) the</w:t>
            </w:r>
          </w:p>
        </w:tc>
        <w:tc>
          <w:tcPr>
            <w:tcW w:w="60" w:type="dxa"/>
            <w:vAlign w:val="bottom"/>
          </w:tcPr>
          <w:p>
            <w:pPr>
              <w:spacing w:after="0"/>
              <w:rPr>
                <w:sz w:val="12"/>
                <w:szCs w:val="12"/>
                <w:color w:val="auto"/>
              </w:rPr>
            </w:pPr>
          </w:p>
        </w:tc>
        <w:tc>
          <w:tcPr>
            <w:tcW w:w="90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successful</w:t>
            </w:r>
          </w:p>
        </w:tc>
        <w:tc>
          <w:tcPr>
            <w:tcW w:w="1240" w:type="dxa"/>
            <w:vAlign w:val="bottom"/>
            <w:gridSpan w:val="6"/>
          </w:tcPr>
          <w:p>
            <w:pPr>
              <w:ind w:left="140"/>
              <w:spacing w:after="0"/>
              <w:rPr>
                <w:sz w:val="20"/>
                <w:szCs w:val="20"/>
                <w:color w:val="auto"/>
              </w:rPr>
            </w:pPr>
            <w:r>
              <w:rPr>
                <w:rFonts w:ascii="Courier New" w:cs="Courier New" w:eastAsia="Courier New" w:hAnsi="Courier New"/>
                <w:sz w:val="12"/>
                <w:szCs w:val="12"/>
                <w:color w:val="auto"/>
              </w:rPr>
              <w:t>implementation</w:t>
            </w:r>
          </w:p>
        </w:tc>
        <w:tc>
          <w:tcPr>
            <w:tcW w:w="80" w:type="dxa"/>
            <w:vAlign w:val="bottom"/>
          </w:tcPr>
          <w:p>
            <w:pPr>
              <w:spacing w:after="0"/>
              <w:rPr>
                <w:sz w:val="12"/>
                <w:szCs w:val="12"/>
                <w:color w:val="auto"/>
              </w:rPr>
            </w:pPr>
          </w:p>
        </w:tc>
        <w:tc>
          <w:tcPr>
            <w:tcW w:w="2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of</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Project</w:t>
            </w:r>
          </w:p>
        </w:tc>
        <w:tc>
          <w:tcPr>
            <w:tcW w:w="6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w w:val="82"/>
              </w:rPr>
              <w:t>in</w:t>
            </w:r>
          </w:p>
        </w:tc>
        <w:tc>
          <w:tcPr>
            <w:tcW w:w="96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accordance</w:t>
            </w:r>
          </w:p>
        </w:tc>
        <w:tc>
          <w:tcPr>
            <w:tcW w:w="440" w:type="dxa"/>
            <w:vAlign w:val="bottom"/>
            <w:gridSpan w:val="2"/>
          </w:tcPr>
          <w:p>
            <w:pPr>
              <w:ind w:left="160"/>
              <w:spacing w:after="0"/>
              <w:rPr>
                <w:sz w:val="20"/>
                <w:szCs w:val="20"/>
                <w:color w:val="auto"/>
              </w:rPr>
            </w:pPr>
            <w:r>
              <w:rPr>
                <w:rFonts w:ascii="Courier New" w:cs="Courier New" w:eastAsia="Courier New" w:hAnsi="Courier New"/>
                <w:sz w:val="12"/>
                <w:szCs w:val="12"/>
                <w:color w:val="auto"/>
                <w:w w:val="90"/>
              </w:rPr>
              <w:t>with</w:t>
            </w:r>
          </w:p>
        </w:tc>
        <w:tc>
          <w:tcPr>
            <w:tcW w:w="380" w:type="dxa"/>
            <w:vAlign w:val="bottom"/>
            <w:gridSpan w:val="2"/>
          </w:tcPr>
          <w:p>
            <w:pPr>
              <w:ind w:left="160"/>
              <w:spacing w:after="0"/>
              <w:rPr>
                <w:sz w:val="20"/>
                <w:szCs w:val="20"/>
                <w:color w:val="auto"/>
              </w:rPr>
            </w:pPr>
            <w:r>
              <w:rPr>
                <w:rFonts w:ascii="Courier New" w:cs="Courier New" w:eastAsia="Courier New" w:hAnsi="Courier New"/>
                <w:sz w:val="12"/>
                <w:szCs w:val="12"/>
                <w:color w:val="auto"/>
                <w:w w:val="92"/>
              </w:rPr>
              <w:t>the</w:t>
            </w:r>
          </w:p>
        </w:tc>
        <w:tc>
          <w:tcPr>
            <w:tcW w:w="14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Business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Plan;</w:t>
            </w:r>
          </w:p>
        </w:tc>
        <w:tc>
          <w:tcPr>
            <w:tcW w:w="2800" w:type="dxa"/>
            <w:vAlign w:val="bottom"/>
            <w:gridSpan w:val="14"/>
          </w:tcPr>
          <w:p>
            <w:pPr>
              <w:spacing w:after="0"/>
              <w:rPr>
                <w:sz w:val="20"/>
                <w:szCs w:val="20"/>
                <w:color w:val="auto"/>
              </w:rPr>
            </w:pPr>
            <w:r>
              <w:rPr>
                <w:rFonts w:ascii="Courier New" w:cs="Courier New" w:eastAsia="Courier New" w:hAnsi="Courier New"/>
                <w:sz w:val="12"/>
                <w:szCs w:val="12"/>
                <w:color w:val="auto"/>
              </w:rPr>
              <w:t>or (c) the  ability of the Borrower to</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6"/>
          </w:tcPr>
          <w:p>
            <w:pPr>
              <w:ind w:left="80"/>
              <w:spacing w:after="0"/>
              <w:rPr>
                <w:sz w:val="20"/>
                <w:szCs w:val="20"/>
                <w:color w:val="auto"/>
              </w:rPr>
            </w:pPr>
            <w:r>
              <w:rPr>
                <w:rFonts w:ascii="Courier New" w:cs="Courier New" w:eastAsia="Courier New" w:hAnsi="Courier New"/>
                <w:sz w:val="12"/>
                <w:szCs w:val="12"/>
                <w:color w:val="auto"/>
              </w:rPr>
              <w:t>perform  its  obligations  under  any  of 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Finance Documents;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1.1.101.</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"MATERIAL CONTRACTS"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2800" w:type="dxa"/>
            <w:vAlign w:val="bottom"/>
            <w:gridSpan w:val="14"/>
          </w:tcPr>
          <w:p>
            <w:pPr>
              <w:spacing w:after="0"/>
              <w:rPr>
                <w:sz w:val="20"/>
                <w:szCs w:val="20"/>
                <w:color w:val="auto"/>
              </w:rPr>
            </w:pPr>
            <w:r>
              <w:rPr>
                <w:rFonts w:ascii="Courier New" w:cs="Courier New" w:eastAsia="Courier New" w:hAnsi="Courier New"/>
                <w:sz w:val="12"/>
                <w:szCs w:val="12"/>
                <w:color w:val="auto"/>
              </w:rPr>
              <w:t>all  of  the  Contracts  currently  in</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existence as</w:t>
            </w:r>
          </w:p>
        </w:tc>
        <w:tc>
          <w:tcPr>
            <w:tcW w:w="740" w:type="dxa"/>
            <w:vAlign w:val="bottom"/>
            <w:gridSpan w:val="3"/>
          </w:tcPr>
          <w:p>
            <w:pPr>
              <w:spacing w:after="0"/>
              <w:rPr>
                <w:sz w:val="20"/>
                <w:szCs w:val="20"/>
                <w:color w:val="auto"/>
              </w:rPr>
            </w:pPr>
            <w:r>
              <w:rPr>
                <w:rFonts w:ascii="Courier New" w:cs="Courier New" w:eastAsia="Courier New" w:hAnsi="Courier New"/>
                <w:sz w:val="12"/>
                <w:szCs w:val="12"/>
                <w:color w:val="auto"/>
              </w:rPr>
              <w:t>specified</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w w:val="82"/>
              </w:rPr>
              <w:t>in</w:t>
            </w:r>
          </w:p>
        </w:tc>
        <w:tc>
          <w:tcPr>
            <w:tcW w:w="134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SCHEDULE 1.1.101</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hereto or types</w:t>
            </w:r>
          </w:p>
        </w:tc>
        <w:tc>
          <w:tcPr>
            <w:tcW w:w="300" w:type="dxa"/>
            <w:vAlign w:val="bottom"/>
          </w:tcPr>
          <w:p>
            <w:pPr>
              <w:spacing w:after="0"/>
              <w:rPr>
                <w:sz w:val="20"/>
                <w:szCs w:val="20"/>
                <w:color w:val="auto"/>
              </w:rPr>
            </w:pPr>
            <w:r>
              <w:rPr>
                <w:rFonts w:ascii="Courier New" w:cs="Courier New" w:eastAsia="Courier New" w:hAnsi="Courier New"/>
                <w:sz w:val="12"/>
                <w:szCs w:val="12"/>
                <w:color w:val="auto"/>
              </w:rPr>
              <w:t>of</w:t>
            </w:r>
          </w:p>
        </w:tc>
        <w:tc>
          <w:tcPr>
            <w:tcW w:w="720" w:type="dxa"/>
            <w:vAlign w:val="bottom"/>
            <w:gridSpan w:val="3"/>
          </w:tcPr>
          <w:p>
            <w:pPr>
              <w:spacing w:after="0"/>
              <w:rPr>
                <w:sz w:val="20"/>
                <w:szCs w:val="20"/>
                <w:color w:val="auto"/>
              </w:rPr>
            </w:pPr>
            <w:r>
              <w:rPr>
                <w:rFonts w:ascii="Courier New" w:cs="Courier New" w:eastAsia="Courier New" w:hAnsi="Courier New"/>
                <w:sz w:val="12"/>
                <w:szCs w:val="12"/>
                <w:color w:val="auto"/>
              </w:rPr>
              <w:t>Contracts</w:t>
            </w:r>
          </w:p>
        </w:tc>
        <w:tc>
          <w:tcPr>
            <w:tcW w:w="5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to be</w:t>
            </w: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entered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w w:val="97"/>
              </w:rPr>
              <w:t>into</w:t>
            </w:r>
          </w:p>
        </w:tc>
        <w:tc>
          <w:tcPr>
            <w:tcW w:w="28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82"/>
              </w:rPr>
              <w:t>in</w:t>
            </w:r>
          </w:p>
        </w:tc>
        <w:tc>
          <w:tcPr>
            <w:tcW w:w="4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the</w:t>
            </w:r>
          </w:p>
        </w:tc>
        <w:tc>
          <w:tcPr>
            <w:tcW w:w="16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Courier New" w:cs="Courier New" w:eastAsia="Courier New" w:hAnsi="Courier New"/>
                <w:sz w:val="12"/>
                <w:szCs w:val="12"/>
                <w:color w:val="auto"/>
              </w:rPr>
              <w:t>future,</w:t>
            </w:r>
          </w:p>
        </w:tc>
        <w:tc>
          <w:tcPr>
            <w:tcW w:w="4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as</w:t>
            </w:r>
          </w:p>
        </w:tc>
        <w:tc>
          <w:tcPr>
            <w:tcW w:w="82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specified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Schedule 1.1.101 hereto;</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1.1.102.</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"MATERIALS OF</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100" w:type="dxa"/>
            <w:vAlign w:val="bottom"/>
          </w:tcPr>
          <w:p>
            <w:pPr>
              <w:spacing w:after="0"/>
              <w:rPr>
                <w:sz w:val="12"/>
                <w:szCs w:val="12"/>
                <w:color w:val="auto"/>
              </w:rPr>
            </w:pP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ENVIRONMENTAL CONCERN"</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means any</w:t>
            </w:r>
          </w:p>
        </w:tc>
        <w:tc>
          <w:tcPr>
            <w:tcW w:w="680" w:type="dxa"/>
            <w:vAlign w:val="bottom"/>
            <w:gridSpan w:val="3"/>
          </w:tcPr>
          <w:p>
            <w:pPr>
              <w:spacing w:after="0"/>
              <w:rPr>
                <w:sz w:val="20"/>
                <w:szCs w:val="20"/>
                <w:color w:val="auto"/>
              </w:rPr>
            </w:pPr>
            <w:r>
              <w:rPr>
                <w:rFonts w:ascii="Courier New" w:cs="Courier New" w:eastAsia="Courier New" w:hAnsi="Courier New"/>
                <w:sz w:val="12"/>
                <w:szCs w:val="12"/>
                <w:color w:val="auto"/>
              </w:rPr>
              <w:t>hazardous</w:t>
            </w:r>
          </w:p>
        </w:tc>
        <w:tc>
          <w:tcPr>
            <w:tcW w:w="94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chemicals,</w:t>
            </w:r>
          </w:p>
        </w:tc>
        <w:tc>
          <w:tcPr>
            <w:tcW w:w="90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pollutants,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contaminants,</w:t>
            </w:r>
          </w:p>
        </w:tc>
        <w:tc>
          <w:tcPr>
            <w:tcW w:w="140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hazardous wastes,</w:t>
            </w:r>
          </w:p>
        </w:tc>
        <w:tc>
          <w:tcPr>
            <w:tcW w:w="90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radioactive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or</w:t>
            </w:r>
          </w:p>
        </w:tc>
        <w:tc>
          <w:tcPr>
            <w:tcW w:w="1180" w:type="dxa"/>
            <w:vAlign w:val="bottom"/>
            <w:gridSpan w:val="6"/>
          </w:tcPr>
          <w:p>
            <w:pPr>
              <w:spacing w:after="0"/>
              <w:rPr>
                <w:sz w:val="20"/>
                <w:szCs w:val="20"/>
                <w:color w:val="auto"/>
              </w:rPr>
            </w:pPr>
            <w:r>
              <w:rPr>
                <w:rFonts w:ascii="Courier New" w:cs="Courier New" w:eastAsia="Courier New" w:hAnsi="Courier New"/>
                <w:sz w:val="12"/>
                <w:szCs w:val="12"/>
                <w:color w:val="auto"/>
              </w:rPr>
              <w:t>electromagnetic</w:t>
            </w:r>
          </w:p>
        </w:tc>
        <w:tc>
          <w:tcPr>
            <w:tcW w:w="1840" w:type="dxa"/>
            <w:vAlign w:val="bottom"/>
            <w:gridSpan w:val="9"/>
          </w:tcPr>
          <w:p>
            <w:pPr>
              <w:ind w:left="60"/>
              <w:spacing w:after="0"/>
              <w:rPr>
                <w:sz w:val="20"/>
                <w:szCs w:val="20"/>
                <w:color w:val="auto"/>
              </w:rPr>
            </w:pPr>
            <w:r>
              <w:rPr>
                <w:rFonts w:ascii="Courier New" w:cs="Courier New" w:eastAsia="Courier New" w:hAnsi="Courier New"/>
                <w:sz w:val="12"/>
                <w:szCs w:val="12"/>
                <w:color w:val="auto"/>
              </w:rPr>
              <w:t>waste, toxic substances,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hazardous</w:t>
            </w:r>
          </w:p>
        </w:tc>
        <w:tc>
          <w:tcPr>
            <w:tcW w:w="22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Courier New" w:cs="Courier New" w:eastAsia="Courier New" w:hAnsi="Courier New"/>
                <w:sz w:val="12"/>
                <w:szCs w:val="12"/>
                <w:color w:val="auto"/>
                <w:w w:val="99"/>
              </w:rPr>
              <w:t>substances</w:t>
            </w:r>
          </w:p>
        </w:tc>
        <w:tc>
          <w:tcPr>
            <w:tcW w:w="220" w:type="dxa"/>
            <w:vAlign w:val="bottom"/>
          </w:tcPr>
          <w:p>
            <w:pPr>
              <w:spacing w:after="0"/>
              <w:rPr>
                <w:sz w:val="12"/>
                <w:szCs w:val="12"/>
                <w:color w:val="auto"/>
              </w:rPr>
            </w:pP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(as</w:t>
            </w:r>
          </w:p>
        </w:tc>
        <w:tc>
          <w:tcPr>
            <w:tcW w:w="160" w:type="dxa"/>
            <w:vAlign w:val="bottom"/>
          </w:tcPr>
          <w:p>
            <w:pPr>
              <w:spacing w:after="0"/>
              <w:rPr>
                <w:sz w:val="12"/>
                <w:szCs w:val="12"/>
                <w:color w:val="auto"/>
              </w:rPr>
            </w:pPr>
          </w:p>
        </w:tc>
        <w:tc>
          <w:tcPr>
            <w:tcW w:w="74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99"/>
              </w:rPr>
              <w:t>"hazardous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substances"</w:t>
            </w:r>
          </w:p>
        </w:tc>
        <w:tc>
          <w:tcPr>
            <w:tcW w:w="22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Courier New" w:cs="Courier New" w:eastAsia="Courier New" w:hAnsi="Courier New"/>
                <w:sz w:val="12"/>
                <w:szCs w:val="12"/>
                <w:color w:val="auto"/>
                <w:w w:val="96"/>
              </w:rPr>
              <w:t>is</w:t>
            </w:r>
          </w:p>
        </w:tc>
        <w:tc>
          <w:tcPr>
            <w:tcW w:w="80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defined</w:t>
            </w: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under</w:t>
            </w:r>
          </w:p>
        </w:tc>
        <w:tc>
          <w:tcPr>
            <w:tcW w:w="160" w:type="dxa"/>
            <w:vAlign w:val="bottom"/>
          </w:tcPr>
          <w:p>
            <w:pPr>
              <w:spacing w:after="0"/>
              <w:rPr>
                <w:sz w:val="12"/>
                <w:szCs w:val="12"/>
                <w:color w:val="auto"/>
              </w:rPr>
            </w:pPr>
          </w:p>
        </w:tc>
        <w:tc>
          <w:tcPr>
            <w:tcW w:w="74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99"/>
              </w:rPr>
              <w:t>applicable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Environmental</w:t>
            </w: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9"/>
              </w:rPr>
              <w:t>Laws) or any</w:t>
            </w:r>
          </w:p>
        </w:tc>
        <w:tc>
          <w:tcPr>
            <w:tcW w:w="60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other</w:t>
            </w:r>
          </w:p>
        </w:tc>
        <w:tc>
          <w:tcPr>
            <w:tcW w:w="7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substance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defined</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or</w:t>
            </w:r>
          </w:p>
        </w:tc>
        <w:tc>
          <w:tcPr>
            <w:tcW w:w="160" w:type="dxa"/>
            <w:vAlign w:val="bottom"/>
          </w:tcPr>
          <w:p>
            <w:pPr>
              <w:spacing w:after="0"/>
              <w:rPr>
                <w:sz w:val="12"/>
                <w:szCs w:val="12"/>
                <w:color w:val="auto"/>
              </w:rPr>
            </w:pPr>
          </w:p>
        </w:tc>
        <w:tc>
          <w:tcPr>
            <w:tcW w:w="80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regulated</w:t>
            </w:r>
          </w:p>
        </w:tc>
        <w:tc>
          <w:tcPr>
            <w:tcW w:w="220" w:type="dxa"/>
            <w:vAlign w:val="bottom"/>
          </w:tcPr>
          <w:p>
            <w:pPr>
              <w:spacing w:after="0"/>
              <w:rPr>
                <w:sz w:val="12"/>
                <w:szCs w:val="12"/>
                <w:color w:val="auto"/>
              </w:rPr>
            </w:pPr>
          </w:p>
        </w:tc>
        <w:tc>
          <w:tcPr>
            <w:tcW w:w="82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pursuant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to</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Environmental</w:t>
            </w:r>
          </w:p>
        </w:tc>
        <w:tc>
          <w:tcPr>
            <w:tcW w:w="16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Courier New" w:cs="Courier New" w:eastAsia="Courier New" w:hAnsi="Courier New"/>
                <w:sz w:val="12"/>
                <w:szCs w:val="12"/>
                <w:color w:val="auto"/>
              </w:rPr>
              <w:t>Laws,</w:t>
            </w: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8"/>
              </w:rPr>
              <w:t>including</w:t>
            </w:r>
          </w:p>
        </w:tc>
        <w:tc>
          <w:tcPr>
            <w:tcW w:w="160" w:type="dxa"/>
            <w:vAlign w:val="bottom"/>
          </w:tcPr>
          <w:p>
            <w:pPr>
              <w:spacing w:after="0"/>
              <w:rPr>
                <w:sz w:val="12"/>
                <w:szCs w:val="12"/>
                <w:color w:val="auto"/>
              </w:rPr>
            </w:pPr>
          </w:p>
        </w:tc>
        <w:tc>
          <w:tcPr>
            <w:tcW w:w="7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fluoride,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6"/>
          </w:tcPr>
          <w:p>
            <w:pPr>
              <w:ind w:left="80"/>
              <w:spacing w:after="0"/>
              <w:rPr>
                <w:sz w:val="20"/>
                <w:szCs w:val="20"/>
                <w:color w:val="auto"/>
              </w:rPr>
            </w:pPr>
            <w:r>
              <w:rPr>
                <w:rFonts w:ascii="Courier New" w:cs="Courier New" w:eastAsia="Courier New" w:hAnsi="Courier New"/>
                <w:sz w:val="12"/>
                <w:szCs w:val="12"/>
                <w:color w:val="auto"/>
              </w:rPr>
              <w:t>asbestos,   PCBs,   petroleum   or  petroleum</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derived substances;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1.1.103.</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1.1.103A.</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1.1.103B.</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1.1.103C.</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1.1.104.</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1.1.105.</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"NAMED DIRECTORS</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65" w:orient="portrait"/>
          <w:cols w:equalWidth="0" w:num="1">
            <w:col w:w="10239"/>
          </w:cols>
          <w:pgMar w:left="220" w:top="141" w:right="1440" w:bottom="0" w:gutter="0" w:footer="0" w:header="0"/>
        </w:sectPr>
      </w:pPr>
    </w:p>
    <w:bookmarkStart w:id="87" w:name="page88"/>
    <w:bookmarkEnd w:id="87"/>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00" w:type="dxa"/>
            <w:vAlign w:val="bottom"/>
          </w:tcPr>
          <w:p>
            <w:pPr>
              <w:spacing w:after="0"/>
              <w:rPr>
                <w:sz w:val="12"/>
                <w:szCs w:val="12"/>
                <w:color w:val="auto"/>
              </w:rPr>
            </w:pP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AND OFFICERS"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440" w:type="dxa"/>
            <w:vAlign w:val="bottom"/>
            <w:gridSpan w:val="3"/>
          </w:tcPr>
          <w:p>
            <w:pPr>
              <w:spacing w:after="0"/>
              <w:rPr>
                <w:sz w:val="20"/>
                <w:szCs w:val="20"/>
                <w:color w:val="auto"/>
              </w:rPr>
            </w:pPr>
            <w:r>
              <w:rPr>
                <w:rFonts w:ascii="Courier New" w:cs="Courier New" w:eastAsia="Courier New" w:hAnsi="Courier New"/>
                <w:sz w:val="12"/>
                <w:szCs w:val="12"/>
                <w:color w:val="auto"/>
              </w:rPr>
              <w:t>those</w:t>
            </w:r>
          </w:p>
        </w:tc>
        <w:tc>
          <w:tcPr>
            <w:tcW w:w="140" w:type="dxa"/>
            <w:vAlign w:val="bottom"/>
          </w:tcPr>
          <w:p>
            <w:pPr>
              <w:spacing w:after="0"/>
              <w:rPr>
                <w:sz w:val="12"/>
                <w:szCs w:val="12"/>
                <w:color w:val="auto"/>
              </w:rPr>
            </w:pP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w w:val="99"/>
              </w:rPr>
              <w:t>persons</w:t>
            </w:r>
          </w:p>
        </w:tc>
        <w:tc>
          <w:tcPr>
            <w:tcW w:w="8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from</w:t>
            </w:r>
          </w:p>
        </w:tc>
        <w:tc>
          <w:tcPr>
            <w:tcW w:w="140" w:type="dxa"/>
            <w:vAlign w:val="bottom"/>
          </w:tcPr>
          <w:p>
            <w:pPr>
              <w:spacing w:after="0"/>
              <w:rPr>
                <w:sz w:val="12"/>
                <w:szCs w:val="12"/>
                <w:color w:val="auto"/>
              </w:rPr>
            </w:pPr>
          </w:p>
        </w:tc>
        <w:tc>
          <w:tcPr>
            <w:tcW w:w="44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w w:val="97"/>
              </w:rPr>
              <w:t>time</w:t>
            </w:r>
          </w:p>
        </w:tc>
        <w:tc>
          <w:tcPr>
            <w:tcW w:w="300" w:type="dxa"/>
            <w:vAlign w:val="bottom"/>
          </w:tcPr>
          <w:p>
            <w:pPr>
              <w:spacing w:after="0"/>
              <w:rPr>
                <w:sz w:val="20"/>
                <w:szCs w:val="20"/>
                <w:color w:val="auto"/>
              </w:rPr>
            </w:pPr>
            <w:r>
              <w:rPr>
                <w:rFonts w:ascii="Courier New" w:cs="Courier New" w:eastAsia="Courier New" w:hAnsi="Courier New"/>
                <w:sz w:val="12"/>
                <w:szCs w:val="12"/>
                <w:color w:val="auto"/>
              </w:rPr>
              <w:t>to</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time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holding</w:t>
            </w:r>
          </w:p>
        </w:tc>
        <w:tc>
          <w:tcPr>
            <w:tcW w:w="140" w:type="dxa"/>
            <w:vAlign w:val="bottom"/>
          </w:tcPr>
          <w:p>
            <w:pPr>
              <w:spacing w:after="0"/>
              <w:rPr>
                <w:sz w:val="12"/>
                <w:szCs w:val="12"/>
                <w:color w:val="auto"/>
              </w:rPr>
            </w:pPr>
          </w:p>
        </w:tc>
        <w:tc>
          <w:tcPr>
            <w:tcW w:w="1480" w:type="dxa"/>
            <w:vAlign w:val="bottom"/>
            <w:gridSpan w:val="9"/>
          </w:tcPr>
          <w:p>
            <w:pPr>
              <w:spacing w:after="0"/>
              <w:rPr>
                <w:sz w:val="20"/>
                <w:szCs w:val="20"/>
                <w:color w:val="auto"/>
              </w:rPr>
            </w:pPr>
            <w:r>
              <w:rPr>
                <w:rFonts w:ascii="Courier New" w:cs="Courier New" w:eastAsia="Courier New" w:hAnsi="Courier New"/>
                <w:sz w:val="12"/>
                <w:szCs w:val="12"/>
                <w:color w:val="auto"/>
              </w:rPr>
              <w:t>the offices in the</w:t>
            </w:r>
          </w:p>
        </w:tc>
        <w:tc>
          <w:tcPr>
            <w:tcW w:w="58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7"/>
              </w:rPr>
              <w:t>Borrower</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listed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20" w:type="dxa"/>
            <w:vAlign w:val="bottom"/>
            <w:gridSpan w:val="12"/>
          </w:tcPr>
          <w:p>
            <w:pPr>
              <w:ind w:left="80"/>
              <w:spacing w:after="0"/>
              <w:rPr>
                <w:sz w:val="20"/>
                <w:szCs w:val="20"/>
                <w:color w:val="auto"/>
              </w:rPr>
            </w:pPr>
            <w:r>
              <w:rPr>
                <w:rFonts w:ascii="Courier New" w:cs="Courier New" w:eastAsia="Courier New" w:hAnsi="Courier New"/>
                <w:sz w:val="12"/>
                <w:szCs w:val="12"/>
                <w:color w:val="auto"/>
              </w:rPr>
              <w:t>in SCHEDULE 1.1.105 hereto;</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25"/>
        </w:trPr>
        <w:tc>
          <w:tcPr>
            <w:tcW w:w="1100" w:type="dxa"/>
            <w:vAlign w:val="bottom"/>
          </w:tcPr>
          <w:p>
            <w:pPr>
              <w:spacing w:after="0"/>
              <w:rPr>
                <w:sz w:val="24"/>
                <w:szCs w:val="24"/>
                <w:color w:val="auto"/>
              </w:rPr>
            </w:pPr>
          </w:p>
        </w:tc>
        <w:tc>
          <w:tcPr>
            <w:tcW w:w="2580" w:type="dxa"/>
            <w:vAlign w:val="bottom"/>
          </w:tcPr>
          <w:p>
            <w:pPr>
              <w:ind w:left="1620"/>
              <w:spacing w:after="0"/>
              <w:rPr>
                <w:sz w:val="20"/>
                <w:szCs w:val="20"/>
                <w:color w:val="auto"/>
              </w:rPr>
            </w:pPr>
            <w:r>
              <w:rPr>
                <w:rFonts w:ascii="Courier New" w:cs="Courier New" w:eastAsia="Courier New" w:hAnsi="Courier New"/>
                <w:sz w:val="12"/>
                <w:szCs w:val="12"/>
                <w:color w:val="auto"/>
              </w:rPr>
              <w:t>- 33 -</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1.1.106.</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"NET CASH FLOW"</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28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92"/>
              </w:rPr>
              <w:t>for</w:t>
            </w:r>
          </w:p>
        </w:tc>
        <w:tc>
          <w:tcPr>
            <w:tcW w:w="16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rPr>
              <w:t>any</w:t>
            </w:r>
          </w:p>
        </w:tc>
        <w:tc>
          <w:tcPr>
            <w:tcW w:w="600" w:type="dxa"/>
            <w:vAlign w:val="bottom"/>
            <w:gridSpan w:val="4"/>
          </w:tcPr>
          <w:p>
            <w:pPr>
              <w:spacing w:after="0"/>
              <w:rPr>
                <w:sz w:val="20"/>
                <w:szCs w:val="20"/>
                <w:color w:val="auto"/>
              </w:rPr>
            </w:pPr>
            <w:r>
              <w:rPr>
                <w:rFonts w:ascii="Courier New" w:cs="Courier New" w:eastAsia="Courier New" w:hAnsi="Courier New"/>
                <w:sz w:val="12"/>
                <w:szCs w:val="12"/>
                <w:color w:val="auto"/>
              </w:rPr>
              <w:t>Quarter,</w:t>
            </w:r>
          </w:p>
        </w:tc>
        <w:tc>
          <w:tcPr>
            <w:tcW w:w="36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2"/>
              </w:rPr>
              <w:t>the</w:t>
            </w:r>
          </w:p>
        </w:tc>
        <w:tc>
          <w:tcPr>
            <w:tcW w:w="4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net</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present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value</w:t>
            </w:r>
          </w:p>
        </w:tc>
        <w:tc>
          <w:tcPr>
            <w:tcW w:w="800" w:type="dxa"/>
            <w:vAlign w:val="bottom"/>
            <w:gridSpan w:val="5"/>
          </w:tcPr>
          <w:p>
            <w:pPr>
              <w:spacing w:after="0"/>
              <w:rPr>
                <w:sz w:val="20"/>
                <w:szCs w:val="20"/>
                <w:color w:val="auto"/>
              </w:rPr>
            </w:pPr>
            <w:r>
              <w:rPr>
                <w:rFonts w:ascii="Courier New" w:cs="Courier New" w:eastAsia="Courier New" w:hAnsi="Courier New"/>
                <w:sz w:val="12"/>
                <w:szCs w:val="12"/>
                <w:color w:val="auto"/>
              </w:rPr>
              <w:t>as at the</w:t>
            </w:r>
          </w:p>
        </w:tc>
        <w:tc>
          <w:tcPr>
            <w:tcW w:w="300" w:type="dxa"/>
            <w:vAlign w:val="bottom"/>
            <w:gridSpan w:val="2"/>
          </w:tcPr>
          <w:p>
            <w:pPr>
              <w:spacing w:after="0"/>
              <w:rPr>
                <w:sz w:val="20"/>
                <w:szCs w:val="20"/>
                <w:color w:val="auto"/>
              </w:rPr>
            </w:pPr>
            <w:r>
              <w:rPr>
                <w:rFonts w:ascii="Courier New" w:cs="Courier New" w:eastAsia="Courier New" w:hAnsi="Courier New"/>
                <w:sz w:val="12"/>
                <w:szCs w:val="12"/>
                <w:color w:val="auto"/>
                <w:w w:val="97"/>
              </w:rPr>
              <w:t>last</w:t>
            </w:r>
          </w:p>
        </w:tc>
        <w:tc>
          <w:tcPr>
            <w:tcW w:w="80" w:type="dxa"/>
            <w:vAlign w:val="bottom"/>
          </w:tcPr>
          <w:p>
            <w:pPr>
              <w:spacing w:after="0"/>
              <w:rPr>
                <w:sz w:val="12"/>
                <w:szCs w:val="12"/>
                <w:color w:val="auto"/>
              </w:rPr>
            </w:pPr>
          </w:p>
        </w:tc>
        <w:tc>
          <w:tcPr>
            <w:tcW w:w="800" w:type="dxa"/>
            <w:vAlign w:val="bottom"/>
            <w:gridSpan w:val="4"/>
          </w:tcPr>
          <w:p>
            <w:pPr>
              <w:jc w:val="right"/>
              <w:ind w:right="79"/>
              <w:spacing w:after="0"/>
              <w:rPr>
                <w:sz w:val="20"/>
                <w:szCs w:val="20"/>
                <w:color w:val="auto"/>
              </w:rPr>
            </w:pPr>
            <w:r>
              <w:rPr>
                <w:rFonts w:ascii="Courier New" w:cs="Courier New" w:eastAsia="Courier New" w:hAnsi="Courier New"/>
                <w:sz w:val="12"/>
                <w:szCs w:val="12"/>
                <w:color w:val="auto"/>
              </w:rPr>
              <w:t>Business</w:t>
            </w:r>
          </w:p>
        </w:tc>
        <w:tc>
          <w:tcPr>
            <w:tcW w:w="8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Day of such</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Quarter</w:t>
            </w:r>
          </w:p>
        </w:tc>
        <w:tc>
          <w:tcPr>
            <w:tcW w:w="140" w:type="dxa"/>
            <w:vAlign w:val="bottom"/>
          </w:tcPr>
          <w:p>
            <w:pPr>
              <w:spacing w:after="0"/>
              <w:rPr>
                <w:sz w:val="12"/>
                <w:szCs w:val="12"/>
                <w:color w:val="auto"/>
              </w:rPr>
            </w:pPr>
          </w:p>
        </w:tc>
        <w:tc>
          <w:tcPr>
            <w:tcW w:w="2360" w:type="dxa"/>
            <w:vAlign w:val="bottom"/>
            <w:gridSpan w:val="13"/>
          </w:tcPr>
          <w:p>
            <w:pPr>
              <w:spacing w:after="0"/>
              <w:rPr>
                <w:sz w:val="20"/>
                <w:szCs w:val="20"/>
                <w:color w:val="auto"/>
              </w:rPr>
            </w:pPr>
            <w:r>
              <w:rPr>
                <w:rFonts w:ascii="Courier New" w:cs="Courier New" w:eastAsia="Courier New" w:hAnsi="Courier New"/>
                <w:sz w:val="12"/>
                <w:szCs w:val="12"/>
                <w:color w:val="auto"/>
              </w:rPr>
              <w:t>of  the  forecasted  net  cash</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flow</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0" w:type="dxa"/>
            <w:vAlign w:val="bottom"/>
            <w:gridSpan w:val="15"/>
          </w:tcPr>
          <w:p>
            <w:pPr>
              <w:ind w:left="80"/>
              <w:spacing w:after="0"/>
              <w:rPr>
                <w:sz w:val="20"/>
                <w:szCs w:val="20"/>
                <w:color w:val="auto"/>
              </w:rPr>
            </w:pPr>
            <w:r>
              <w:rPr>
                <w:rFonts w:ascii="Courier New" w:cs="Courier New" w:eastAsia="Courier New" w:hAnsi="Courier New"/>
                <w:sz w:val="12"/>
                <w:szCs w:val="12"/>
                <w:color w:val="auto"/>
              </w:rPr>
              <w:t>from  operations  of  the  Borrower</w:t>
            </w:r>
          </w:p>
        </w:tc>
        <w:tc>
          <w:tcPr>
            <w:tcW w:w="300" w:type="dxa"/>
            <w:vAlign w:val="bottom"/>
          </w:tcPr>
          <w:p>
            <w:pPr>
              <w:spacing w:after="0"/>
              <w:rPr>
                <w:sz w:val="20"/>
                <w:szCs w:val="20"/>
                <w:color w:val="auto"/>
              </w:rPr>
            </w:pPr>
            <w:r>
              <w:rPr>
                <w:rFonts w:ascii="Courier New" w:cs="Courier New" w:eastAsia="Courier New" w:hAnsi="Courier New"/>
                <w:sz w:val="12"/>
                <w:szCs w:val="12"/>
                <w:color w:val="auto"/>
              </w:rPr>
              <w:t>for</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period</w:t>
            </w:r>
          </w:p>
        </w:tc>
        <w:tc>
          <w:tcPr>
            <w:tcW w:w="800" w:type="dxa"/>
            <w:vAlign w:val="bottom"/>
            <w:gridSpan w:val="5"/>
          </w:tcPr>
          <w:p>
            <w:pPr>
              <w:ind w:left="60"/>
              <w:spacing w:after="0"/>
              <w:rPr>
                <w:sz w:val="20"/>
                <w:szCs w:val="20"/>
                <w:color w:val="auto"/>
              </w:rPr>
            </w:pPr>
            <w:r>
              <w:rPr>
                <w:rFonts w:ascii="Courier New" w:cs="Courier New" w:eastAsia="Courier New" w:hAnsi="Courier New"/>
                <w:sz w:val="12"/>
                <w:szCs w:val="12"/>
                <w:color w:val="auto"/>
                <w:w w:val="99"/>
              </w:rPr>
              <w:t>commencing</w:t>
            </w:r>
          </w:p>
        </w:tc>
        <w:tc>
          <w:tcPr>
            <w:tcW w:w="960" w:type="dxa"/>
            <w:vAlign w:val="bottom"/>
            <w:gridSpan w:val="6"/>
          </w:tcPr>
          <w:p>
            <w:pPr>
              <w:ind w:left="160"/>
              <w:spacing w:after="0"/>
              <w:rPr>
                <w:sz w:val="20"/>
                <w:szCs w:val="20"/>
                <w:color w:val="auto"/>
              </w:rPr>
            </w:pPr>
            <w:r>
              <w:rPr>
                <w:rFonts w:ascii="Courier New" w:cs="Courier New" w:eastAsia="Courier New" w:hAnsi="Courier New"/>
                <w:sz w:val="12"/>
                <w:szCs w:val="12"/>
                <w:color w:val="auto"/>
                <w:w w:val="98"/>
              </w:rPr>
              <w:t>on the last</w:t>
            </w:r>
          </w:p>
        </w:tc>
        <w:tc>
          <w:tcPr>
            <w:tcW w:w="10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Business Day</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of such</w:t>
            </w:r>
          </w:p>
        </w:tc>
        <w:tc>
          <w:tcPr>
            <w:tcW w:w="140" w:type="dxa"/>
            <w:vAlign w:val="bottom"/>
          </w:tcPr>
          <w:p>
            <w:pPr>
              <w:spacing w:after="0"/>
              <w:rPr>
                <w:sz w:val="12"/>
                <w:szCs w:val="12"/>
                <w:color w:val="auto"/>
              </w:rPr>
            </w:pP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rPr>
              <w:t>Quarter</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ending</w:t>
            </w:r>
          </w:p>
        </w:tc>
        <w:tc>
          <w:tcPr>
            <w:tcW w:w="140" w:type="dxa"/>
            <w:vAlign w:val="bottom"/>
          </w:tcPr>
          <w:p>
            <w:pPr>
              <w:spacing w:after="0"/>
              <w:rPr>
                <w:sz w:val="12"/>
                <w:szCs w:val="12"/>
                <w:color w:val="auto"/>
              </w:rPr>
            </w:pPr>
          </w:p>
        </w:tc>
        <w:tc>
          <w:tcPr>
            <w:tcW w:w="10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two and a half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years</w:t>
            </w:r>
          </w:p>
        </w:tc>
        <w:tc>
          <w:tcPr>
            <w:tcW w:w="2800" w:type="dxa"/>
            <w:vAlign w:val="bottom"/>
            <w:gridSpan w:val="15"/>
          </w:tcPr>
          <w:p>
            <w:pPr>
              <w:spacing w:after="0"/>
              <w:rPr>
                <w:sz w:val="20"/>
                <w:szCs w:val="20"/>
                <w:color w:val="auto"/>
              </w:rPr>
            </w:pPr>
            <w:r>
              <w:rPr>
                <w:rFonts w:ascii="Courier New" w:cs="Courier New" w:eastAsia="Courier New" w:hAnsi="Courier New"/>
                <w:sz w:val="12"/>
                <w:szCs w:val="12"/>
                <w:color w:val="auto"/>
              </w:rPr>
              <w:t>after  the  Final  Maturity  Date,  as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specified</w:t>
            </w:r>
          </w:p>
        </w:tc>
        <w:tc>
          <w:tcPr>
            <w:tcW w:w="14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Courier New" w:cs="Courier New" w:eastAsia="Courier New" w:hAnsi="Courier New"/>
                <w:sz w:val="12"/>
                <w:szCs w:val="12"/>
                <w:color w:val="auto"/>
                <w:w w:val="96"/>
              </w:rPr>
              <w:t>in</w:t>
            </w:r>
          </w:p>
        </w:tc>
        <w:tc>
          <w:tcPr>
            <w:tcW w:w="140" w:type="dxa"/>
            <w:vAlign w:val="bottom"/>
          </w:tcPr>
          <w:p>
            <w:pPr>
              <w:spacing w:after="0"/>
              <w:rPr>
                <w:sz w:val="12"/>
                <w:szCs w:val="12"/>
                <w:color w:val="auto"/>
              </w:rPr>
            </w:pPr>
          </w:p>
        </w:tc>
        <w:tc>
          <w:tcPr>
            <w:tcW w:w="1180" w:type="dxa"/>
            <w:vAlign w:val="bottom"/>
            <w:gridSpan w:val="7"/>
          </w:tcPr>
          <w:p>
            <w:pPr>
              <w:spacing w:after="0"/>
              <w:rPr>
                <w:sz w:val="20"/>
                <w:szCs w:val="20"/>
                <w:color w:val="auto"/>
              </w:rPr>
            </w:pPr>
            <w:r>
              <w:rPr>
                <w:rFonts w:ascii="Courier New" w:cs="Courier New" w:eastAsia="Courier New" w:hAnsi="Courier New"/>
                <w:sz w:val="12"/>
                <w:szCs w:val="12"/>
                <w:color w:val="auto"/>
              </w:rPr>
              <w:t>SCHEDULE 1.1.106</w:t>
            </w:r>
          </w:p>
        </w:tc>
        <w:tc>
          <w:tcPr>
            <w:tcW w:w="22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hereto;</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7"/>
          </w:tcPr>
          <w:p>
            <w:pPr>
              <w:ind w:left="80"/>
              <w:spacing w:after="0"/>
              <w:rPr>
                <w:sz w:val="20"/>
                <w:szCs w:val="20"/>
                <w:color w:val="auto"/>
              </w:rPr>
            </w:pPr>
            <w:r>
              <w:rPr>
                <w:rFonts w:ascii="Courier New" w:cs="Courier New" w:eastAsia="Courier New" w:hAnsi="Courier New"/>
                <w:sz w:val="12"/>
                <w:szCs w:val="12"/>
                <w:color w:val="auto"/>
              </w:rPr>
              <w:t>calculating   the  net   present   value   as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aforesaid,</w:t>
            </w:r>
          </w:p>
        </w:tc>
        <w:tc>
          <w:tcPr>
            <w:tcW w:w="16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rPr>
              <w:t>the</w:t>
            </w:r>
          </w:p>
        </w:tc>
        <w:tc>
          <w:tcPr>
            <w:tcW w:w="820" w:type="dxa"/>
            <w:vAlign w:val="bottom"/>
            <w:gridSpan w:val="5"/>
          </w:tcPr>
          <w:p>
            <w:pPr>
              <w:spacing w:after="0"/>
              <w:rPr>
                <w:sz w:val="20"/>
                <w:szCs w:val="20"/>
                <w:color w:val="auto"/>
              </w:rPr>
            </w:pPr>
            <w:r>
              <w:rPr>
                <w:rFonts w:ascii="Courier New" w:cs="Courier New" w:eastAsia="Courier New" w:hAnsi="Courier New"/>
                <w:sz w:val="12"/>
                <w:szCs w:val="12"/>
                <w:color w:val="auto"/>
              </w:rPr>
              <w:t>applicable</w:t>
            </w:r>
          </w:p>
        </w:tc>
        <w:tc>
          <w:tcPr>
            <w:tcW w:w="14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Courier New" w:cs="Courier New" w:eastAsia="Courier New" w:hAnsi="Courier New"/>
                <w:sz w:val="12"/>
                <w:szCs w:val="12"/>
                <w:color w:val="auto"/>
              </w:rPr>
              <w:t>discount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rate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shall</w:t>
            </w:r>
          </w:p>
        </w:tc>
        <w:tc>
          <w:tcPr>
            <w:tcW w:w="140" w:type="dxa"/>
            <w:vAlign w:val="bottom"/>
          </w:tcPr>
          <w:p>
            <w:pPr>
              <w:spacing w:after="0"/>
              <w:rPr>
                <w:sz w:val="20"/>
                <w:szCs w:val="20"/>
                <w:color w:val="auto"/>
              </w:rPr>
            </w:pPr>
            <w:r>
              <w:rPr>
                <w:rFonts w:ascii="Courier New" w:cs="Courier New" w:eastAsia="Courier New" w:hAnsi="Courier New"/>
                <w:sz w:val="12"/>
                <w:szCs w:val="12"/>
                <w:color w:val="auto"/>
                <w:w w:val="82"/>
              </w:rPr>
              <w:t>be</w:t>
            </w:r>
          </w:p>
        </w:tc>
        <w:tc>
          <w:tcPr>
            <w:tcW w:w="140" w:type="dxa"/>
            <w:vAlign w:val="bottom"/>
          </w:tcPr>
          <w:p>
            <w:pPr>
              <w:spacing w:after="0"/>
              <w:rPr>
                <w:sz w:val="12"/>
                <w:szCs w:val="12"/>
                <w:color w:val="auto"/>
              </w:rPr>
            </w:pP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rPr>
              <w:t>LIBOR</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for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US Dollars</w:t>
            </w:r>
          </w:p>
        </w:tc>
        <w:tc>
          <w:tcPr>
            <w:tcW w:w="22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rPr>
              <w:t>for</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aforesaid</w:t>
            </w:r>
          </w:p>
        </w:tc>
        <w:tc>
          <w:tcPr>
            <w:tcW w:w="140" w:type="dxa"/>
            <w:vAlign w:val="bottom"/>
          </w:tcPr>
          <w:p>
            <w:pPr>
              <w:spacing w:after="0"/>
              <w:rPr>
                <w:sz w:val="12"/>
                <w:szCs w:val="12"/>
                <w:color w:val="auto"/>
              </w:rPr>
            </w:pP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w w:val="99"/>
              </w:rPr>
              <w:t>period,</w:t>
            </w:r>
          </w:p>
        </w:tc>
        <w:tc>
          <w:tcPr>
            <w:tcW w:w="1180" w:type="dxa"/>
            <w:vAlign w:val="bottom"/>
            <w:gridSpan w:val="7"/>
          </w:tcPr>
          <w:p>
            <w:pPr>
              <w:ind w:left="160"/>
              <w:spacing w:after="0"/>
              <w:rPr>
                <w:sz w:val="20"/>
                <w:szCs w:val="20"/>
                <w:color w:val="auto"/>
              </w:rPr>
            </w:pPr>
            <w:r>
              <w:rPr>
                <w:rFonts w:ascii="Courier New" w:cs="Courier New" w:eastAsia="Courier New" w:hAnsi="Courier New"/>
                <w:sz w:val="12"/>
                <w:szCs w:val="12"/>
                <w:color w:val="auto"/>
                <w:w w:val="99"/>
              </w:rPr>
              <w:t>plus 1.1% (one</w:t>
            </w:r>
          </w:p>
        </w:tc>
        <w:tc>
          <w:tcPr>
            <w:tcW w:w="8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point one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percent) per annum;</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1.1.107.</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"NET PROCEEDS"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means the</w:t>
            </w:r>
          </w:p>
        </w:tc>
        <w:tc>
          <w:tcPr>
            <w:tcW w:w="140" w:type="dxa"/>
            <w:vAlign w:val="bottom"/>
          </w:tcPr>
          <w:p>
            <w:pPr>
              <w:spacing w:after="0"/>
              <w:rPr>
                <w:sz w:val="24"/>
                <w:szCs w:val="24"/>
                <w:color w:val="auto"/>
              </w:rPr>
            </w:pP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aggregate</w:t>
            </w:r>
          </w:p>
        </w:tc>
        <w:tc>
          <w:tcPr>
            <w:tcW w:w="80" w:type="dxa"/>
            <w:vAlign w:val="bottom"/>
          </w:tcPr>
          <w:p>
            <w:pPr>
              <w:spacing w:after="0"/>
              <w:rPr>
                <w:sz w:val="24"/>
                <w:szCs w:val="24"/>
                <w:color w:val="auto"/>
              </w:rPr>
            </w:pPr>
          </w:p>
        </w:tc>
        <w:tc>
          <w:tcPr>
            <w:tcW w:w="1100" w:type="dxa"/>
            <w:vAlign w:val="bottom"/>
            <w:gridSpan w:val="6"/>
          </w:tcPr>
          <w:p>
            <w:pPr>
              <w:spacing w:after="0"/>
              <w:rPr>
                <w:sz w:val="20"/>
                <w:szCs w:val="20"/>
                <w:color w:val="auto"/>
              </w:rPr>
            </w:pPr>
            <w:r>
              <w:rPr>
                <w:rFonts w:ascii="Courier New" w:cs="Courier New" w:eastAsia="Courier New" w:hAnsi="Courier New"/>
                <w:sz w:val="12"/>
                <w:szCs w:val="12"/>
                <w:color w:val="auto"/>
              </w:rPr>
              <w:t>consideration</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received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by</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140" w:type="dxa"/>
            <w:vAlign w:val="bottom"/>
          </w:tcPr>
          <w:p>
            <w:pPr>
              <w:spacing w:after="0"/>
              <w:rPr>
                <w:sz w:val="12"/>
                <w:szCs w:val="12"/>
                <w:color w:val="auto"/>
              </w:rPr>
            </w:pPr>
          </w:p>
        </w:tc>
        <w:tc>
          <w:tcPr>
            <w:tcW w:w="2660" w:type="dxa"/>
            <w:vAlign w:val="bottom"/>
            <w:gridSpan w:val="14"/>
          </w:tcPr>
          <w:p>
            <w:pPr>
              <w:jc w:val="right"/>
              <w:spacing w:after="0"/>
              <w:rPr>
                <w:sz w:val="20"/>
                <w:szCs w:val="20"/>
                <w:color w:val="auto"/>
              </w:rPr>
            </w:pPr>
            <w:r>
              <w:rPr>
                <w:rFonts w:ascii="Courier New" w:cs="Courier New" w:eastAsia="Courier New" w:hAnsi="Courier New"/>
                <w:sz w:val="12"/>
                <w:szCs w:val="12"/>
                <w:color w:val="auto"/>
              </w:rPr>
              <w:t>Borrower  in  respect  of  a  sale,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transfer,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97"/>
              </w:rPr>
              <w:t>loan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spacing w:after="0"/>
              <w:rPr>
                <w:sz w:val="20"/>
                <w:szCs w:val="20"/>
                <w:color w:val="auto"/>
              </w:rPr>
            </w:pPr>
            <w:r>
              <w:rPr>
                <w:rFonts w:ascii="Courier New" w:cs="Courier New" w:eastAsia="Courier New" w:hAnsi="Courier New"/>
                <w:sz w:val="12"/>
                <w:szCs w:val="12"/>
                <w:color w:val="auto"/>
              </w:rPr>
              <w:t>or</w:t>
            </w:r>
          </w:p>
        </w:tc>
        <w:tc>
          <w:tcPr>
            <w:tcW w:w="58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other</w:t>
            </w:r>
          </w:p>
        </w:tc>
        <w:tc>
          <w:tcPr>
            <w:tcW w:w="22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disposal</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80" w:type="dxa"/>
            <w:vAlign w:val="bottom"/>
            <w:gridSpan w:val="14"/>
          </w:tcPr>
          <w:p>
            <w:pPr>
              <w:ind w:left="80"/>
              <w:spacing w:after="0"/>
              <w:rPr>
                <w:sz w:val="20"/>
                <w:szCs w:val="20"/>
                <w:color w:val="auto"/>
              </w:rPr>
            </w:pPr>
            <w:r>
              <w:rPr>
                <w:rFonts w:ascii="Courier New" w:cs="Courier New" w:eastAsia="Courier New" w:hAnsi="Courier New"/>
                <w:sz w:val="12"/>
                <w:szCs w:val="12"/>
                <w:color w:val="auto"/>
              </w:rPr>
              <w:t>("disposal") of assets (including</w:t>
            </w:r>
          </w:p>
        </w:tc>
        <w:tc>
          <w:tcPr>
            <w:tcW w:w="8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shares) as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referred</w:t>
            </w:r>
          </w:p>
        </w:tc>
        <w:tc>
          <w:tcPr>
            <w:tcW w:w="44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4"/>
              </w:rPr>
              <w:t>to in</w:t>
            </w:r>
          </w:p>
        </w:tc>
        <w:tc>
          <w:tcPr>
            <w:tcW w:w="104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clause 8.1.5</w:t>
            </w:r>
          </w:p>
        </w:tc>
        <w:tc>
          <w:tcPr>
            <w:tcW w:w="14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below</w:t>
            </w: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by</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Borrower to any third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spacing w:after="0"/>
              <w:rPr>
                <w:sz w:val="20"/>
                <w:szCs w:val="20"/>
                <w:color w:val="auto"/>
              </w:rPr>
            </w:pPr>
            <w:r>
              <w:rPr>
                <w:rFonts w:ascii="Courier New" w:cs="Courier New" w:eastAsia="Courier New" w:hAnsi="Courier New"/>
                <w:sz w:val="12"/>
                <w:szCs w:val="12"/>
                <w:color w:val="auto"/>
                <w:w w:val="98"/>
              </w:rPr>
              <w:t>party after</w:t>
            </w:r>
          </w:p>
        </w:tc>
        <w:tc>
          <w:tcPr>
            <w:tcW w:w="8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deduction</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of:</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(a)</w:t>
            </w:r>
          </w:p>
        </w:tc>
        <w:tc>
          <w:tcPr>
            <w:tcW w:w="220" w:type="dxa"/>
            <w:vAlign w:val="bottom"/>
          </w:tcPr>
          <w:p>
            <w:pPr>
              <w:spacing w:after="0"/>
              <w:rPr>
                <w:sz w:val="24"/>
                <w:szCs w:val="24"/>
                <w:color w:val="auto"/>
              </w:rPr>
            </w:pPr>
          </w:p>
        </w:tc>
        <w:tc>
          <w:tcPr>
            <w:tcW w:w="800" w:type="dxa"/>
            <w:vAlign w:val="bottom"/>
            <w:gridSpan w:val="5"/>
          </w:tcPr>
          <w:p>
            <w:pPr>
              <w:spacing w:after="0"/>
              <w:rPr>
                <w:sz w:val="20"/>
                <w:szCs w:val="20"/>
                <w:color w:val="auto"/>
              </w:rPr>
            </w:pPr>
            <w:r>
              <w:rPr>
                <w:rFonts w:ascii="Courier New" w:cs="Courier New" w:eastAsia="Courier New" w:hAnsi="Courier New"/>
                <w:sz w:val="12"/>
                <w:szCs w:val="12"/>
                <w:color w:val="auto"/>
                <w:w w:val="98"/>
              </w:rPr>
              <w:t>all amounts</w:t>
            </w:r>
          </w:p>
        </w:tc>
        <w:tc>
          <w:tcPr>
            <w:tcW w:w="82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paid or</w:t>
            </w:r>
          </w:p>
        </w:tc>
        <w:tc>
          <w:tcPr>
            <w:tcW w:w="58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7"/>
              </w:rPr>
              <w:t>provided</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for or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9"/>
          </w:tcPr>
          <w:p>
            <w:pPr>
              <w:spacing w:after="0"/>
              <w:rPr>
                <w:sz w:val="20"/>
                <w:szCs w:val="20"/>
                <w:color w:val="auto"/>
              </w:rPr>
            </w:pPr>
            <w:r>
              <w:rPr>
                <w:rFonts w:ascii="Courier New" w:cs="Courier New" w:eastAsia="Courier New" w:hAnsi="Courier New"/>
                <w:sz w:val="12"/>
                <w:szCs w:val="12"/>
                <w:color w:val="auto"/>
              </w:rPr>
              <w:t>on account of Taxes</w:t>
            </w:r>
          </w:p>
        </w:tc>
        <w:tc>
          <w:tcPr>
            <w:tcW w:w="140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applicable to, or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Courier New" w:cs="Courier New" w:eastAsia="Courier New" w:hAnsi="Courier New"/>
                <w:sz w:val="12"/>
                <w:szCs w:val="12"/>
                <w:color w:val="auto"/>
                <w:w w:val="82"/>
              </w:rPr>
              <w:t>to</w:t>
            </w:r>
          </w:p>
        </w:tc>
        <w:tc>
          <w:tcPr>
            <w:tcW w:w="140" w:type="dxa"/>
            <w:vAlign w:val="bottom"/>
          </w:tcPr>
          <w:p>
            <w:pPr>
              <w:spacing w:after="0"/>
              <w:rPr>
                <w:sz w:val="12"/>
                <w:szCs w:val="12"/>
                <w:color w:val="auto"/>
              </w:rPr>
            </w:pPr>
          </w:p>
        </w:tc>
        <w:tc>
          <w:tcPr>
            <w:tcW w:w="300" w:type="dxa"/>
            <w:vAlign w:val="bottom"/>
            <w:gridSpan w:val="2"/>
          </w:tcPr>
          <w:p>
            <w:pPr>
              <w:spacing w:after="0"/>
              <w:rPr>
                <w:sz w:val="20"/>
                <w:szCs w:val="20"/>
                <w:color w:val="auto"/>
              </w:rPr>
            </w:pPr>
            <w:r>
              <w:rPr>
                <w:rFonts w:ascii="Courier New" w:cs="Courier New" w:eastAsia="Courier New" w:hAnsi="Courier New"/>
                <w:sz w:val="12"/>
                <w:szCs w:val="12"/>
                <w:color w:val="auto"/>
              </w:rPr>
              <w:t>any</w:t>
            </w: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gain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spacing w:after="0"/>
              <w:rPr>
                <w:sz w:val="20"/>
                <w:szCs w:val="20"/>
                <w:color w:val="auto"/>
              </w:rPr>
            </w:pPr>
            <w:r>
              <w:rPr>
                <w:rFonts w:ascii="Courier New" w:cs="Courier New" w:eastAsia="Courier New" w:hAnsi="Courier New"/>
                <w:sz w:val="12"/>
                <w:szCs w:val="12"/>
                <w:color w:val="auto"/>
              </w:rPr>
              <w:t>resulting</w:t>
            </w:r>
          </w:p>
        </w:tc>
        <w:tc>
          <w:tcPr>
            <w:tcW w:w="5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from,</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4"/>
          </w:tcPr>
          <w:p>
            <w:pPr>
              <w:spacing w:after="0"/>
              <w:rPr>
                <w:sz w:val="20"/>
                <w:szCs w:val="20"/>
                <w:color w:val="auto"/>
              </w:rPr>
            </w:pPr>
            <w:r>
              <w:rPr>
                <w:rFonts w:ascii="Courier New" w:cs="Courier New" w:eastAsia="Courier New" w:hAnsi="Courier New"/>
                <w:sz w:val="12"/>
                <w:szCs w:val="12"/>
                <w:color w:val="auto"/>
                <w:w w:val="97"/>
              </w:rPr>
              <w:t>disposal</w:t>
            </w: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as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aforesaid</w:t>
            </w:r>
          </w:p>
        </w:tc>
        <w:tc>
          <w:tcPr>
            <w:tcW w:w="22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rPr>
              <w:t>or</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12"/>
          </w:tcPr>
          <w:p>
            <w:pPr>
              <w:spacing w:after="0"/>
              <w:rPr>
                <w:sz w:val="20"/>
                <w:szCs w:val="20"/>
                <w:color w:val="auto"/>
              </w:rPr>
            </w:pPr>
            <w:r>
              <w:rPr>
                <w:rFonts w:ascii="Courier New" w:cs="Courier New" w:eastAsia="Courier New" w:hAnsi="Courier New"/>
                <w:sz w:val="12"/>
                <w:szCs w:val="12"/>
                <w:color w:val="auto"/>
              </w:rPr>
              <w:t>discharge of any liability</w:t>
            </w:r>
          </w:p>
        </w:tc>
        <w:tc>
          <w:tcPr>
            <w:tcW w:w="8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secured on</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9"/>
          </w:tcPr>
          <w:p>
            <w:pPr>
              <w:spacing w:after="0"/>
              <w:rPr>
                <w:sz w:val="20"/>
                <w:szCs w:val="20"/>
                <w:color w:val="auto"/>
              </w:rPr>
            </w:pPr>
            <w:r>
              <w:rPr>
                <w:rFonts w:ascii="Courier New" w:cs="Courier New" w:eastAsia="Courier New" w:hAnsi="Courier New"/>
                <w:sz w:val="12"/>
                <w:szCs w:val="12"/>
                <w:color w:val="auto"/>
              </w:rPr>
              <w:t>the relevant assets</w:t>
            </w:r>
          </w:p>
        </w:tc>
        <w:tc>
          <w:tcPr>
            <w:tcW w:w="140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(including  VAT);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rPr>
              <w:t>and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(b)</w:t>
            </w:r>
          </w:p>
        </w:tc>
        <w:tc>
          <w:tcPr>
            <w:tcW w:w="2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rPr>
              <w:t>all</w:t>
            </w:r>
          </w:p>
        </w:tc>
        <w:tc>
          <w:tcPr>
            <w:tcW w:w="5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costs,</w:t>
            </w:r>
          </w:p>
        </w:tc>
        <w:tc>
          <w:tcPr>
            <w:tcW w:w="60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fees,</w:t>
            </w:r>
          </w:p>
        </w:tc>
        <w:tc>
          <w:tcPr>
            <w:tcW w:w="800" w:type="dxa"/>
            <w:vAlign w:val="bottom"/>
            <w:gridSpan w:val="4"/>
          </w:tcPr>
          <w:p>
            <w:pPr>
              <w:jc w:val="right"/>
              <w:ind w:right="79"/>
              <w:spacing w:after="0"/>
              <w:rPr>
                <w:sz w:val="20"/>
                <w:szCs w:val="20"/>
                <w:color w:val="auto"/>
              </w:rPr>
            </w:pPr>
            <w:r>
              <w:rPr>
                <w:rFonts w:ascii="Courier New" w:cs="Courier New" w:eastAsia="Courier New" w:hAnsi="Courier New"/>
                <w:sz w:val="12"/>
                <w:szCs w:val="12"/>
                <w:color w:val="auto"/>
              </w:rPr>
              <w:t>expenses</w:t>
            </w:r>
          </w:p>
        </w:tc>
        <w:tc>
          <w:tcPr>
            <w:tcW w:w="300" w:type="dxa"/>
            <w:vAlign w:val="bottom"/>
          </w:tcPr>
          <w:p>
            <w:pPr>
              <w:spacing w:after="0"/>
              <w:rPr>
                <w:sz w:val="20"/>
                <w:szCs w:val="20"/>
                <w:color w:val="auto"/>
              </w:rPr>
            </w:pPr>
            <w:r>
              <w:rPr>
                <w:rFonts w:ascii="Courier New" w:cs="Courier New" w:eastAsia="Courier New" w:hAnsi="Courier New"/>
                <w:sz w:val="12"/>
                <w:szCs w:val="12"/>
                <w:color w:val="auto"/>
              </w:rPr>
              <w:t>and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w w:val="90"/>
              </w:rPr>
              <w:t>like</w:t>
            </w:r>
          </w:p>
        </w:tc>
        <w:tc>
          <w:tcPr>
            <w:tcW w:w="160" w:type="dxa"/>
            <w:vAlign w:val="bottom"/>
          </w:tcPr>
          <w:p>
            <w:pPr>
              <w:spacing w:after="0"/>
              <w:rPr>
                <w:sz w:val="12"/>
                <w:szCs w:val="12"/>
                <w:color w:val="auto"/>
              </w:rPr>
            </w:pPr>
          </w:p>
        </w:tc>
        <w:tc>
          <w:tcPr>
            <w:tcW w:w="66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properly</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7"/>
              </w:rPr>
              <w:t>incurred</w:t>
            </w:r>
          </w:p>
        </w:tc>
        <w:tc>
          <w:tcPr>
            <w:tcW w:w="22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rPr>
              <w:t>by</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gridSpan w:val="15"/>
          </w:tcPr>
          <w:p>
            <w:pPr>
              <w:spacing w:after="0"/>
              <w:rPr>
                <w:sz w:val="20"/>
                <w:szCs w:val="20"/>
                <w:color w:val="auto"/>
              </w:rPr>
            </w:pPr>
            <w:r>
              <w:rPr>
                <w:rFonts w:ascii="Courier New" w:cs="Courier New" w:eastAsia="Courier New" w:hAnsi="Courier New"/>
                <w:sz w:val="12"/>
                <w:szCs w:val="12"/>
                <w:color w:val="auto"/>
              </w:rPr>
              <w:t>Borrower in  arranging  and  effecting</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6"/>
          </w:tcPr>
          <w:p>
            <w:pPr>
              <w:spacing w:after="0"/>
              <w:rPr>
                <w:sz w:val="20"/>
                <w:szCs w:val="20"/>
                <w:color w:val="auto"/>
              </w:rPr>
            </w:pPr>
            <w:r>
              <w:rPr>
                <w:rFonts w:ascii="Courier New" w:cs="Courier New" w:eastAsia="Courier New" w:hAnsi="Courier New"/>
                <w:sz w:val="12"/>
                <w:szCs w:val="12"/>
                <w:color w:val="auto"/>
                <w:w w:val="99"/>
              </w:rPr>
              <w:t>such disposal;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1.1.107A.</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1.1.107B.</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1.1.107C.</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25"/>
        </w:trPr>
        <w:tc>
          <w:tcPr>
            <w:tcW w:w="1100" w:type="dxa"/>
            <w:vAlign w:val="bottom"/>
          </w:tcPr>
          <w:p>
            <w:pPr>
              <w:spacing w:after="0"/>
              <w:rPr>
                <w:sz w:val="24"/>
                <w:szCs w:val="24"/>
                <w:color w:val="auto"/>
              </w:rPr>
            </w:pPr>
          </w:p>
        </w:tc>
        <w:tc>
          <w:tcPr>
            <w:tcW w:w="2580" w:type="dxa"/>
            <w:vAlign w:val="bottom"/>
          </w:tcPr>
          <w:p>
            <w:pPr>
              <w:ind w:left="1620"/>
              <w:spacing w:after="0"/>
              <w:rPr>
                <w:sz w:val="20"/>
                <w:szCs w:val="20"/>
                <w:color w:val="auto"/>
              </w:rPr>
            </w:pPr>
            <w:r>
              <w:rPr>
                <w:rFonts w:ascii="Courier New" w:cs="Courier New" w:eastAsia="Courier New" w:hAnsi="Courier New"/>
                <w:sz w:val="12"/>
                <w:szCs w:val="12"/>
                <w:color w:val="auto"/>
              </w:rPr>
              <w:t>- 34 -</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1.1.108.</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"OCS"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means the</w:t>
            </w:r>
          </w:p>
        </w:tc>
        <w:tc>
          <w:tcPr>
            <w:tcW w:w="140" w:type="dxa"/>
            <w:vAlign w:val="bottom"/>
          </w:tcPr>
          <w:p>
            <w:pPr>
              <w:spacing w:after="0"/>
              <w:rPr>
                <w:sz w:val="24"/>
                <w:szCs w:val="24"/>
                <w:color w:val="auto"/>
              </w:rPr>
            </w:pPr>
          </w:p>
        </w:tc>
        <w:tc>
          <w:tcPr>
            <w:tcW w:w="1480" w:type="dxa"/>
            <w:vAlign w:val="bottom"/>
            <w:gridSpan w:val="9"/>
          </w:tcPr>
          <w:p>
            <w:pPr>
              <w:spacing w:after="0"/>
              <w:rPr>
                <w:sz w:val="20"/>
                <w:szCs w:val="20"/>
                <w:color w:val="auto"/>
              </w:rPr>
            </w:pPr>
            <w:r>
              <w:rPr>
                <w:rFonts w:ascii="Courier New" w:cs="Courier New" w:eastAsia="Courier New" w:hAnsi="Courier New"/>
                <w:sz w:val="12"/>
                <w:szCs w:val="12"/>
                <w:color w:val="auto"/>
              </w:rPr>
              <w:t>Office of the Chief</w:t>
            </w: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Scientist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the</w:t>
            </w:r>
          </w:p>
        </w:tc>
        <w:tc>
          <w:tcPr>
            <w:tcW w:w="66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Ministry</w:t>
            </w:r>
          </w:p>
        </w:tc>
        <w:tc>
          <w:tcPr>
            <w:tcW w:w="14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of</w:t>
            </w:r>
          </w:p>
        </w:tc>
        <w:tc>
          <w:tcPr>
            <w:tcW w:w="8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Industry,</w:t>
            </w:r>
          </w:p>
        </w:tc>
        <w:tc>
          <w:tcPr>
            <w:tcW w:w="14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Commerce</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Labour;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1.1.109.</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"ORDER"</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rPr>
              <w:t>any</w:t>
            </w:r>
          </w:p>
        </w:tc>
        <w:tc>
          <w:tcPr>
            <w:tcW w:w="16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rPr>
              <w:t>award,</w:t>
            </w:r>
          </w:p>
        </w:tc>
        <w:tc>
          <w:tcPr>
            <w:tcW w:w="8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w w:val="98"/>
              </w:rPr>
              <w:t>decision,</w:t>
            </w:r>
          </w:p>
        </w:tc>
        <w:tc>
          <w:tcPr>
            <w:tcW w:w="2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injunction,</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judgment,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rPr>
              <w:t>order,</w:t>
            </w:r>
          </w:p>
        </w:tc>
        <w:tc>
          <w:tcPr>
            <w:tcW w:w="80" w:type="dxa"/>
            <w:vAlign w:val="bottom"/>
          </w:tcPr>
          <w:p>
            <w:pPr>
              <w:spacing w:after="0"/>
              <w:rPr>
                <w:sz w:val="12"/>
                <w:szCs w:val="12"/>
                <w:color w:val="auto"/>
              </w:rPr>
            </w:pPr>
          </w:p>
        </w:tc>
        <w:tc>
          <w:tcPr>
            <w:tcW w:w="52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9"/>
              </w:rPr>
              <w:t>ruling,</w:t>
            </w:r>
          </w:p>
        </w:tc>
        <w:tc>
          <w:tcPr>
            <w:tcW w:w="14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subpoena</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verdict</w:t>
            </w:r>
          </w:p>
        </w:tc>
        <w:tc>
          <w:tcPr>
            <w:tcW w:w="140" w:type="dxa"/>
            <w:vAlign w:val="bottom"/>
          </w:tcPr>
          <w:p>
            <w:pPr>
              <w:spacing w:after="0"/>
              <w:rPr>
                <w:sz w:val="12"/>
                <w:szCs w:val="12"/>
                <w:color w:val="auto"/>
              </w:rPr>
            </w:pP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rPr>
              <w:t>entered,</w:t>
            </w:r>
          </w:p>
        </w:tc>
        <w:tc>
          <w:tcPr>
            <w:tcW w:w="60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9"/>
              </w:rPr>
              <w:t>issued,</w:t>
            </w:r>
          </w:p>
        </w:tc>
        <w:tc>
          <w:tcPr>
            <w:tcW w:w="800" w:type="dxa"/>
            <w:vAlign w:val="bottom"/>
            <w:gridSpan w:val="4"/>
          </w:tcPr>
          <w:p>
            <w:pPr>
              <w:jc w:val="right"/>
              <w:ind w:right="79"/>
              <w:spacing w:after="0"/>
              <w:rPr>
                <w:sz w:val="20"/>
                <w:szCs w:val="20"/>
                <w:color w:val="auto"/>
              </w:rPr>
            </w:pPr>
            <w:r>
              <w:rPr>
                <w:rFonts w:ascii="Courier New" w:cs="Courier New" w:eastAsia="Courier New" w:hAnsi="Courier New"/>
                <w:sz w:val="12"/>
                <w:szCs w:val="12"/>
                <w:color w:val="auto"/>
              </w:rPr>
              <w:t>made or</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rendered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by</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any</w:t>
            </w:r>
          </w:p>
        </w:tc>
        <w:tc>
          <w:tcPr>
            <w:tcW w:w="140" w:type="dxa"/>
            <w:vAlign w:val="bottom"/>
          </w:tcPr>
          <w:p>
            <w:pPr>
              <w:spacing w:after="0"/>
              <w:rPr>
                <w:sz w:val="12"/>
                <w:szCs w:val="12"/>
                <w:color w:val="auto"/>
              </w:rPr>
            </w:pPr>
          </w:p>
        </w:tc>
        <w:tc>
          <w:tcPr>
            <w:tcW w:w="440" w:type="dxa"/>
            <w:vAlign w:val="bottom"/>
            <w:gridSpan w:val="3"/>
          </w:tcPr>
          <w:p>
            <w:pPr>
              <w:spacing w:after="0"/>
              <w:rPr>
                <w:sz w:val="20"/>
                <w:szCs w:val="20"/>
                <w:color w:val="auto"/>
              </w:rPr>
            </w:pPr>
            <w:r>
              <w:rPr>
                <w:rFonts w:ascii="Courier New" w:cs="Courier New" w:eastAsia="Courier New" w:hAnsi="Courier New"/>
                <w:sz w:val="12"/>
                <w:szCs w:val="12"/>
                <w:color w:val="auto"/>
                <w:w w:val="97"/>
              </w:rPr>
              <w:t>court,</w:t>
            </w:r>
          </w:p>
        </w:tc>
        <w:tc>
          <w:tcPr>
            <w:tcW w:w="220" w:type="dxa"/>
            <w:vAlign w:val="bottom"/>
          </w:tcPr>
          <w:p>
            <w:pPr>
              <w:spacing w:after="0"/>
              <w:rPr>
                <w:sz w:val="12"/>
                <w:szCs w:val="12"/>
                <w:color w:val="auto"/>
              </w:rPr>
            </w:pPr>
          </w:p>
        </w:tc>
        <w:tc>
          <w:tcPr>
            <w:tcW w:w="1180" w:type="dxa"/>
            <w:vAlign w:val="bottom"/>
            <w:gridSpan w:val="7"/>
          </w:tcPr>
          <w:p>
            <w:pPr>
              <w:spacing w:after="0"/>
              <w:rPr>
                <w:sz w:val="20"/>
                <w:szCs w:val="20"/>
                <w:color w:val="auto"/>
              </w:rPr>
            </w:pPr>
            <w:r>
              <w:rPr>
                <w:rFonts w:ascii="Courier New" w:cs="Courier New" w:eastAsia="Courier New" w:hAnsi="Courier New"/>
                <w:sz w:val="12"/>
                <w:szCs w:val="12"/>
                <w:color w:val="auto"/>
              </w:rPr>
              <w:t>administrative</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agency</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other</w:t>
            </w:r>
          </w:p>
        </w:tc>
        <w:tc>
          <w:tcPr>
            <w:tcW w:w="140" w:type="dxa"/>
            <w:vAlign w:val="bottom"/>
          </w:tcPr>
          <w:p>
            <w:pPr>
              <w:spacing w:after="0"/>
              <w:rPr>
                <w:sz w:val="12"/>
                <w:szCs w:val="12"/>
                <w:color w:val="auto"/>
              </w:rPr>
            </w:pPr>
          </w:p>
        </w:tc>
        <w:tc>
          <w:tcPr>
            <w:tcW w:w="880" w:type="dxa"/>
            <w:vAlign w:val="bottom"/>
            <w:gridSpan w:val="5"/>
          </w:tcPr>
          <w:p>
            <w:pPr>
              <w:spacing w:after="0"/>
              <w:rPr>
                <w:sz w:val="20"/>
                <w:szCs w:val="20"/>
                <w:color w:val="auto"/>
              </w:rPr>
            </w:pPr>
            <w:r>
              <w:rPr>
                <w:rFonts w:ascii="Courier New" w:cs="Courier New" w:eastAsia="Courier New" w:hAnsi="Courier New"/>
                <w:sz w:val="12"/>
                <w:szCs w:val="12"/>
                <w:color w:val="auto"/>
                <w:w w:val="99"/>
              </w:rPr>
              <w:t>Governmental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Body</w:t>
            </w:r>
          </w:p>
        </w:tc>
        <w:tc>
          <w:tcPr>
            <w:tcW w:w="14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w w:val="82"/>
              </w:rPr>
              <w:t>or</w:t>
            </w:r>
          </w:p>
        </w:tc>
        <w:tc>
          <w:tcPr>
            <w:tcW w:w="22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rPr>
              <w:t>by</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any</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arbitrator;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1.1.110.</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"ORDINARY COURSE</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100" w:type="dxa"/>
            <w:vAlign w:val="bottom"/>
          </w:tcPr>
          <w:p>
            <w:pPr>
              <w:spacing w:after="0"/>
              <w:rPr>
                <w:sz w:val="12"/>
                <w:szCs w:val="12"/>
                <w:color w:val="auto"/>
              </w:rPr>
            </w:pP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OF BUSINESS"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an</w:t>
            </w:r>
          </w:p>
        </w:tc>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rPr>
              <w:t>action</w:t>
            </w:r>
          </w:p>
        </w:tc>
        <w:tc>
          <w:tcPr>
            <w:tcW w:w="1340" w:type="dxa"/>
            <w:vAlign w:val="bottom"/>
            <w:gridSpan w:val="8"/>
          </w:tcPr>
          <w:p>
            <w:pPr>
              <w:jc w:val="right"/>
              <w:spacing w:after="0"/>
              <w:rPr>
                <w:sz w:val="20"/>
                <w:szCs w:val="20"/>
                <w:color w:val="auto"/>
              </w:rPr>
            </w:pPr>
            <w:r>
              <w:rPr>
                <w:rFonts w:ascii="Courier New" w:cs="Courier New" w:eastAsia="Courier New" w:hAnsi="Courier New"/>
                <w:sz w:val="12"/>
                <w:szCs w:val="12"/>
                <w:color w:val="auto"/>
              </w:rPr>
              <w:t>taken by a person</w:t>
            </w:r>
          </w:p>
        </w:tc>
        <w:tc>
          <w:tcPr>
            <w:tcW w:w="140" w:type="dxa"/>
            <w:vAlign w:val="bottom"/>
          </w:tcPr>
          <w:p>
            <w:pPr>
              <w:spacing w:after="0"/>
              <w:rPr>
                <w:sz w:val="12"/>
                <w:szCs w:val="12"/>
                <w:color w:val="auto"/>
              </w:rPr>
            </w:pPr>
          </w:p>
        </w:tc>
        <w:tc>
          <w:tcPr>
            <w:tcW w:w="10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will be deemed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to have been</w:t>
            </w:r>
          </w:p>
        </w:tc>
        <w:tc>
          <w:tcPr>
            <w:tcW w:w="960" w:type="dxa"/>
            <w:vAlign w:val="bottom"/>
            <w:gridSpan w:val="6"/>
          </w:tcPr>
          <w:p>
            <w:pPr>
              <w:ind w:left="60"/>
              <w:spacing w:after="0"/>
              <w:rPr>
                <w:sz w:val="20"/>
                <w:szCs w:val="20"/>
                <w:color w:val="auto"/>
              </w:rPr>
            </w:pPr>
            <w:r>
              <w:rPr>
                <w:rFonts w:ascii="Courier New" w:cs="Courier New" w:eastAsia="Courier New" w:hAnsi="Courier New"/>
                <w:sz w:val="12"/>
                <w:szCs w:val="12"/>
                <w:color w:val="auto"/>
              </w:rPr>
              <w:t>taken in the</w:t>
            </w:r>
          </w:p>
        </w:tc>
        <w:tc>
          <w:tcPr>
            <w:tcW w:w="80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8"/>
              </w:rPr>
              <w:t>"Ordinary</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Course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of Business" only if: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(a)</w:t>
            </w:r>
          </w:p>
        </w:tc>
        <w:tc>
          <w:tcPr>
            <w:tcW w:w="2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w w:val="90"/>
              </w:rPr>
              <w:t>such</w:t>
            </w:r>
          </w:p>
        </w:tc>
        <w:tc>
          <w:tcPr>
            <w:tcW w:w="16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rPr>
              <w:t>action</w:t>
            </w:r>
          </w:p>
        </w:tc>
        <w:tc>
          <w:tcPr>
            <w:tcW w:w="160" w:type="dxa"/>
            <w:vAlign w:val="bottom"/>
            <w:gridSpan w:val="2"/>
          </w:tcPr>
          <w:p>
            <w:pPr>
              <w:spacing w:after="0"/>
              <w:rPr>
                <w:sz w:val="20"/>
                <w:szCs w:val="20"/>
                <w:color w:val="auto"/>
              </w:rPr>
            </w:pPr>
            <w:r>
              <w:rPr>
                <w:rFonts w:ascii="Courier New" w:cs="Courier New" w:eastAsia="Courier New" w:hAnsi="Courier New"/>
                <w:sz w:val="12"/>
                <w:szCs w:val="12"/>
                <w:color w:val="auto"/>
                <w:w w:val="96"/>
              </w:rPr>
              <w:t>is</w:t>
            </w:r>
          </w:p>
        </w:tc>
        <w:tc>
          <w:tcPr>
            <w:tcW w:w="1020" w:type="dxa"/>
            <w:vAlign w:val="bottom"/>
            <w:gridSpan w:val="5"/>
          </w:tcPr>
          <w:p>
            <w:pPr>
              <w:jc w:val="right"/>
              <w:ind w:right="79"/>
              <w:spacing w:after="0"/>
              <w:rPr>
                <w:sz w:val="20"/>
                <w:szCs w:val="20"/>
                <w:color w:val="auto"/>
              </w:rPr>
            </w:pPr>
            <w:r>
              <w:rPr>
                <w:rFonts w:ascii="Courier New" w:cs="Courier New" w:eastAsia="Courier New" w:hAnsi="Courier New"/>
                <w:sz w:val="12"/>
                <w:szCs w:val="12"/>
                <w:color w:val="auto"/>
              </w:rPr>
              <w:t>consistent</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with 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w w:val="90"/>
              </w:rPr>
              <w:t>past</w:t>
            </w:r>
          </w:p>
        </w:tc>
        <w:tc>
          <w:tcPr>
            <w:tcW w:w="160" w:type="dxa"/>
            <w:vAlign w:val="bottom"/>
          </w:tcPr>
          <w:p>
            <w:pPr>
              <w:spacing w:after="0"/>
              <w:rPr>
                <w:sz w:val="12"/>
                <w:szCs w:val="12"/>
                <w:color w:val="auto"/>
              </w:rPr>
            </w:pP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w w:val="98"/>
              </w:rPr>
              <w:t>practices</w:t>
            </w:r>
          </w:p>
        </w:tc>
        <w:tc>
          <w:tcPr>
            <w:tcW w:w="80" w:type="dxa"/>
            <w:vAlign w:val="bottom"/>
          </w:tcPr>
          <w:p>
            <w:pPr>
              <w:spacing w:after="0"/>
              <w:rPr>
                <w:sz w:val="12"/>
                <w:szCs w:val="12"/>
                <w:color w:val="auto"/>
              </w:rPr>
            </w:pPr>
          </w:p>
        </w:tc>
        <w:tc>
          <w:tcPr>
            <w:tcW w:w="162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of such person and is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6"/>
          </w:tcPr>
          <w:p>
            <w:pPr>
              <w:spacing w:after="0"/>
              <w:rPr>
                <w:sz w:val="20"/>
                <w:szCs w:val="20"/>
                <w:color w:val="auto"/>
              </w:rPr>
            </w:pPr>
            <w:r>
              <w:rPr>
                <w:rFonts w:ascii="Courier New" w:cs="Courier New" w:eastAsia="Courier New" w:hAnsi="Courier New"/>
                <w:sz w:val="12"/>
                <w:szCs w:val="12"/>
                <w:color w:val="auto"/>
              </w:rPr>
              <w:t>taken in the</w:t>
            </w:r>
          </w:p>
        </w:tc>
        <w:tc>
          <w:tcPr>
            <w:tcW w:w="6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ordinary</w:t>
            </w:r>
          </w:p>
        </w:tc>
        <w:tc>
          <w:tcPr>
            <w:tcW w:w="14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course</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of 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9"/>
          </w:tcPr>
          <w:p>
            <w:pPr>
              <w:spacing w:after="0"/>
              <w:rPr>
                <w:sz w:val="20"/>
                <w:szCs w:val="20"/>
                <w:color w:val="auto"/>
              </w:rPr>
            </w:pPr>
            <w:r>
              <w:rPr>
                <w:rFonts w:ascii="Courier New" w:cs="Courier New" w:eastAsia="Courier New" w:hAnsi="Courier New"/>
                <w:sz w:val="12"/>
                <w:szCs w:val="12"/>
                <w:color w:val="auto"/>
              </w:rPr>
              <w:t>normal  day-to-day</w:t>
            </w:r>
          </w:p>
        </w:tc>
        <w:tc>
          <w:tcPr>
            <w:tcW w:w="140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operations of such</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5"/>
          </w:tcPr>
          <w:p>
            <w:pPr>
              <w:spacing w:after="0"/>
              <w:rPr>
                <w:sz w:val="20"/>
                <w:szCs w:val="20"/>
                <w:color w:val="auto"/>
              </w:rPr>
            </w:pPr>
            <w:r>
              <w:rPr>
                <w:rFonts w:ascii="Courier New" w:cs="Courier New" w:eastAsia="Courier New" w:hAnsi="Courier New"/>
                <w:sz w:val="12"/>
                <w:szCs w:val="12"/>
                <w:color w:val="auto"/>
                <w:w w:val="98"/>
              </w:rPr>
              <w:t>person; and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(b)</w:t>
            </w:r>
          </w:p>
        </w:tc>
        <w:tc>
          <w:tcPr>
            <w:tcW w:w="2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w w:val="90"/>
              </w:rPr>
              <w:t>such</w:t>
            </w:r>
          </w:p>
        </w:tc>
        <w:tc>
          <w:tcPr>
            <w:tcW w:w="16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w w:val="98"/>
              </w:rPr>
              <w:t>action is</w:t>
            </w:r>
          </w:p>
        </w:tc>
        <w:tc>
          <w:tcPr>
            <w:tcW w:w="80" w:type="dxa"/>
            <w:vAlign w:val="bottom"/>
          </w:tcPr>
          <w:p>
            <w:pPr>
              <w:spacing w:after="0"/>
              <w:rPr>
                <w:sz w:val="24"/>
                <w:szCs w:val="24"/>
                <w:color w:val="auto"/>
              </w:rPr>
            </w:pPr>
          </w:p>
        </w:tc>
        <w:tc>
          <w:tcPr>
            <w:tcW w:w="162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similar in nature and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5"/>
          </w:tcPr>
          <w:p>
            <w:pPr>
              <w:spacing w:after="0"/>
              <w:rPr>
                <w:sz w:val="20"/>
                <w:szCs w:val="20"/>
                <w:color w:val="auto"/>
              </w:rPr>
            </w:pPr>
            <w:r>
              <w:rPr>
                <w:rFonts w:ascii="Courier New" w:cs="Courier New" w:eastAsia="Courier New" w:hAnsi="Courier New"/>
                <w:sz w:val="12"/>
                <w:szCs w:val="12"/>
                <w:color w:val="auto"/>
              </w:rPr>
              <w:t>magnitude</w:t>
            </w:r>
          </w:p>
        </w:tc>
        <w:tc>
          <w:tcPr>
            <w:tcW w:w="220" w:type="dxa"/>
            <w:vAlign w:val="bottom"/>
          </w:tcPr>
          <w:p>
            <w:pPr>
              <w:spacing w:after="0"/>
              <w:rPr>
                <w:sz w:val="20"/>
                <w:szCs w:val="20"/>
                <w:color w:val="auto"/>
              </w:rPr>
            </w:pPr>
            <w:r>
              <w:rPr>
                <w:rFonts w:ascii="Courier New" w:cs="Courier New" w:eastAsia="Courier New" w:hAnsi="Courier New"/>
                <w:sz w:val="12"/>
                <w:szCs w:val="12"/>
                <w:color w:val="auto"/>
              </w:rPr>
              <w:t>to</w:t>
            </w:r>
          </w:p>
        </w:tc>
        <w:tc>
          <w:tcPr>
            <w:tcW w:w="80" w:type="dxa"/>
            <w:vAlign w:val="bottom"/>
          </w:tcPr>
          <w:p>
            <w:pPr>
              <w:spacing w:after="0"/>
              <w:rPr>
                <w:sz w:val="12"/>
                <w:szCs w:val="12"/>
                <w:color w:val="auto"/>
              </w:rPr>
            </w:pPr>
          </w:p>
        </w:tc>
        <w:tc>
          <w:tcPr>
            <w:tcW w:w="880" w:type="dxa"/>
            <w:vAlign w:val="bottom"/>
            <w:gridSpan w:val="5"/>
          </w:tcPr>
          <w:p>
            <w:pPr>
              <w:spacing w:after="0"/>
              <w:rPr>
                <w:sz w:val="20"/>
                <w:szCs w:val="20"/>
                <w:color w:val="auto"/>
              </w:rPr>
            </w:pPr>
            <w:r>
              <w:rPr>
                <w:rFonts w:ascii="Courier New" w:cs="Courier New" w:eastAsia="Courier New" w:hAnsi="Courier New"/>
                <w:sz w:val="12"/>
                <w:szCs w:val="12"/>
                <w:color w:val="auto"/>
              </w:rPr>
              <w:t>activities</w:t>
            </w:r>
          </w:p>
        </w:tc>
        <w:tc>
          <w:tcPr>
            <w:tcW w:w="8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customarily</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6"/>
          </w:tcPr>
          <w:p>
            <w:pPr>
              <w:spacing w:after="0"/>
              <w:rPr>
                <w:sz w:val="20"/>
                <w:szCs w:val="20"/>
                <w:color w:val="auto"/>
              </w:rPr>
            </w:pPr>
            <w:r>
              <w:rPr>
                <w:rFonts w:ascii="Courier New" w:cs="Courier New" w:eastAsia="Courier New" w:hAnsi="Courier New"/>
                <w:sz w:val="12"/>
                <w:szCs w:val="12"/>
                <w:color w:val="auto"/>
              </w:rPr>
              <w:t>taken in the</w:t>
            </w:r>
          </w:p>
        </w:tc>
        <w:tc>
          <w:tcPr>
            <w:tcW w:w="6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ordinary</w:t>
            </w:r>
          </w:p>
        </w:tc>
        <w:tc>
          <w:tcPr>
            <w:tcW w:w="14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course</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of 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9"/>
          </w:tcPr>
          <w:p>
            <w:pPr>
              <w:spacing w:after="0"/>
              <w:rPr>
                <w:sz w:val="20"/>
                <w:szCs w:val="20"/>
                <w:color w:val="auto"/>
              </w:rPr>
            </w:pPr>
            <w:r>
              <w:rPr>
                <w:rFonts w:ascii="Courier New" w:cs="Courier New" w:eastAsia="Courier New" w:hAnsi="Courier New"/>
                <w:sz w:val="12"/>
                <w:szCs w:val="12"/>
                <w:color w:val="auto"/>
              </w:rPr>
              <w:t>normal day-to-day</w:t>
            </w:r>
          </w:p>
        </w:tc>
        <w:tc>
          <w:tcPr>
            <w:tcW w:w="140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operations of other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4"/>
          </w:tcPr>
          <w:p>
            <w:pPr>
              <w:spacing w:after="0"/>
              <w:rPr>
                <w:sz w:val="20"/>
                <w:szCs w:val="20"/>
                <w:color w:val="auto"/>
              </w:rPr>
            </w:pPr>
            <w:r>
              <w:rPr>
                <w:rFonts w:ascii="Courier New" w:cs="Courier New" w:eastAsia="Courier New" w:hAnsi="Courier New"/>
                <w:sz w:val="12"/>
                <w:szCs w:val="12"/>
                <w:color w:val="auto"/>
              </w:rPr>
              <w:t>persons</w:t>
            </w:r>
          </w:p>
        </w:tc>
        <w:tc>
          <w:tcPr>
            <w:tcW w:w="162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that are in the same</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line of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11"/>
          </w:tcPr>
          <w:p>
            <w:pPr>
              <w:spacing w:after="0"/>
              <w:rPr>
                <w:sz w:val="20"/>
                <w:szCs w:val="20"/>
                <w:color w:val="auto"/>
              </w:rPr>
            </w:pPr>
            <w:r>
              <w:rPr>
                <w:rFonts w:ascii="Courier New" w:cs="Courier New" w:eastAsia="Courier New" w:hAnsi="Courier New"/>
                <w:sz w:val="12"/>
                <w:szCs w:val="12"/>
                <w:color w:val="auto"/>
              </w:rPr>
              <w:t>business as such person;</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1.1.111.</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"ORGANISATIONAL</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100" w:type="dxa"/>
            <w:vAlign w:val="bottom"/>
          </w:tcPr>
          <w:p>
            <w:pPr>
              <w:spacing w:after="0"/>
              <w:rPr>
                <w:sz w:val="12"/>
                <w:szCs w:val="12"/>
                <w:color w:val="auto"/>
              </w:rPr>
            </w:pP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DOCUMENTS"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rPr>
              <w:t>the</w:t>
            </w:r>
          </w:p>
        </w:tc>
        <w:tc>
          <w:tcPr>
            <w:tcW w:w="160" w:type="dxa"/>
            <w:vAlign w:val="bottom"/>
          </w:tcPr>
          <w:p>
            <w:pPr>
              <w:spacing w:after="0"/>
              <w:rPr>
                <w:sz w:val="12"/>
                <w:szCs w:val="12"/>
                <w:color w:val="auto"/>
              </w:rPr>
            </w:pPr>
          </w:p>
        </w:tc>
        <w:tc>
          <w:tcPr>
            <w:tcW w:w="960" w:type="dxa"/>
            <w:vAlign w:val="bottom"/>
            <w:gridSpan w:val="6"/>
          </w:tcPr>
          <w:p>
            <w:pPr>
              <w:spacing w:after="0"/>
              <w:rPr>
                <w:sz w:val="20"/>
                <w:szCs w:val="20"/>
                <w:color w:val="auto"/>
              </w:rPr>
            </w:pPr>
            <w:r>
              <w:rPr>
                <w:rFonts w:ascii="Courier New" w:cs="Courier New" w:eastAsia="Courier New" w:hAnsi="Courier New"/>
                <w:sz w:val="12"/>
                <w:szCs w:val="12"/>
                <w:color w:val="auto"/>
              </w:rPr>
              <w:t>certificate</w:t>
            </w:r>
          </w:p>
        </w:tc>
        <w:tc>
          <w:tcPr>
            <w:tcW w:w="2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of</w:t>
            </w:r>
          </w:p>
        </w:tc>
        <w:tc>
          <w:tcPr>
            <w:tcW w:w="140" w:type="dxa"/>
            <w:vAlign w:val="bottom"/>
          </w:tcPr>
          <w:p>
            <w:pPr>
              <w:spacing w:after="0"/>
              <w:rPr>
                <w:sz w:val="12"/>
                <w:szCs w:val="12"/>
                <w:color w:val="auto"/>
              </w:rPr>
            </w:pPr>
          </w:p>
        </w:tc>
        <w:tc>
          <w:tcPr>
            <w:tcW w:w="10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incorporation,</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Memorandum</w:t>
            </w:r>
          </w:p>
        </w:tc>
        <w:tc>
          <w:tcPr>
            <w:tcW w:w="16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Courier New" w:cs="Courier New" w:eastAsia="Courier New" w:hAnsi="Courier New"/>
                <w:sz w:val="12"/>
                <w:szCs w:val="12"/>
                <w:color w:val="auto"/>
                <w:w w:val="82"/>
              </w:rPr>
              <w:t>of</w:t>
            </w:r>
          </w:p>
        </w:tc>
        <w:tc>
          <w:tcPr>
            <w:tcW w:w="220" w:type="dxa"/>
            <w:vAlign w:val="bottom"/>
          </w:tcPr>
          <w:p>
            <w:pPr>
              <w:spacing w:after="0"/>
              <w:rPr>
                <w:sz w:val="12"/>
                <w:szCs w:val="12"/>
                <w:color w:val="auto"/>
              </w:rPr>
            </w:pPr>
          </w:p>
        </w:tc>
        <w:tc>
          <w:tcPr>
            <w:tcW w:w="960" w:type="dxa"/>
            <w:vAlign w:val="bottom"/>
            <w:gridSpan w:val="6"/>
          </w:tcPr>
          <w:p>
            <w:pPr>
              <w:spacing w:after="0"/>
              <w:rPr>
                <w:sz w:val="20"/>
                <w:szCs w:val="20"/>
                <w:color w:val="auto"/>
              </w:rPr>
            </w:pPr>
            <w:r>
              <w:rPr>
                <w:rFonts w:ascii="Courier New" w:cs="Courier New" w:eastAsia="Courier New" w:hAnsi="Courier New"/>
                <w:sz w:val="12"/>
                <w:szCs w:val="12"/>
                <w:color w:val="auto"/>
              </w:rPr>
              <w:t>Association,</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Articles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Association,</w:t>
            </w:r>
          </w:p>
        </w:tc>
        <w:tc>
          <w:tcPr>
            <w:tcW w:w="1320" w:type="dxa"/>
            <w:vAlign w:val="bottom"/>
            <w:gridSpan w:val="8"/>
          </w:tcPr>
          <w:p>
            <w:pPr>
              <w:ind w:left="60"/>
              <w:spacing w:after="0"/>
              <w:rPr>
                <w:sz w:val="20"/>
                <w:szCs w:val="20"/>
                <w:color w:val="auto"/>
              </w:rPr>
            </w:pPr>
            <w:r>
              <w:rPr>
                <w:rFonts w:ascii="Courier New" w:cs="Courier New" w:eastAsia="Courier New" w:hAnsi="Courier New"/>
                <w:sz w:val="12"/>
                <w:szCs w:val="12"/>
                <w:color w:val="auto"/>
              </w:rPr>
              <w:t>by-laws or other</w:t>
            </w: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documents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incorporation</w:t>
            </w:r>
          </w:p>
        </w:tc>
        <w:tc>
          <w:tcPr>
            <w:tcW w:w="14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w w:val="82"/>
              </w:rPr>
              <w:t>of</w:t>
            </w:r>
          </w:p>
        </w:tc>
        <w:tc>
          <w:tcPr>
            <w:tcW w:w="220" w:type="dxa"/>
            <w:vAlign w:val="bottom"/>
          </w:tcPr>
          <w:p>
            <w:pPr>
              <w:spacing w:after="0"/>
              <w:rPr>
                <w:sz w:val="12"/>
                <w:szCs w:val="12"/>
                <w:color w:val="auto"/>
              </w:rPr>
            </w:pPr>
          </w:p>
        </w:tc>
        <w:tc>
          <w:tcPr>
            <w:tcW w:w="380" w:type="dxa"/>
            <w:vAlign w:val="bottom"/>
            <w:gridSpan w:val="3"/>
          </w:tcPr>
          <w:p>
            <w:pPr>
              <w:spacing w:after="0"/>
              <w:rPr>
                <w:sz w:val="20"/>
                <w:szCs w:val="20"/>
                <w:color w:val="auto"/>
              </w:rPr>
            </w:pPr>
            <w:r>
              <w:rPr>
                <w:rFonts w:ascii="Courier New" w:cs="Courier New" w:eastAsia="Courier New" w:hAnsi="Courier New"/>
                <w:sz w:val="12"/>
                <w:szCs w:val="12"/>
                <w:color w:val="auto"/>
              </w:rPr>
              <w:t>any</w:t>
            </w:r>
          </w:p>
        </w:tc>
        <w:tc>
          <w:tcPr>
            <w:tcW w:w="140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person   being   a</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corporation;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1.1.111A.</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"OUTSIDE INVESTMENT</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100" w:type="dxa"/>
            <w:vAlign w:val="bottom"/>
          </w:tcPr>
          <w:p>
            <w:pPr>
              <w:spacing w:after="0"/>
              <w:rPr>
                <w:sz w:val="12"/>
                <w:szCs w:val="12"/>
                <w:color w:val="auto"/>
              </w:rPr>
            </w:pP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UNDERTAKING"</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shall</w:t>
            </w: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w w:val="90"/>
              </w:rPr>
              <w:t>bear</w:t>
            </w:r>
          </w:p>
        </w:tc>
        <w:tc>
          <w:tcPr>
            <w:tcW w:w="16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rPr>
              <w:t>the</w:t>
            </w:r>
          </w:p>
        </w:tc>
        <w:tc>
          <w:tcPr>
            <w:tcW w:w="600" w:type="dxa"/>
            <w:vAlign w:val="bottom"/>
            <w:gridSpan w:val="4"/>
          </w:tcPr>
          <w:p>
            <w:pPr>
              <w:spacing w:after="0"/>
              <w:rPr>
                <w:sz w:val="20"/>
                <w:szCs w:val="20"/>
                <w:color w:val="auto"/>
              </w:rPr>
            </w:pPr>
            <w:r>
              <w:rPr>
                <w:rFonts w:ascii="Courier New" w:cs="Courier New" w:eastAsia="Courier New" w:hAnsi="Courier New"/>
                <w:sz w:val="12"/>
                <w:szCs w:val="12"/>
                <w:color w:val="auto"/>
              </w:rPr>
              <w:t>meaning</w:t>
            </w:r>
          </w:p>
        </w:tc>
        <w:tc>
          <w:tcPr>
            <w:tcW w:w="800" w:type="dxa"/>
            <w:vAlign w:val="bottom"/>
            <w:gridSpan w:val="4"/>
          </w:tcPr>
          <w:p>
            <w:pPr>
              <w:jc w:val="right"/>
              <w:ind w:right="79"/>
              <w:spacing w:after="0"/>
              <w:rPr>
                <w:sz w:val="20"/>
                <w:szCs w:val="20"/>
                <w:color w:val="auto"/>
              </w:rPr>
            </w:pPr>
            <w:r>
              <w:rPr>
                <w:rFonts w:ascii="Courier New" w:cs="Courier New" w:eastAsia="Courier New" w:hAnsi="Courier New"/>
                <w:sz w:val="12"/>
                <w:szCs w:val="12"/>
                <w:color w:val="auto"/>
              </w:rPr>
              <w:t>assigned</w:t>
            </w:r>
          </w:p>
        </w:tc>
        <w:tc>
          <w:tcPr>
            <w:tcW w:w="300" w:type="dxa"/>
            <w:vAlign w:val="bottom"/>
          </w:tcPr>
          <w:p>
            <w:pPr>
              <w:spacing w:after="0"/>
              <w:rPr>
                <w:sz w:val="20"/>
                <w:szCs w:val="20"/>
                <w:color w:val="auto"/>
              </w:rPr>
            </w:pPr>
            <w:r>
              <w:rPr>
                <w:rFonts w:ascii="Courier New" w:cs="Courier New" w:eastAsia="Courier New" w:hAnsi="Courier New"/>
                <w:sz w:val="12"/>
                <w:szCs w:val="12"/>
                <w:color w:val="auto"/>
              </w:rPr>
              <w:t>to</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such</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20" w:type="dxa"/>
            <w:vAlign w:val="bottom"/>
            <w:gridSpan w:val="12"/>
          </w:tcPr>
          <w:p>
            <w:pPr>
              <w:ind w:left="80"/>
              <w:spacing w:after="0"/>
              <w:rPr>
                <w:sz w:val="20"/>
                <w:szCs w:val="20"/>
                <w:color w:val="auto"/>
              </w:rPr>
            </w:pPr>
            <w:r>
              <w:rPr>
                <w:rFonts w:ascii="Courier New" w:cs="Courier New" w:eastAsia="Courier New" w:hAnsi="Courier New"/>
                <w:sz w:val="12"/>
                <w:szCs w:val="12"/>
                <w:color w:val="auto"/>
              </w:rPr>
              <w:t>term in clause 16.35.1 below;</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25"/>
        </w:trPr>
        <w:tc>
          <w:tcPr>
            <w:tcW w:w="1100" w:type="dxa"/>
            <w:vAlign w:val="bottom"/>
          </w:tcPr>
          <w:p>
            <w:pPr>
              <w:spacing w:after="0"/>
              <w:rPr>
                <w:sz w:val="24"/>
                <w:szCs w:val="24"/>
                <w:color w:val="auto"/>
              </w:rPr>
            </w:pPr>
          </w:p>
        </w:tc>
        <w:tc>
          <w:tcPr>
            <w:tcW w:w="2580" w:type="dxa"/>
            <w:vAlign w:val="bottom"/>
          </w:tcPr>
          <w:p>
            <w:pPr>
              <w:ind w:left="1620"/>
              <w:spacing w:after="0"/>
              <w:rPr>
                <w:sz w:val="20"/>
                <w:szCs w:val="20"/>
                <w:color w:val="auto"/>
              </w:rPr>
            </w:pPr>
            <w:r>
              <w:rPr>
                <w:rFonts w:ascii="Courier New" w:cs="Courier New" w:eastAsia="Courier New" w:hAnsi="Courier New"/>
                <w:sz w:val="12"/>
                <w:szCs w:val="12"/>
                <w:color w:val="auto"/>
              </w:rPr>
              <w:t>- 35 -</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1.1.112.</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"PAID-IN EQUITY"</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8"/>
              </w:rPr>
              <w:t>means the</w:t>
            </w:r>
          </w:p>
        </w:tc>
        <w:tc>
          <w:tcPr>
            <w:tcW w:w="140" w:type="dxa"/>
            <w:vAlign w:val="bottom"/>
          </w:tcPr>
          <w:p>
            <w:pPr>
              <w:spacing w:after="0"/>
              <w:rPr>
                <w:sz w:val="24"/>
                <w:szCs w:val="24"/>
                <w:color w:val="auto"/>
              </w:rPr>
            </w:pP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aggregate</w:t>
            </w:r>
          </w:p>
        </w:tc>
        <w:tc>
          <w:tcPr>
            <w:tcW w:w="80" w:type="dxa"/>
            <w:vAlign w:val="bottom"/>
          </w:tcPr>
          <w:p>
            <w:pPr>
              <w:spacing w:after="0"/>
              <w:rPr>
                <w:sz w:val="24"/>
                <w:szCs w:val="24"/>
                <w:color w:val="auto"/>
              </w:rPr>
            </w:pP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rPr>
              <w:t>amount</w:t>
            </w:r>
          </w:p>
        </w:tc>
        <w:tc>
          <w:tcPr>
            <w:tcW w:w="11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paid-up in cash</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in respect of</w:t>
            </w:r>
          </w:p>
        </w:tc>
        <w:tc>
          <w:tcPr>
            <w:tcW w:w="140" w:type="dxa"/>
            <w:vAlign w:val="bottom"/>
          </w:tcPr>
          <w:p>
            <w:pPr>
              <w:spacing w:after="0"/>
              <w:rPr>
                <w:sz w:val="12"/>
                <w:szCs w:val="12"/>
                <w:color w:val="auto"/>
              </w:rPr>
            </w:pPr>
          </w:p>
        </w:tc>
        <w:tc>
          <w:tcPr>
            <w:tcW w:w="1040" w:type="dxa"/>
            <w:vAlign w:val="bottom"/>
            <w:gridSpan w:val="6"/>
          </w:tcPr>
          <w:p>
            <w:pPr>
              <w:spacing w:after="0"/>
              <w:rPr>
                <w:sz w:val="20"/>
                <w:szCs w:val="20"/>
                <w:color w:val="auto"/>
              </w:rPr>
            </w:pPr>
            <w:r>
              <w:rPr>
                <w:rFonts w:ascii="Courier New" w:cs="Courier New" w:eastAsia="Courier New" w:hAnsi="Courier New"/>
                <w:sz w:val="12"/>
                <w:szCs w:val="12"/>
                <w:color w:val="auto"/>
              </w:rPr>
              <w:t>irredeemable</w:t>
            </w:r>
          </w:p>
        </w:tc>
        <w:tc>
          <w:tcPr>
            <w:tcW w:w="11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share capital of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the</w:t>
            </w:r>
          </w:p>
        </w:tc>
        <w:tc>
          <w:tcPr>
            <w:tcW w:w="66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Borrower</w:t>
            </w:r>
          </w:p>
        </w:tc>
        <w:tc>
          <w:tcPr>
            <w:tcW w:w="14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or in</w:t>
            </w:r>
          </w:p>
        </w:tc>
        <w:tc>
          <w:tcPr>
            <w:tcW w:w="80" w:type="dxa"/>
            <w:vAlign w:val="bottom"/>
          </w:tcPr>
          <w:p>
            <w:pPr>
              <w:spacing w:after="0"/>
              <w:rPr>
                <w:sz w:val="12"/>
                <w:szCs w:val="12"/>
                <w:color w:val="auto"/>
              </w:rPr>
            </w:pPr>
          </w:p>
        </w:tc>
        <w:tc>
          <w:tcPr>
            <w:tcW w:w="52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9"/>
              </w:rPr>
              <w:t>respect</w:t>
            </w:r>
          </w:p>
        </w:tc>
        <w:tc>
          <w:tcPr>
            <w:tcW w:w="140" w:type="dxa"/>
            <w:vAlign w:val="bottom"/>
          </w:tcPr>
          <w:p>
            <w:pPr>
              <w:spacing w:after="0"/>
              <w:rPr>
                <w:sz w:val="12"/>
                <w:szCs w:val="12"/>
                <w:color w:val="auto"/>
              </w:rPr>
            </w:pPr>
          </w:p>
        </w:tc>
        <w:tc>
          <w:tcPr>
            <w:tcW w:w="10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of the sale of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6"/>
          </w:tcPr>
          <w:p>
            <w:pPr>
              <w:ind w:left="80"/>
              <w:spacing w:after="0"/>
              <w:rPr>
                <w:sz w:val="20"/>
                <w:szCs w:val="20"/>
                <w:color w:val="auto"/>
              </w:rPr>
            </w:pPr>
            <w:r>
              <w:rPr>
                <w:rFonts w:ascii="Courier New" w:cs="Courier New" w:eastAsia="Courier New" w:hAnsi="Courier New"/>
                <w:sz w:val="12"/>
                <w:szCs w:val="12"/>
                <w:color w:val="auto"/>
                <w:w w:val="99"/>
              </w:rPr>
              <w:t>warrants by the</w:t>
            </w:r>
          </w:p>
        </w:tc>
        <w:tc>
          <w:tcPr>
            <w:tcW w:w="82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Borrower</w:t>
            </w:r>
          </w:p>
        </w:tc>
        <w:tc>
          <w:tcPr>
            <w:tcW w:w="140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where the purchase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price</w:t>
            </w:r>
          </w:p>
        </w:tc>
        <w:tc>
          <w:tcPr>
            <w:tcW w:w="2800" w:type="dxa"/>
            <w:vAlign w:val="bottom"/>
            <w:gridSpan w:val="15"/>
          </w:tcPr>
          <w:p>
            <w:pPr>
              <w:spacing w:after="0"/>
              <w:rPr>
                <w:sz w:val="20"/>
                <w:szCs w:val="20"/>
                <w:color w:val="auto"/>
              </w:rPr>
            </w:pPr>
            <w:r>
              <w:rPr>
                <w:rFonts w:ascii="Courier New" w:cs="Courier New" w:eastAsia="Courier New" w:hAnsi="Courier New"/>
                <w:sz w:val="12"/>
                <w:szCs w:val="12"/>
                <w:color w:val="auto"/>
              </w:rPr>
              <w:t>of  such  warrants  is  registered  as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owners'</w:t>
            </w:r>
          </w:p>
        </w:tc>
        <w:tc>
          <w:tcPr>
            <w:tcW w:w="140" w:type="dxa"/>
            <w:vAlign w:val="bottom"/>
          </w:tcPr>
          <w:p>
            <w:pPr>
              <w:spacing w:after="0"/>
              <w:rPr>
                <w:sz w:val="12"/>
                <w:szCs w:val="12"/>
                <w:color w:val="auto"/>
              </w:rPr>
            </w:pPr>
          </w:p>
        </w:tc>
        <w:tc>
          <w:tcPr>
            <w:tcW w:w="440" w:type="dxa"/>
            <w:vAlign w:val="bottom"/>
            <w:gridSpan w:val="3"/>
          </w:tcPr>
          <w:p>
            <w:pPr>
              <w:spacing w:after="0"/>
              <w:rPr>
                <w:sz w:val="20"/>
                <w:szCs w:val="20"/>
                <w:color w:val="auto"/>
              </w:rPr>
            </w:pPr>
            <w:r>
              <w:rPr>
                <w:rFonts w:ascii="Courier New" w:cs="Courier New" w:eastAsia="Courier New" w:hAnsi="Courier New"/>
                <w:sz w:val="12"/>
                <w:szCs w:val="12"/>
                <w:color w:val="auto"/>
                <w:w w:val="97"/>
              </w:rPr>
              <w:t>equity</w:t>
            </w:r>
          </w:p>
        </w:tc>
        <w:tc>
          <w:tcPr>
            <w:tcW w:w="4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and</w:t>
            </w:r>
          </w:p>
        </w:tc>
        <w:tc>
          <w:tcPr>
            <w:tcW w:w="80" w:type="dxa"/>
            <w:vAlign w:val="bottom"/>
          </w:tcPr>
          <w:p>
            <w:pPr>
              <w:spacing w:after="0"/>
              <w:rPr>
                <w:sz w:val="12"/>
                <w:szCs w:val="12"/>
                <w:color w:val="auto"/>
              </w:rPr>
            </w:pPr>
          </w:p>
        </w:tc>
        <w:tc>
          <w:tcPr>
            <w:tcW w:w="300" w:type="dxa"/>
            <w:vAlign w:val="bottom"/>
            <w:gridSpan w:val="2"/>
          </w:tcPr>
          <w:p>
            <w:pPr>
              <w:spacing w:after="0"/>
              <w:rPr>
                <w:sz w:val="20"/>
                <w:szCs w:val="20"/>
                <w:color w:val="auto"/>
              </w:rPr>
            </w:pPr>
            <w:r>
              <w:rPr>
                <w:rFonts w:ascii="Courier New" w:cs="Courier New" w:eastAsia="Courier New" w:hAnsi="Courier New"/>
                <w:sz w:val="12"/>
                <w:szCs w:val="12"/>
                <w:color w:val="auto"/>
              </w:rPr>
              <w:t>is</w:t>
            </w:r>
          </w:p>
        </w:tc>
        <w:tc>
          <w:tcPr>
            <w:tcW w:w="1100" w:type="dxa"/>
            <w:vAlign w:val="bottom"/>
            <w:gridSpan w:val="5"/>
          </w:tcPr>
          <w:p>
            <w:pPr>
              <w:jc w:val="right"/>
              <w:ind w:right="19"/>
              <w:spacing w:after="0"/>
              <w:rPr>
                <w:sz w:val="20"/>
                <w:szCs w:val="20"/>
                <w:color w:val="auto"/>
              </w:rPr>
            </w:pPr>
            <w:r>
              <w:rPr>
                <w:rFonts w:ascii="Courier New" w:cs="Courier New" w:eastAsia="Courier New" w:hAnsi="Courier New"/>
                <w:sz w:val="12"/>
                <w:szCs w:val="12"/>
                <w:color w:val="auto"/>
                <w:w w:val="99"/>
              </w:rPr>
              <w:t>non-refundable</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0" w:type="dxa"/>
            <w:vAlign w:val="bottom"/>
            <w:gridSpan w:val="15"/>
          </w:tcPr>
          <w:p>
            <w:pPr>
              <w:ind w:left="80"/>
              <w:spacing w:after="0"/>
              <w:rPr>
                <w:sz w:val="20"/>
                <w:szCs w:val="20"/>
                <w:color w:val="auto"/>
              </w:rPr>
            </w:pPr>
            <w:r>
              <w:rPr>
                <w:rFonts w:ascii="Courier New" w:cs="Courier New" w:eastAsia="Courier New" w:hAnsi="Courier New"/>
                <w:sz w:val="12"/>
                <w:szCs w:val="12"/>
                <w:color w:val="auto"/>
              </w:rPr>
              <w:t>the  purchaser  or  holder  of such</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warrants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shall</w:t>
            </w:r>
          </w:p>
        </w:tc>
        <w:tc>
          <w:tcPr>
            <w:tcW w:w="440" w:type="dxa"/>
            <w:vAlign w:val="bottom"/>
            <w:gridSpan w:val="3"/>
          </w:tcPr>
          <w:p>
            <w:pPr>
              <w:spacing w:after="0"/>
              <w:rPr>
                <w:sz w:val="20"/>
                <w:szCs w:val="20"/>
                <w:color w:val="auto"/>
              </w:rPr>
            </w:pPr>
            <w:r>
              <w:rPr>
                <w:rFonts w:ascii="Courier New" w:cs="Courier New" w:eastAsia="Courier New" w:hAnsi="Courier New"/>
                <w:sz w:val="12"/>
                <w:szCs w:val="12"/>
                <w:color w:val="auto"/>
                <w:w w:val="97"/>
              </w:rPr>
              <w:t>not be</w:t>
            </w:r>
          </w:p>
        </w:tc>
        <w:tc>
          <w:tcPr>
            <w:tcW w:w="140" w:type="dxa"/>
            <w:vAlign w:val="bottom"/>
          </w:tcPr>
          <w:p>
            <w:pPr>
              <w:spacing w:after="0"/>
              <w:rPr>
                <w:sz w:val="12"/>
                <w:szCs w:val="12"/>
                <w:color w:val="auto"/>
              </w:rPr>
            </w:pPr>
          </w:p>
        </w:tc>
        <w:tc>
          <w:tcPr>
            <w:tcW w:w="600" w:type="dxa"/>
            <w:vAlign w:val="bottom"/>
            <w:gridSpan w:val="4"/>
          </w:tcPr>
          <w:p>
            <w:pPr>
              <w:spacing w:after="0"/>
              <w:rPr>
                <w:sz w:val="20"/>
                <w:szCs w:val="20"/>
                <w:color w:val="auto"/>
              </w:rPr>
            </w:pPr>
            <w:r>
              <w:rPr>
                <w:rFonts w:ascii="Courier New" w:cs="Courier New" w:eastAsia="Courier New" w:hAnsi="Courier New"/>
                <w:sz w:val="12"/>
                <w:szCs w:val="12"/>
                <w:color w:val="auto"/>
              </w:rPr>
              <w:t>entitled</w:t>
            </w:r>
          </w:p>
        </w:tc>
        <w:tc>
          <w:tcPr>
            <w:tcW w:w="80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to claim</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refund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w w:val="97"/>
              </w:rPr>
              <w:t>such</w:t>
            </w:r>
          </w:p>
        </w:tc>
        <w:tc>
          <w:tcPr>
            <w:tcW w:w="80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purchase</w:t>
            </w: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4"/>
              </w:rPr>
              <w:t>price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5"/>
          </w:tcPr>
          <w:p>
            <w:pPr>
              <w:jc w:val="right"/>
              <w:ind w:right="79"/>
              <w:spacing w:after="0"/>
              <w:rPr>
                <w:sz w:val="20"/>
                <w:szCs w:val="20"/>
                <w:color w:val="auto"/>
              </w:rPr>
            </w:pPr>
            <w:r>
              <w:rPr>
                <w:rFonts w:ascii="Courier New" w:cs="Courier New" w:eastAsia="Courier New" w:hAnsi="Courier New"/>
                <w:sz w:val="12"/>
                <w:szCs w:val="12"/>
                <w:color w:val="auto"/>
                <w:w w:val="99"/>
              </w:rPr>
              <w:t>(or any part</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thereof)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under</w:t>
            </w: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rPr>
              <w:t>any</w:t>
            </w:r>
          </w:p>
        </w:tc>
        <w:tc>
          <w:tcPr>
            <w:tcW w:w="112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circumstances</w:t>
            </w:r>
          </w:p>
        </w:tc>
        <w:tc>
          <w:tcPr>
            <w:tcW w:w="110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whatsoever.</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For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the removal of doubt: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rPr>
              <w:t>(i) for</w:t>
            </w:r>
          </w:p>
        </w:tc>
        <w:tc>
          <w:tcPr>
            <w:tcW w:w="44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the</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purposes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of this</w:t>
            </w:r>
          </w:p>
        </w:tc>
        <w:tc>
          <w:tcPr>
            <w:tcW w:w="140" w:type="dxa"/>
            <w:vAlign w:val="bottom"/>
          </w:tcPr>
          <w:p>
            <w:pPr>
              <w:spacing w:after="0"/>
              <w:rPr>
                <w:sz w:val="12"/>
                <w:szCs w:val="12"/>
                <w:color w:val="auto"/>
              </w:rPr>
            </w:pPr>
          </w:p>
        </w:tc>
        <w:tc>
          <w:tcPr>
            <w:tcW w:w="880" w:type="dxa"/>
            <w:vAlign w:val="bottom"/>
            <w:gridSpan w:val="5"/>
          </w:tcPr>
          <w:p>
            <w:pPr>
              <w:spacing w:after="0"/>
              <w:rPr>
                <w:sz w:val="20"/>
                <w:szCs w:val="20"/>
                <w:color w:val="auto"/>
              </w:rPr>
            </w:pPr>
            <w:r>
              <w:rPr>
                <w:rFonts w:ascii="Courier New" w:cs="Courier New" w:eastAsia="Courier New" w:hAnsi="Courier New"/>
                <w:sz w:val="12"/>
                <w:szCs w:val="12"/>
                <w:color w:val="auto"/>
              </w:rPr>
              <w:t>Agreement,</w:t>
            </w:r>
          </w:p>
        </w:tc>
        <w:tc>
          <w:tcPr>
            <w:tcW w:w="380" w:type="dxa"/>
            <w:vAlign w:val="bottom"/>
            <w:gridSpan w:val="3"/>
          </w:tcPr>
          <w:p>
            <w:pPr>
              <w:spacing w:after="0"/>
              <w:rPr>
                <w:sz w:val="20"/>
                <w:szCs w:val="20"/>
                <w:color w:val="auto"/>
              </w:rPr>
            </w:pPr>
            <w:r>
              <w:rPr>
                <w:rFonts w:ascii="Courier New" w:cs="Courier New" w:eastAsia="Courier New" w:hAnsi="Courier New"/>
                <w:sz w:val="12"/>
                <w:szCs w:val="12"/>
                <w:color w:val="auto"/>
              </w:rPr>
              <w:t>any</w:t>
            </w:r>
          </w:p>
        </w:tc>
        <w:tc>
          <w:tcPr>
            <w:tcW w:w="58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w w:val="95"/>
              </w:rPr>
              <w:t>credit,</w:t>
            </w:r>
          </w:p>
        </w:tc>
        <w:tc>
          <w:tcPr>
            <w:tcW w:w="8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prepayment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or other</w:t>
            </w:r>
          </w:p>
        </w:tc>
        <w:tc>
          <w:tcPr>
            <w:tcW w:w="880" w:type="dxa"/>
            <w:vAlign w:val="bottom"/>
            <w:gridSpan w:val="5"/>
          </w:tcPr>
          <w:p>
            <w:pPr>
              <w:ind w:left="80"/>
              <w:spacing w:after="0"/>
              <w:rPr>
                <w:sz w:val="20"/>
                <w:szCs w:val="20"/>
                <w:color w:val="auto"/>
              </w:rPr>
            </w:pPr>
            <w:r>
              <w:rPr>
                <w:rFonts w:ascii="Courier New" w:cs="Courier New" w:eastAsia="Courier New" w:hAnsi="Courier New"/>
                <w:sz w:val="12"/>
                <w:szCs w:val="12"/>
                <w:color w:val="auto"/>
                <w:w w:val="98"/>
              </w:rPr>
              <w:t>entitlement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rPr>
              <w:t>granted</w:t>
            </w: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4"/>
              </w:rPr>
              <w:t>to an</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Equity</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Wafer</w:t>
            </w:r>
          </w:p>
        </w:tc>
        <w:tc>
          <w:tcPr>
            <w:tcW w:w="1180" w:type="dxa"/>
            <w:vAlign w:val="bottom"/>
            <w:gridSpan w:val="8"/>
          </w:tcPr>
          <w:p>
            <w:pPr>
              <w:spacing w:after="0"/>
              <w:rPr>
                <w:sz w:val="20"/>
                <w:szCs w:val="20"/>
                <w:color w:val="auto"/>
              </w:rPr>
            </w:pPr>
            <w:r>
              <w:rPr>
                <w:rFonts w:ascii="Courier New" w:cs="Courier New" w:eastAsia="Courier New" w:hAnsi="Courier New"/>
                <w:sz w:val="12"/>
                <w:szCs w:val="12"/>
                <w:color w:val="auto"/>
              </w:rPr>
              <w:t>Partner or other</w:t>
            </w:r>
          </w:p>
        </w:tc>
        <w:tc>
          <w:tcPr>
            <w:tcW w:w="162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person in respect of</w:t>
            </w:r>
          </w:p>
        </w:tc>
      </w:tr>
    </w:tbl>
    <w:p>
      <w:pPr>
        <w:sectPr>
          <w:pgSz w:w="11900" w:h="16846" w:orient="portrait"/>
          <w:cols w:equalWidth="0" w:num="1">
            <w:col w:w="10239"/>
          </w:cols>
          <w:pgMar w:left="220" w:top="141" w:right="1440" w:bottom="0" w:gutter="0" w:footer="0" w:header="0"/>
        </w:sectPr>
      </w:pPr>
    </w:p>
    <w:bookmarkStart w:id="88" w:name="page89"/>
    <w:bookmarkEnd w:id="88"/>
    <w:p>
      <w:pPr>
        <w:spacing w:after="0" w:line="26" w:lineRule="exact"/>
        <w:rPr>
          <w:sz w:val="20"/>
          <w:szCs w:val="20"/>
          <w:color w:val="auto"/>
        </w:rPr>
      </w:pPr>
    </w:p>
    <w:p>
      <w:pPr>
        <w:ind w:left="4340"/>
        <w:spacing w:after="0"/>
        <w:tabs>
          <w:tab w:leader="none" w:pos="4680" w:val="left"/>
          <w:tab w:leader="none" w:pos="5280" w:val="left"/>
          <w:tab w:leader="none" w:pos="5940" w:val="left"/>
          <w:tab w:leader="none" w:pos="6820" w:val="left"/>
          <w:tab w:leader="none" w:pos="7480" w:val="left"/>
        </w:tabs>
        <w:rPr>
          <w:sz w:val="20"/>
          <w:szCs w:val="20"/>
          <w:color w:val="auto"/>
        </w:rPr>
      </w:pPr>
      <w:r>
        <w:rPr>
          <w:rFonts w:ascii="Courier New" w:cs="Courier New" w:eastAsia="Courier New" w:hAnsi="Courier New"/>
          <w:sz w:val="12"/>
          <w:szCs w:val="12"/>
          <w:color w:val="auto"/>
        </w:rPr>
        <w:t>any</w:t>
        <w:tab/>
        <w:t>amount</w:t>
        <w:tab/>
        <w:t>paid-up</w:t>
        <w:tab/>
        <w:t>in cash in</w:t>
        <w:tab/>
        <w:t>respect</w:t>
        <w:tab/>
        <w:t>of</w:t>
      </w:r>
    </w:p>
    <w:p>
      <w:pPr>
        <w:spacing w:after="0" w:line="6" w:lineRule="exact"/>
        <w:rPr>
          <w:sz w:val="20"/>
          <w:szCs w:val="20"/>
          <w:color w:val="auto"/>
        </w:rPr>
      </w:pPr>
    </w:p>
    <w:p>
      <w:pPr>
        <w:ind w:left="4340"/>
        <w:spacing w:after="0"/>
        <w:tabs>
          <w:tab w:leader="none" w:pos="4760" w:val="left"/>
          <w:tab w:leader="none" w:pos="5860" w:val="left"/>
          <w:tab w:leader="none" w:pos="6460" w:val="left"/>
          <w:tab w:leader="none" w:pos="7120" w:val="left"/>
          <w:tab w:leader="none" w:pos="7420" w:val="left"/>
        </w:tabs>
        <w:rPr>
          <w:sz w:val="20"/>
          <w:szCs w:val="20"/>
          <w:color w:val="auto"/>
        </w:rPr>
      </w:pPr>
      <w:r>
        <w:rPr>
          <w:rFonts w:ascii="Courier New" w:cs="Courier New" w:eastAsia="Courier New" w:hAnsi="Courier New"/>
          <w:sz w:val="12"/>
          <w:szCs w:val="12"/>
          <w:color w:val="auto"/>
        </w:rPr>
        <w:t>the</w:t>
        <w:tab/>
        <w:t>irredeemable</w:t>
        <w:tab/>
        <w:t>share</w:t>
        <w:tab/>
        <w:t>capital</w:t>
        <w:tab/>
        <w:t>of</w:t>
        <w:tab/>
        <w:t>the</w:t>
      </w:r>
    </w:p>
    <w:p>
      <w:pPr>
        <w:spacing w:after="0" w:line="6" w:lineRule="exact"/>
        <w:rPr>
          <w:sz w:val="20"/>
          <w:szCs w:val="20"/>
          <w:color w:val="auto"/>
        </w:rPr>
      </w:pPr>
    </w:p>
    <w:p>
      <w:pPr>
        <w:ind w:left="4340"/>
        <w:spacing w:after="0"/>
        <w:tabs>
          <w:tab w:leader="none" w:pos="5060" w:val="left"/>
          <w:tab w:leader="none" w:pos="5580" w:val="left"/>
          <w:tab w:leader="none" w:pos="6240" w:val="left"/>
          <w:tab w:leader="none" w:pos="6820" w:val="left"/>
        </w:tabs>
        <w:rPr>
          <w:sz w:val="20"/>
          <w:szCs w:val="20"/>
          <w:color w:val="auto"/>
        </w:rPr>
      </w:pPr>
      <w:r>
        <w:rPr>
          <w:rFonts w:ascii="Courier New" w:cs="Courier New" w:eastAsia="Courier New" w:hAnsi="Courier New"/>
          <w:sz w:val="12"/>
          <w:szCs w:val="12"/>
          <w:color w:val="auto"/>
        </w:rPr>
        <w:t>Borrower</w:t>
        <w:tab/>
        <w:t>or in</w:t>
        <w:tab/>
        <w:t>respect</w:t>
        <w:tab/>
        <w:t>of the</w:t>
        <w:tab/>
        <w:t>sale of any</w:t>
      </w:r>
    </w:p>
    <w:p>
      <w:pPr>
        <w:spacing w:after="0" w:line="6" w:lineRule="exact"/>
        <w:rPr>
          <w:sz w:val="20"/>
          <w:szCs w:val="20"/>
          <w:color w:val="auto"/>
        </w:rPr>
      </w:pPr>
    </w:p>
    <w:p>
      <w:pPr>
        <w:ind w:left="4340"/>
        <w:spacing w:after="0"/>
        <w:tabs>
          <w:tab w:leader="none" w:pos="4980" w:val="left"/>
          <w:tab w:leader="none" w:pos="5720" w:val="left"/>
          <w:tab w:leader="none" w:pos="6020" w:val="left"/>
          <w:tab w:leader="none" w:pos="6900" w:val="left"/>
          <w:tab w:leader="none" w:pos="7340" w:val="left"/>
        </w:tabs>
        <w:rPr>
          <w:sz w:val="20"/>
          <w:szCs w:val="20"/>
          <w:color w:val="auto"/>
        </w:rPr>
      </w:pPr>
      <w:r>
        <w:rPr>
          <w:rFonts w:ascii="Courier New" w:cs="Courier New" w:eastAsia="Courier New" w:hAnsi="Courier New"/>
          <w:sz w:val="12"/>
          <w:szCs w:val="12"/>
          <w:color w:val="auto"/>
        </w:rPr>
        <w:t>warrant</w:t>
        <w:tab/>
        <w:t>pursuant</w:t>
        <w:tab/>
        <w:t>to</w:t>
        <w:tab/>
        <w:t>agreements</w:t>
        <w:tab/>
        <w:t>with</w:t>
        <w:tab/>
        <w:t>such</w:t>
      </w:r>
    </w:p>
    <w:p>
      <w:pPr>
        <w:spacing w:after="0" w:line="6" w:lineRule="exact"/>
        <w:rPr>
          <w:sz w:val="20"/>
          <w:szCs w:val="20"/>
          <w:color w:val="auto"/>
        </w:rPr>
      </w:pPr>
    </w:p>
    <w:p>
      <w:pPr>
        <w:ind w:left="4340"/>
        <w:spacing w:after="0"/>
        <w:tabs>
          <w:tab w:leader="none" w:pos="4900" w:val="left"/>
          <w:tab w:leader="none" w:pos="5420" w:val="left"/>
          <w:tab w:leader="none" w:pos="6740" w:val="left"/>
        </w:tabs>
        <w:rPr>
          <w:sz w:val="20"/>
          <w:szCs w:val="20"/>
          <w:color w:val="auto"/>
        </w:rPr>
      </w:pPr>
      <w:r>
        <w:rPr>
          <w:rFonts w:ascii="Courier New" w:cs="Courier New" w:eastAsia="Courier New" w:hAnsi="Courier New"/>
          <w:sz w:val="12"/>
          <w:szCs w:val="12"/>
          <w:color w:val="auto"/>
        </w:rPr>
        <w:t>Equity</w:t>
        <w:tab/>
        <w:t>Wafer</w:t>
        <w:tab/>
        <w:t>Partner or other</w:t>
        <w:tab/>
        <w:t>person shall</w:t>
      </w:r>
    </w:p>
    <w:p>
      <w:pPr>
        <w:spacing w:after="0" w:line="6" w:lineRule="exact"/>
        <w:rPr>
          <w:sz w:val="20"/>
          <w:szCs w:val="20"/>
          <w:color w:val="auto"/>
        </w:rPr>
      </w:pPr>
    </w:p>
    <w:p>
      <w:pPr>
        <w:ind w:left="4340"/>
        <w:spacing w:after="0"/>
        <w:tabs>
          <w:tab w:leader="none" w:pos="5580" w:val="left"/>
          <w:tab w:leader="none" w:pos="6460" w:val="left"/>
        </w:tabs>
        <w:rPr>
          <w:sz w:val="20"/>
          <w:szCs w:val="20"/>
          <w:color w:val="auto"/>
        </w:rPr>
      </w:pPr>
      <w:r>
        <w:rPr>
          <w:rFonts w:ascii="Courier New" w:cs="Courier New" w:eastAsia="Courier New" w:hAnsi="Courier New"/>
          <w:sz w:val="12"/>
          <w:szCs w:val="12"/>
          <w:color w:val="auto"/>
        </w:rPr>
        <w:t>not be regarded</w:t>
        <w:tab/>
        <w:t>as Paid-in</w:t>
        <w:tab/>
        <w:t>Equity and shall</w:t>
      </w:r>
    </w:p>
    <w:p>
      <w:pPr>
        <w:spacing w:after="0" w:line="6" w:lineRule="exact"/>
        <w:rPr>
          <w:sz w:val="20"/>
          <w:szCs w:val="20"/>
          <w:color w:val="auto"/>
        </w:rPr>
      </w:pPr>
    </w:p>
    <w:p>
      <w:pPr>
        <w:ind w:left="4340"/>
        <w:spacing w:after="0"/>
        <w:tabs>
          <w:tab w:leader="none" w:pos="5280" w:val="left"/>
          <w:tab w:leader="none" w:pos="7120" w:val="left"/>
        </w:tabs>
        <w:rPr>
          <w:sz w:val="20"/>
          <w:szCs w:val="20"/>
          <w:color w:val="auto"/>
        </w:rPr>
      </w:pPr>
      <w:r>
        <w:rPr>
          <w:rFonts w:ascii="Courier New" w:cs="Courier New" w:eastAsia="Courier New" w:hAnsi="Courier New"/>
          <w:sz w:val="12"/>
          <w:szCs w:val="12"/>
          <w:color w:val="auto"/>
        </w:rPr>
        <w:t>be deducted</w:t>
        <w:tab/>
        <w:t>from the amount of such</w:t>
        <w:tab/>
        <w:t>equity;</w:t>
      </w:r>
    </w:p>
    <w:p>
      <w:pPr>
        <w:spacing w:after="0" w:line="6" w:lineRule="exact"/>
        <w:rPr>
          <w:sz w:val="20"/>
          <w:szCs w:val="20"/>
          <w:color w:val="auto"/>
        </w:rPr>
      </w:pPr>
    </w:p>
    <w:p>
      <w:pPr>
        <w:ind w:left="4340"/>
        <w:spacing w:after="0"/>
        <w:tabs>
          <w:tab w:leader="none" w:pos="5060" w:val="left"/>
          <w:tab w:leader="none" w:pos="5940" w:val="left"/>
        </w:tabs>
        <w:rPr>
          <w:sz w:val="20"/>
          <w:szCs w:val="20"/>
          <w:color w:val="auto"/>
        </w:rPr>
      </w:pPr>
      <w:r>
        <w:rPr>
          <w:rFonts w:ascii="Courier New" w:cs="Courier New" w:eastAsia="Courier New" w:hAnsi="Courier New"/>
          <w:sz w:val="12"/>
          <w:szCs w:val="12"/>
          <w:color w:val="auto"/>
        </w:rPr>
        <w:t>(ii) the</w:t>
        <w:tab/>
        <w:t>subsequent</w:t>
        <w:tab/>
        <w:t>application of the debt</w:t>
      </w:r>
    </w:p>
    <w:p>
      <w:pPr>
        <w:spacing w:after="0" w:line="6" w:lineRule="exact"/>
        <w:rPr>
          <w:sz w:val="20"/>
          <w:szCs w:val="20"/>
          <w:color w:val="auto"/>
        </w:rPr>
      </w:pPr>
    </w:p>
    <w:p>
      <w:pPr>
        <w:ind w:left="4340"/>
        <w:spacing w:after="0"/>
        <w:tabs>
          <w:tab w:leader="none" w:pos="5580" w:val="left"/>
          <w:tab w:leader="none" w:pos="6520" w:val="left"/>
        </w:tabs>
        <w:rPr>
          <w:sz w:val="20"/>
          <w:szCs w:val="20"/>
          <w:color w:val="auto"/>
        </w:rPr>
      </w:pPr>
      <w:r>
        <w:rPr>
          <w:rFonts w:ascii="Courier New" w:cs="Courier New" w:eastAsia="Courier New" w:hAnsi="Courier New"/>
          <w:sz w:val="12"/>
          <w:szCs w:val="12"/>
          <w:color w:val="auto"/>
        </w:rPr>
        <w:t>of the Borrower</w:t>
        <w:tab/>
        <w:t>represented</w:t>
        <w:tab/>
        <w:t>by such credit,</w:t>
      </w:r>
    </w:p>
    <w:p>
      <w:pPr>
        <w:spacing w:after="0" w:line="6" w:lineRule="exact"/>
        <w:rPr>
          <w:sz w:val="20"/>
          <w:szCs w:val="20"/>
          <w:color w:val="auto"/>
        </w:rPr>
      </w:pPr>
    </w:p>
    <w:p>
      <w:pPr>
        <w:ind w:left="4340"/>
        <w:spacing w:after="0"/>
        <w:tabs>
          <w:tab w:leader="none" w:pos="5200" w:val="left"/>
          <w:tab w:leader="none" w:pos="5940" w:val="left"/>
          <w:tab w:leader="none" w:pos="6900" w:val="left"/>
        </w:tabs>
        <w:rPr>
          <w:sz w:val="20"/>
          <w:szCs w:val="20"/>
          <w:color w:val="auto"/>
        </w:rPr>
      </w:pPr>
      <w:r>
        <w:rPr>
          <w:rFonts w:ascii="Courier New" w:cs="Courier New" w:eastAsia="Courier New" w:hAnsi="Courier New"/>
          <w:sz w:val="12"/>
          <w:szCs w:val="12"/>
          <w:color w:val="auto"/>
        </w:rPr>
        <w:t>prepayment</w:t>
        <w:tab/>
        <w:t>or other</w:t>
        <w:tab/>
        <w:t>entitlement</w:t>
        <w:tab/>
        <w:t>on account</w:t>
      </w:r>
    </w:p>
    <w:p>
      <w:pPr>
        <w:spacing w:after="0" w:line="6" w:lineRule="exact"/>
        <w:rPr>
          <w:sz w:val="20"/>
          <w:szCs w:val="20"/>
          <w:color w:val="auto"/>
        </w:rPr>
      </w:pPr>
    </w:p>
    <w:p>
      <w:pPr>
        <w:ind w:left="4340"/>
        <w:spacing w:after="0"/>
        <w:tabs>
          <w:tab w:leader="none" w:pos="4620" w:val="left"/>
          <w:tab w:leader="none" w:pos="4980" w:val="left"/>
          <w:tab w:leader="none" w:pos="5720" w:val="left"/>
          <w:tab w:leader="none" w:pos="6240" w:val="left"/>
          <w:tab w:leader="none" w:pos="6600" w:val="left"/>
          <w:tab w:leader="none" w:pos="7200" w:val="left"/>
        </w:tabs>
        <w:rPr>
          <w:sz w:val="20"/>
          <w:szCs w:val="20"/>
          <w:color w:val="auto"/>
        </w:rPr>
      </w:pPr>
      <w:r>
        <w:rPr>
          <w:rFonts w:ascii="Courier New" w:cs="Courier New" w:eastAsia="Courier New" w:hAnsi="Courier New"/>
          <w:sz w:val="12"/>
          <w:szCs w:val="12"/>
          <w:color w:val="auto"/>
        </w:rPr>
        <w:t>of</w:t>
        <w:tab/>
        <w:t>the</w:t>
        <w:tab/>
        <w:t>purchase</w:t>
        <w:tab/>
        <w:t>price</w:t>
        <w:tab/>
        <w:t>for</w:t>
        <w:tab/>
        <w:t>shares</w:t>
        <w:tab/>
        <w:t>of the</w:t>
      </w:r>
    </w:p>
    <w:p>
      <w:pPr>
        <w:spacing w:after="0" w:line="6" w:lineRule="exact"/>
        <w:rPr>
          <w:sz w:val="20"/>
          <w:szCs w:val="20"/>
          <w:color w:val="auto"/>
        </w:rPr>
      </w:pPr>
    </w:p>
    <w:p>
      <w:pPr>
        <w:ind w:left="4340"/>
        <w:spacing w:after="0"/>
        <w:tabs>
          <w:tab w:leader="none" w:pos="5060" w:val="left"/>
          <w:tab w:leader="none" w:pos="6600" w:val="left"/>
        </w:tabs>
        <w:rPr>
          <w:sz w:val="20"/>
          <w:szCs w:val="20"/>
          <w:color w:val="auto"/>
        </w:rPr>
      </w:pPr>
      <w:r>
        <w:rPr>
          <w:rFonts w:ascii="Courier New" w:cs="Courier New" w:eastAsia="Courier New" w:hAnsi="Courier New"/>
          <w:sz w:val="12"/>
          <w:szCs w:val="12"/>
          <w:color w:val="auto"/>
        </w:rPr>
        <w:t>Borrower</w:t>
        <w:tab/>
        <w:t>shall be considered</w:t>
        <w:tab/>
        <w:t>Paid-in Equity</w:t>
      </w:r>
    </w:p>
    <w:p>
      <w:pPr>
        <w:spacing w:after="0" w:line="6" w:lineRule="exact"/>
        <w:rPr>
          <w:sz w:val="20"/>
          <w:szCs w:val="20"/>
          <w:color w:val="auto"/>
        </w:rPr>
      </w:pPr>
    </w:p>
    <w:p>
      <w:pPr>
        <w:ind w:left="4340"/>
        <w:spacing w:after="0"/>
        <w:tabs>
          <w:tab w:leader="none" w:pos="4620" w:val="left"/>
          <w:tab w:leader="none" w:pos="5060" w:val="left"/>
          <w:tab w:leader="none" w:pos="5500" w:val="left"/>
          <w:tab w:leader="none" w:pos="5800" w:val="left"/>
          <w:tab w:leader="none" w:pos="6300" w:val="left"/>
          <w:tab w:leader="none" w:pos="7420" w:val="left"/>
        </w:tabs>
        <w:rPr>
          <w:sz w:val="20"/>
          <w:szCs w:val="20"/>
          <w:color w:val="auto"/>
        </w:rPr>
      </w:pPr>
      <w:r>
        <w:rPr>
          <w:rFonts w:ascii="Courier New" w:cs="Courier New" w:eastAsia="Courier New" w:hAnsi="Courier New"/>
          <w:sz w:val="12"/>
          <w:szCs w:val="12"/>
          <w:color w:val="auto"/>
        </w:rPr>
        <w:t>at</w:t>
        <w:tab/>
        <w:t>the</w:t>
        <w:tab/>
        <w:t>time</w:t>
        <w:tab/>
        <w:t>of</w:t>
        <w:tab/>
        <w:t>such</w:t>
        <w:tab/>
        <w:t>application;</w:t>
        <w:tab/>
        <w:t>and</w:t>
      </w:r>
    </w:p>
    <w:p>
      <w:pPr>
        <w:spacing w:after="0" w:line="6" w:lineRule="exact"/>
        <w:rPr>
          <w:sz w:val="20"/>
          <w:szCs w:val="20"/>
          <w:color w:val="auto"/>
        </w:rPr>
      </w:pPr>
    </w:p>
    <w:p>
      <w:pPr>
        <w:ind w:left="4340"/>
        <w:spacing w:after="0"/>
        <w:tabs>
          <w:tab w:leader="none" w:pos="5120" w:val="left"/>
          <w:tab w:leader="none" w:pos="6020" w:val="left"/>
          <w:tab w:leader="none" w:pos="6740" w:val="left"/>
        </w:tabs>
        <w:rPr>
          <w:sz w:val="20"/>
          <w:szCs w:val="20"/>
          <w:color w:val="auto"/>
        </w:rPr>
      </w:pPr>
      <w:r>
        <w:rPr>
          <w:rFonts w:ascii="Courier New" w:cs="Courier New" w:eastAsia="Courier New" w:hAnsi="Courier New"/>
          <w:sz w:val="12"/>
          <w:szCs w:val="12"/>
          <w:color w:val="auto"/>
        </w:rPr>
        <w:t>(iii) the</w:t>
        <w:tab/>
        <w:t>net amount</w:t>
        <w:tab/>
        <w:t>credited</w:t>
        <w:tab/>
        <w:t>in the books</w:t>
      </w:r>
    </w:p>
    <w:p>
      <w:pPr>
        <w:spacing w:after="0" w:line="6" w:lineRule="exact"/>
        <w:rPr>
          <w:sz w:val="20"/>
          <w:szCs w:val="20"/>
          <w:color w:val="auto"/>
        </w:rPr>
      </w:pPr>
    </w:p>
    <w:p>
      <w:pPr>
        <w:ind w:left="4340"/>
        <w:spacing w:after="0"/>
        <w:tabs>
          <w:tab w:leader="none" w:pos="4620" w:val="left"/>
          <w:tab w:leader="none" w:pos="5060" w:val="left"/>
          <w:tab w:leader="none" w:pos="5800" w:val="left"/>
          <w:tab w:leader="none" w:pos="6160" w:val="left"/>
          <w:tab w:leader="none" w:pos="7260" w:val="left"/>
        </w:tabs>
        <w:rPr>
          <w:sz w:val="20"/>
          <w:szCs w:val="20"/>
          <w:color w:val="auto"/>
        </w:rPr>
      </w:pPr>
      <w:r>
        <w:rPr>
          <w:rFonts w:ascii="Courier New" w:cs="Courier New" w:eastAsia="Courier New" w:hAnsi="Courier New"/>
          <w:sz w:val="12"/>
          <w:szCs w:val="12"/>
          <w:color w:val="auto"/>
        </w:rPr>
        <w:t>of</w:t>
        <w:tab/>
        <w:t>the</w:t>
        <w:tab/>
        <w:t>Borrower</w:t>
        <w:tab/>
        <w:t>as</w:t>
        <w:tab/>
        <w:t>irredeemable</w:t>
        <w:tab/>
        <w:t>share</w:t>
      </w:r>
    </w:p>
    <w:p>
      <w:pPr>
        <w:spacing w:after="0" w:line="6" w:lineRule="exact"/>
        <w:rPr>
          <w:sz w:val="20"/>
          <w:szCs w:val="20"/>
          <w:color w:val="auto"/>
        </w:rPr>
      </w:pPr>
    </w:p>
    <w:p>
      <w:pPr>
        <w:ind w:left="4340"/>
        <w:spacing w:after="0"/>
        <w:tabs>
          <w:tab w:leader="none" w:pos="5340" w:val="left"/>
          <w:tab w:leader="none" w:pos="6300" w:val="left"/>
          <w:tab w:leader="none" w:pos="6900" w:val="left"/>
        </w:tabs>
        <w:rPr>
          <w:sz w:val="20"/>
          <w:szCs w:val="20"/>
          <w:color w:val="auto"/>
        </w:rPr>
      </w:pPr>
      <w:r>
        <w:rPr>
          <w:rFonts w:ascii="Courier New" w:cs="Courier New" w:eastAsia="Courier New" w:hAnsi="Courier New"/>
          <w:sz w:val="12"/>
          <w:szCs w:val="12"/>
          <w:color w:val="auto"/>
        </w:rPr>
        <w:t>capital as a</w:t>
        <w:tab/>
        <w:t>consequence</w:t>
        <w:tab/>
        <w:t>of the</w:t>
        <w:tab/>
        <w:t>conversion</w:t>
      </w:r>
    </w:p>
    <w:p>
      <w:pPr>
        <w:spacing w:after="0" w:line="6" w:lineRule="exact"/>
        <w:rPr>
          <w:sz w:val="20"/>
          <w:szCs w:val="20"/>
          <w:color w:val="auto"/>
        </w:rPr>
      </w:pPr>
    </w:p>
    <w:p>
      <w:pPr>
        <w:ind w:left="4340"/>
        <w:spacing w:after="0"/>
        <w:tabs>
          <w:tab w:leader="none" w:pos="4900" w:val="left"/>
          <w:tab w:leader="none" w:pos="5860" w:val="left"/>
          <w:tab w:leader="none" w:pos="6740" w:val="left"/>
        </w:tabs>
        <w:rPr>
          <w:sz w:val="20"/>
          <w:szCs w:val="20"/>
          <w:color w:val="auto"/>
        </w:rPr>
      </w:pPr>
      <w:r>
        <w:rPr>
          <w:rFonts w:ascii="Courier New" w:cs="Courier New" w:eastAsia="Courier New" w:hAnsi="Courier New"/>
          <w:sz w:val="12"/>
          <w:szCs w:val="12"/>
          <w:color w:val="auto"/>
        </w:rPr>
        <w:t>of the</w:t>
        <w:tab/>
        <w:t>convertible</w:t>
        <w:tab/>
        <w:t>debentures</w:t>
        <w:tab/>
        <w:t>which may be</w:t>
      </w:r>
    </w:p>
    <w:p>
      <w:pPr>
        <w:spacing w:after="0" w:line="6" w:lineRule="exact"/>
        <w:rPr>
          <w:sz w:val="20"/>
          <w:szCs w:val="20"/>
          <w:color w:val="auto"/>
        </w:rPr>
      </w:pPr>
    </w:p>
    <w:p>
      <w:pPr>
        <w:ind w:left="4340"/>
        <w:spacing w:after="0"/>
        <w:tabs>
          <w:tab w:leader="none" w:pos="5420" w:val="left"/>
          <w:tab w:leader="none" w:pos="6160" w:val="left"/>
          <w:tab w:leader="none" w:pos="6900" w:val="left"/>
        </w:tabs>
        <w:rPr>
          <w:sz w:val="20"/>
          <w:szCs w:val="20"/>
          <w:color w:val="auto"/>
        </w:rPr>
      </w:pPr>
      <w:r>
        <w:rPr>
          <w:rFonts w:ascii="Courier New" w:cs="Courier New" w:eastAsia="Courier New" w:hAnsi="Courier New"/>
          <w:sz w:val="12"/>
          <w:szCs w:val="12"/>
          <w:color w:val="auto"/>
        </w:rPr>
        <w:t>issued by the</w:t>
        <w:tab/>
        <w:t>Borrower</w:t>
        <w:tab/>
        <w:t>shall be</w:t>
        <w:tab/>
        <w:t>considered</w:t>
      </w:r>
    </w:p>
    <w:p>
      <w:pPr>
        <w:spacing w:after="0" w:line="6" w:lineRule="exact"/>
        <w:rPr>
          <w:sz w:val="20"/>
          <w:szCs w:val="20"/>
          <w:color w:val="auto"/>
        </w:rPr>
      </w:pPr>
    </w:p>
    <w:p>
      <w:pPr>
        <w:ind w:left="4340"/>
        <w:spacing w:after="0"/>
        <w:tabs>
          <w:tab w:leader="none" w:pos="5060" w:val="left"/>
          <w:tab w:leader="none" w:pos="5720" w:val="left"/>
          <w:tab w:leader="none" w:pos="6020" w:val="left"/>
          <w:tab w:leader="none" w:pos="6460" w:val="left"/>
          <w:tab w:leader="none" w:pos="6960" w:val="left"/>
          <w:tab w:leader="none" w:pos="7340" w:val="left"/>
        </w:tabs>
        <w:rPr>
          <w:sz w:val="20"/>
          <w:szCs w:val="20"/>
          <w:color w:val="auto"/>
        </w:rPr>
      </w:pPr>
      <w:r>
        <w:rPr>
          <w:rFonts w:ascii="Courier New" w:cs="Courier New" w:eastAsia="Courier New" w:hAnsi="Courier New"/>
          <w:sz w:val="12"/>
          <w:szCs w:val="12"/>
          <w:color w:val="auto"/>
        </w:rPr>
        <w:t>Paid-in</w:t>
        <w:tab/>
        <w:t>Equity</w:t>
        <w:tab/>
        <w:t>at</w:t>
        <w:tab/>
        <w:t>the</w:t>
        <w:tab/>
        <w:t>time</w:t>
        <w:tab/>
        <w:t>of</w:t>
        <w:tab/>
        <w:t>such</w:t>
      </w:r>
    </w:p>
    <w:p>
      <w:pPr>
        <w:spacing w:after="0" w:line="6" w:lineRule="exact"/>
        <w:rPr>
          <w:sz w:val="20"/>
          <w:szCs w:val="20"/>
          <w:color w:val="auto"/>
        </w:rPr>
      </w:pPr>
    </w:p>
    <w:p>
      <w:pPr>
        <w:ind w:left="4340"/>
        <w:spacing w:after="0"/>
        <w:rPr>
          <w:sz w:val="20"/>
          <w:szCs w:val="20"/>
          <w:color w:val="auto"/>
        </w:rPr>
      </w:pPr>
      <w:r>
        <w:rPr>
          <w:rFonts w:ascii="Courier New" w:cs="Courier New" w:eastAsia="Courier New" w:hAnsi="Courier New"/>
          <w:sz w:val="12"/>
          <w:szCs w:val="12"/>
          <w:color w:val="auto"/>
        </w:rPr>
        <w:t>conversion;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w w:val="97"/>
              </w:rPr>
              <w:t>1.1.113.</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83"/>
        </w:trPr>
        <w:tc>
          <w:tcPr>
            <w:tcW w:w="110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1.1.114.</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"PERMITTED</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42"/>
        </w:trPr>
        <w:tc>
          <w:tcPr>
            <w:tcW w:w="1100" w:type="dxa"/>
            <w:vAlign w:val="bottom"/>
          </w:tcPr>
          <w:p>
            <w:pPr>
              <w:spacing w:after="0"/>
              <w:rPr>
                <w:sz w:val="12"/>
                <w:szCs w:val="12"/>
                <w:color w:val="auto"/>
              </w:rPr>
            </w:pP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ENCUMBRANCES"</w:t>
            </w:r>
          </w:p>
        </w:tc>
        <w:tc>
          <w:tcPr>
            <w:tcW w:w="1140" w:type="dxa"/>
            <w:vAlign w:val="bottom"/>
          </w:tcPr>
          <w:p>
            <w:pPr>
              <w:jc w:val="center"/>
              <w:ind w:left="339"/>
              <w:spacing w:after="0"/>
              <w:rPr>
                <w:sz w:val="20"/>
                <w:szCs w:val="20"/>
                <w:color w:val="auto"/>
              </w:rPr>
            </w:pPr>
            <w:r>
              <w:rPr>
                <w:rFonts w:ascii="Courier New" w:cs="Courier New" w:eastAsia="Courier New" w:hAnsi="Courier New"/>
                <w:sz w:val="12"/>
                <w:szCs w:val="12"/>
                <w:color w:val="auto"/>
              </w:rPr>
              <w:t>-  means:</w:t>
            </w: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83"/>
        </w:trPr>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140" w:type="dxa"/>
            <w:vAlign w:val="bottom"/>
          </w:tcPr>
          <w:p>
            <w:pPr>
              <w:jc w:val="center"/>
              <w:ind w:left="339"/>
              <w:spacing w:after="0"/>
              <w:rPr>
                <w:sz w:val="20"/>
                <w:szCs w:val="20"/>
                <w:color w:val="auto"/>
              </w:rPr>
            </w:pPr>
            <w:r>
              <w:rPr>
                <w:rFonts w:ascii="Courier New" w:cs="Courier New" w:eastAsia="Courier New" w:hAnsi="Courier New"/>
                <w:sz w:val="12"/>
                <w:szCs w:val="12"/>
                <w:color w:val="auto"/>
              </w:rPr>
              <w:t>(a)</w:t>
            </w:r>
          </w:p>
        </w:tc>
        <w:tc>
          <w:tcPr>
            <w:tcW w:w="400" w:type="dxa"/>
            <w:vAlign w:val="bottom"/>
          </w:tcPr>
          <w:p>
            <w:pPr>
              <w:ind w:left="40"/>
              <w:spacing w:after="0"/>
              <w:rPr>
                <w:sz w:val="20"/>
                <w:szCs w:val="20"/>
                <w:color w:val="auto"/>
              </w:rPr>
            </w:pPr>
            <w:r>
              <w:rPr>
                <w:rFonts w:ascii="Courier New" w:cs="Courier New" w:eastAsia="Courier New" w:hAnsi="Courier New"/>
                <w:sz w:val="12"/>
                <w:szCs w:val="12"/>
                <w:color w:val="auto"/>
              </w:rPr>
              <w:t>any</w:t>
            </w:r>
          </w:p>
        </w:tc>
        <w:tc>
          <w:tcPr>
            <w:tcW w:w="1100" w:type="dxa"/>
            <w:vAlign w:val="bottom"/>
          </w:tcPr>
          <w:p>
            <w:pPr>
              <w:ind w:left="140"/>
              <w:spacing w:after="0"/>
              <w:rPr>
                <w:sz w:val="20"/>
                <w:szCs w:val="20"/>
                <w:color w:val="auto"/>
              </w:rPr>
            </w:pPr>
            <w:r>
              <w:rPr>
                <w:rFonts w:ascii="Courier New" w:cs="Courier New" w:eastAsia="Courier New" w:hAnsi="Courier New"/>
                <w:sz w:val="12"/>
                <w:szCs w:val="12"/>
                <w:color w:val="auto"/>
              </w:rPr>
              <w:t>Encumbrance</w:t>
            </w:r>
          </w:p>
        </w:tc>
        <w:tc>
          <w:tcPr>
            <w:tcW w:w="1340" w:type="dxa"/>
            <w:vAlign w:val="bottom"/>
          </w:tcPr>
          <w:p>
            <w:pPr>
              <w:ind w:left="160"/>
              <w:spacing w:after="0"/>
              <w:rPr>
                <w:sz w:val="20"/>
                <w:szCs w:val="20"/>
                <w:color w:val="auto"/>
              </w:rPr>
            </w:pPr>
            <w:r>
              <w:rPr>
                <w:rFonts w:ascii="Courier New" w:cs="Courier New" w:eastAsia="Courier New" w:hAnsi="Courier New"/>
                <w:sz w:val="12"/>
                <w:szCs w:val="12"/>
                <w:color w:val="auto"/>
              </w:rPr>
              <w:t>constituted   or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4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evidenced by the Security Documents;</w:t>
            </w:r>
          </w:p>
        </w:tc>
      </w:tr>
      <w:tr>
        <w:trPr>
          <w:trHeight w:val="425"/>
        </w:trPr>
        <w:tc>
          <w:tcPr>
            <w:tcW w:w="1100" w:type="dxa"/>
            <w:vAlign w:val="bottom"/>
          </w:tcPr>
          <w:p>
            <w:pPr>
              <w:spacing w:after="0"/>
              <w:rPr>
                <w:sz w:val="24"/>
                <w:szCs w:val="24"/>
                <w:color w:val="auto"/>
              </w:rPr>
            </w:pPr>
          </w:p>
        </w:tc>
        <w:tc>
          <w:tcPr>
            <w:tcW w:w="258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- 36 -</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0" w:lineRule="exact"/>
        <w:rPr>
          <w:sz w:val="20"/>
          <w:szCs w:val="20"/>
          <w:color w:val="auto"/>
        </w:rPr>
      </w:pPr>
    </w:p>
    <w:p>
      <w:pPr>
        <w:spacing w:after="0" w:line="351" w:lineRule="exact"/>
        <w:rPr>
          <w:sz w:val="20"/>
          <w:szCs w:val="20"/>
          <w:color w:val="auto"/>
        </w:rPr>
      </w:pPr>
    </w:p>
    <w:p>
      <w:pPr>
        <w:ind w:left="4340"/>
        <w:spacing w:after="0"/>
        <w:tabs>
          <w:tab w:leader="none" w:pos="4840" w:val="left"/>
        </w:tabs>
        <w:rPr>
          <w:sz w:val="20"/>
          <w:szCs w:val="20"/>
          <w:color w:val="auto"/>
        </w:rPr>
      </w:pPr>
      <w:r>
        <w:rPr>
          <w:rFonts w:ascii="Courier New" w:cs="Courier New" w:eastAsia="Courier New" w:hAnsi="Courier New"/>
          <w:sz w:val="12"/>
          <w:szCs w:val="12"/>
          <w:color w:val="auto"/>
        </w:rPr>
        <w:t>(b)</w:t>
      </w:r>
      <w:r>
        <w:rPr>
          <w:sz w:val="20"/>
          <w:szCs w:val="20"/>
          <w:color w:val="auto"/>
        </w:rPr>
        <w:tab/>
      </w:r>
      <w:r>
        <w:rPr>
          <w:rFonts w:ascii="Courier New" w:cs="Courier New" w:eastAsia="Courier New" w:hAnsi="Courier New"/>
          <w:sz w:val="12"/>
          <w:szCs w:val="12"/>
          <w:color w:val="auto"/>
        </w:rPr>
        <w:t>the Existing Encumbrance;</w:t>
      </w:r>
    </w:p>
    <w:p>
      <w:pPr>
        <w:spacing w:after="0" w:line="147" w:lineRule="exact"/>
        <w:rPr>
          <w:sz w:val="20"/>
          <w:szCs w:val="20"/>
          <w:color w:val="auto"/>
        </w:rPr>
      </w:pPr>
    </w:p>
    <w:p>
      <w:pPr>
        <w:ind w:left="4340"/>
        <w:spacing w:after="0"/>
        <w:tabs>
          <w:tab w:leader="none" w:pos="4840" w:val="left"/>
          <w:tab w:leader="none" w:pos="5060" w:val="left"/>
          <w:tab w:leader="none" w:pos="6240" w:val="left"/>
          <w:tab w:leader="none" w:pos="6960" w:val="left"/>
        </w:tabs>
        <w:rPr>
          <w:sz w:val="20"/>
          <w:szCs w:val="20"/>
          <w:color w:val="auto"/>
        </w:rPr>
      </w:pPr>
      <w:r>
        <w:rPr>
          <w:rFonts w:ascii="Courier New" w:cs="Courier New" w:eastAsia="Courier New" w:hAnsi="Courier New"/>
          <w:sz w:val="12"/>
          <w:szCs w:val="12"/>
          <w:color w:val="auto"/>
        </w:rPr>
        <w:t>(c)</w:t>
      </w:r>
      <w:r>
        <w:rPr>
          <w:sz w:val="20"/>
          <w:szCs w:val="20"/>
          <w:color w:val="auto"/>
        </w:rPr>
        <w:tab/>
      </w:r>
      <w:r>
        <w:rPr>
          <w:rFonts w:ascii="Courier New" w:cs="Courier New" w:eastAsia="Courier New" w:hAnsi="Courier New"/>
          <w:sz w:val="12"/>
          <w:szCs w:val="12"/>
          <w:color w:val="auto"/>
        </w:rPr>
        <w:t>a</w:t>
        <w:tab/>
        <w:t>second-ranking</w:t>
        <w:tab/>
        <w:t>floating</w:t>
        <w:tab/>
        <w:t>charge in</w:t>
      </w:r>
    </w:p>
    <w:p>
      <w:pPr>
        <w:spacing w:after="0" w:line="6" w:lineRule="exact"/>
        <w:rPr>
          <w:sz w:val="20"/>
          <w:szCs w:val="20"/>
          <w:color w:val="auto"/>
        </w:rPr>
      </w:pPr>
    </w:p>
    <w:p>
      <w:pPr>
        <w:ind w:left="4860"/>
        <w:spacing w:after="0"/>
        <w:tabs>
          <w:tab w:leader="none" w:pos="5500" w:val="left"/>
          <w:tab w:leader="none" w:pos="5800" w:val="left"/>
          <w:tab w:leader="none" w:pos="6240" w:val="left"/>
          <w:tab w:leader="none" w:pos="6820" w:val="left"/>
          <w:tab w:leader="none" w:pos="7200" w:val="left"/>
        </w:tabs>
        <w:rPr>
          <w:sz w:val="20"/>
          <w:szCs w:val="20"/>
          <w:color w:val="auto"/>
        </w:rPr>
      </w:pPr>
      <w:r>
        <w:rPr>
          <w:rFonts w:ascii="Courier New" w:cs="Courier New" w:eastAsia="Courier New" w:hAnsi="Courier New"/>
          <w:sz w:val="12"/>
          <w:szCs w:val="12"/>
          <w:color w:val="auto"/>
        </w:rPr>
        <w:t>favour</w:t>
        <w:tab/>
        <w:t>of</w:t>
        <w:tab/>
        <w:t>the</w:t>
        <w:tab/>
        <w:t>State</w:t>
        <w:tab/>
        <w:t>of</w:t>
      </w:r>
      <w:r>
        <w:rPr>
          <w:sz w:val="20"/>
          <w:szCs w:val="20"/>
          <w:color w:val="auto"/>
        </w:rPr>
        <w:tab/>
      </w:r>
      <w:r>
        <w:rPr>
          <w:rFonts w:ascii="Courier New" w:cs="Courier New" w:eastAsia="Courier New" w:hAnsi="Courier New"/>
          <w:sz w:val="12"/>
          <w:szCs w:val="12"/>
          <w:color w:val="auto"/>
        </w:rPr>
        <w:t>Israel</w:t>
      </w:r>
    </w:p>
    <w:p>
      <w:pPr>
        <w:spacing w:after="0" w:line="6" w:lineRule="exact"/>
        <w:rPr>
          <w:sz w:val="20"/>
          <w:szCs w:val="20"/>
          <w:color w:val="auto"/>
        </w:rPr>
      </w:pPr>
    </w:p>
    <w:p>
      <w:pPr>
        <w:ind w:left="4860"/>
        <w:spacing w:after="0"/>
        <w:tabs>
          <w:tab w:leader="none" w:pos="5800" w:val="left"/>
        </w:tabs>
        <w:rPr>
          <w:sz w:val="20"/>
          <w:szCs w:val="20"/>
          <w:color w:val="auto"/>
        </w:rPr>
      </w:pPr>
      <w:r>
        <w:rPr>
          <w:rFonts w:ascii="Courier New" w:cs="Courier New" w:eastAsia="Courier New" w:hAnsi="Courier New"/>
          <w:sz w:val="12"/>
          <w:szCs w:val="12"/>
          <w:color w:val="auto"/>
        </w:rPr>
        <w:t>(Investment</w:t>
        <w:tab/>
        <w:t>Centre) or in favour of a</w:t>
      </w:r>
    </w:p>
    <w:p>
      <w:pPr>
        <w:spacing w:after="0" w:line="6" w:lineRule="exact"/>
        <w:rPr>
          <w:sz w:val="20"/>
          <w:szCs w:val="20"/>
          <w:color w:val="auto"/>
        </w:rPr>
      </w:pPr>
    </w:p>
    <w:p>
      <w:pPr>
        <w:ind w:left="4860"/>
        <w:spacing w:after="0"/>
        <w:tabs>
          <w:tab w:leader="none" w:pos="5280" w:val="left"/>
          <w:tab w:leader="none" w:pos="5940" w:val="left"/>
          <w:tab w:leader="none" w:pos="6460" w:val="left"/>
          <w:tab w:leader="none" w:pos="6900" w:val="left"/>
        </w:tabs>
        <w:rPr>
          <w:sz w:val="20"/>
          <w:szCs w:val="20"/>
          <w:color w:val="auto"/>
        </w:rPr>
      </w:pPr>
      <w:r>
        <w:rPr>
          <w:rFonts w:ascii="Courier New" w:cs="Courier New" w:eastAsia="Courier New" w:hAnsi="Courier New"/>
          <w:sz w:val="12"/>
          <w:szCs w:val="12"/>
          <w:color w:val="auto"/>
        </w:rPr>
        <w:t>bank</w:t>
        <w:tab/>
        <w:t>through</w:t>
        <w:tab/>
        <w:t>which</w:t>
        <w:tab/>
        <w:t>the</w:t>
        <w:tab/>
        <w:t>Investment</w:t>
      </w:r>
    </w:p>
    <w:p>
      <w:pPr>
        <w:spacing w:after="0" w:line="6" w:lineRule="exact"/>
        <w:rPr>
          <w:sz w:val="20"/>
          <w:szCs w:val="20"/>
          <w:color w:val="auto"/>
        </w:rPr>
      </w:pPr>
    </w:p>
    <w:p>
      <w:pPr>
        <w:ind w:left="4860"/>
        <w:spacing w:after="0"/>
        <w:tabs>
          <w:tab w:leader="none" w:pos="5420" w:val="left"/>
          <w:tab w:leader="none" w:pos="5940" w:val="left"/>
          <w:tab w:leader="none" w:pos="6460" w:val="left"/>
          <w:tab w:leader="none" w:pos="6740" w:val="left"/>
          <w:tab w:leader="none" w:pos="7340" w:val="left"/>
        </w:tabs>
        <w:rPr>
          <w:sz w:val="20"/>
          <w:szCs w:val="20"/>
          <w:color w:val="auto"/>
        </w:rPr>
      </w:pPr>
      <w:r>
        <w:rPr>
          <w:rFonts w:ascii="Courier New" w:cs="Courier New" w:eastAsia="Courier New" w:hAnsi="Courier New"/>
          <w:sz w:val="12"/>
          <w:szCs w:val="12"/>
          <w:color w:val="auto"/>
        </w:rPr>
        <w:t>Centre</w:t>
        <w:tab/>
        <w:t>Fab 2</w:t>
        <w:tab/>
        <w:t>Grant</w:t>
        <w:tab/>
        <w:t>is</w:t>
        <w:tab/>
        <w:t>made,</w:t>
        <w:tab/>
        <w:t>such</w:t>
      </w:r>
    </w:p>
    <w:p>
      <w:pPr>
        <w:spacing w:after="0" w:line="6" w:lineRule="exact"/>
        <w:rPr>
          <w:sz w:val="20"/>
          <w:szCs w:val="20"/>
          <w:color w:val="auto"/>
        </w:rPr>
      </w:pPr>
    </w:p>
    <w:p>
      <w:pPr>
        <w:ind w:left="4860"/>
        <w:spacing w:after="0"/>
        <w:tabs>
          <w:tab w:leader="none" w:pos="6080" w:val="left"/>
          <w:tab w:leader="none" w:pos="6820" w:val="left"/>
        </w:tabs>
        <w:rPr>
          <w:sz w:val="20"/>
          <w:szCs w:val="20"/>
          <w:color w:val="auto"/>
        </w:rPr>
      </w:pPr>
      <w:r>
        <w:rPr>
          <w:rFonts w:ascii="Courier New" w:cs="Courier New" w:eastAsia="Courier New" w:hAnsi="Courier New"/>
          <w:sz w:val="12"/>
          <w:szCs w:val="12"/>
          <w:color w:val="auto"/>
        </w:rPr>
        <w:t>floating charge</w:t>
        <w:tab/>
        <w:t>securing</w:t>
        <w:tab/>
        <w:t>obligations</w:t>
      </w:r>
    </w:p>
    <w:p>
      <w:pPr>
        <w:spacing w:after="0" w:line="6" w:lineRule="exact"/>
        <w:rPr>
          <w:sz w:val="20"/>
          <w:szCs w:val="20"/>
          <w:color w:val="auto"/>
        </w:rPr>
      </w:pPr>
    </w:p>
    <w:p>
      <w:pPr>
        <w:ind w:left="4860"/>
        <w:spacing w:after="0"/>
        <w:tabs>
          <w:tab w:leader="none" w:pos="6300" w:val="left"/>
          <w:tab w:leader="none" w:pos="7200" w:val="left"/>
        </w:tabs>
        <w:rPr>
          <w:sz w:val="20"/>
          <w:szCs w:val="20"/>
          <w:color w:val="auto"/>
        </w:rPr>
      </w:pPr>
      <w:r>
        <w:rPr>
          <w:rFonts w:ascii="Courier New" w:cs="Courier New" w:eastAsia="Courier New" w:hAnsi="Courier New"/>
          <w:sz w:val="12"/>
          <w:szCs w:val="12"/>
          <w:color w:val="auto"/>
        </w:rPr>
        <w:t>in respect of such</w:t>
        <w:tab/>
        <w:t>Investment</w:t>
        <w:tab/>
        <w:t>Centre</w:t>
      </w:r>
    </w:p>
    <w:p>
      <w:pPr>
        <w:spacing w:after="0" w:line="6" w:lineRule="exact"/>
        <w:rPr>
          <w:sz w:val="20"/>
          <w:szCs w:val="20"/>
          <w:color w:val="auto"/>
        </w:rPr>
      </w:pPr>
    </w:p>
    <w:p>
      <w:pPr>
        <w:ind w:left="4860"/>
        <w:spacing w:after="0"/>
        <w:tabs>
          <w:tab w:leader="none" w:pos="5340" w:val="left"/>
          <w:tab w:leader="none" w:pos="6160" w:val="left"/>
          <w:tab w:leader="none" w:pos="6960" w:val="left"/>
        </w:tabs>
        <w:rPr>
          <w:sz w:val="20"/>
          <w:szCs w:val="20"/>
          <w:color w:val="auto"/>
        </w:rPr>
      </w:pPr>
      <w:r>
        <w:rPr>
          <w:rFonts w:ascii="Courier New" w:cs="Courier New" w:eastAsia="Courier New" w:hAnsi="Courier New"/>
          <w:sz w:val="12"/>
          <w:szCs w:val="12"/>
          <w:color w:val="auto"/>
        </w:rPr>
        <w:t>Fab 2</w:t>
        <w:tab/>
        <w:t>Grants as</w:t>
        <w:tab/>
        <w:t>aforesaid</w:t>
        <w:tab/>
        <w:t>and to be</w:t>
      </w:r>
    </w:p>
    <w:p>
      <w:pPr>
        <w:spacing w:after="0" w:line="6" w:lineRule="exact"/>
        <w:rPr>
          <w:sz w:val="20"/>
          <w:szCs w:val="20"/>
          <w:color w:val="auto"/>
        </w:rPr>
      </w:pPr>
    </w:p>
    <w:p>
      <w:pPr>
        <w:ind w:left="4860"/>
        <w:spacing w:after="0"/>
        <w:tabs>
          <w:tab w:leader="none" w:pos="5940" w:val="left"/>
          <w:tab w:leader="none" w:pos="6300" w:val="left"/>
          <w:tab w:leader="none" w:pos="6740" w:val="left"/>
        </w:tabs>
        <w:rPr>
          <w:sz w:val="20"/>
          <w:szCs w:val="20"/>
          <w:color w:val="auto"/>
        </w:rPr>
      </w:pPr>
      <w:r>
        <w:rPr>
          <w:rFonts w:ascii="Courier New" w:cs="Courier New" w:eastAsia="Courier New" w:hAnsi="Courier New"/>
          <w:sz w:val="12"/>
          <w:szCs w:val="12"/>
          <w:color w:val="auto"/>
        </w:rPr>
        <w:t>subordinated</w:t>
        <w:tab/>
        <w:t>to</w:t>
        <w:tab/>
        <w:t>the</w:t>
        <w:tab/>
        <w:t>Encumbrances</w:t>
      </w:r>
    </w:p>
    <w:p>
      <w:pPr>
        <w:spacing w:after="0" w:line="6" w:lineRule="exact"/>
        <w:rPr>
          <w:sz w:val="20"/>
          <w:szCs w:val="20"/>
          <w:color w:val="auto"/>
        </w:rPr>
      </w:pPr>
    </w:p>
    <w:p>
      <w:pPr>
        <w:ind w:left="4860"/>
        <w:spacing w:after="0"/>
        <w:tabs>
          <w:tab w:leader="none" w:pos="5580" w:val="left"/>
          <w:tab w:leader="none" w:pos="6080" w:val="left"/>
          <w:tab w:leader="none" w:pos="7200" w:val="left"/>
        </w:tabs>
        <w:rPr>
          <w:sz w:val="20"/>
          <w:szCs w:val="20"/>
          <w:color w:val="auto"/>
        </w:rPr>
      </w:pPr>
      <w:r>
        <w:rPr>
          <w:rFonts w:ascii="Courier New" w:cs="Courier New" w:eastAsia="Courier New" w:hAnsi="Courier New"/>
          <w:sz w:val="12"/>
          <w:szCs w:val="12"/>
          <w:color w:val="auto"/>
        </w:rPr>
        <w:t>referred</w:t>
        <w:tab/>
        <w:t>to in</w:t>
        <w:tab/>
        <w:t>paragraph (a)</w:t>
        <w:tab/>
        <w:t>above,</w:t>
      </w:r>
    </w:p>
    <w:p>
      <w:pPr>
        <w:spacing w:after="0" w:line="6" w:lineRule="exact"/>
        <w:rPr>
          <w:sz w:val="20"/>
          <w:szCs w:val="20"/>
          <w:color w:val="auto"/>
        </w:rPr>
      </w:pPr>
    </w:p>
    <w:p>
      <w:pPr>
        <w:ind w:left="4860"/>
        <w:spacing w:after="0"/>
        <w:tabs>
          <w:tab w:leader="none" w:pos="5280" w:val="left"/>
          <w:tab w:leader="none" w:pos="6020" w:val="left"/>
          <w:tab w:leader="none" w:pos="6600" w:val="left"/>
          <w:tab w:leader="none" w:pos="7120" w:val="left"/>
          <w:tab w:leader="none" w:pos="7420" w:val="left"/>
        </w:tabs>
        <w:rPr>
          <w:sz w:val="20"/>
          <w:szCs w:val="20"/>
          <w:color w:val="auto"/>
        </w:rPr>
      </w:pPr>
      <w:r>
        <w:rPr>
          <w:rFonts w:ascii="Courier New" w:cs="Courier New" w:eastAsia="Courier New" w:hAnsi="Courier New"/>
          <w:sz w:val="12"/>
          <w:szCs w:val="12"/>
          <w:color w:val="auto"/>
        </w:rPr>
        <w:t>such</w:t>
        <w:tab/>
        <w:t>floating</w:t>
        <w:tab/>
        <w:t>charge</w:t>
        <w:tab/>
        <w:t>to be</w:t>
        <w:tab/>
        <w:t>in</w:t>
        <w:tab/>
        <w:t>the</w:t>
      </w:r>
    </w:p>
    <w:p>
      <w:pPr>
        <w:spacing w:after="0" w:line="6" w:lineRule="exact"/>
        <w:rPr>
          <w:sz w:val="20"/>
          <w:szCs w:val="20"/>
          <w:color w:val="auto"/>
        </w:rPr>
      </w:pPr>
    </w:p>
    <w:p>
      <w:pPr>
        <w:ind w:left="4860"/>
        <w:spacing w:after="0"/>
        <w:tabs>
          <w:tab w:leader="none" w:pos="5720" w:val="left"/>
          <w:tab w:leader="none" w:pos="6460" w:val="left"/>
        </w:tabs>
        <w:rPr>
          <w:sz w:val="20"/>
          <w:szCs w:val="20"/>
          <w:color w:val="auto"/>
        </w:rPr>
      </w:pPr>
      <w:r>
        <w:rPr>
          <w:rFonts w:ascii="Courier New" w:cs="Courier New" w:eastAsia="Courier New" w:hAnsi="Courier New"/>
          <w:sz w:val="12"/>
          <w:szCs w:val="12"/>
          <w:color w:val="auto"/>
        </w:rPr>
        <w:t>customary,</w:t>
        <w:tab/>
        <w:t>standard</w:t>
        <w:tab/>
        <w:t>form required by</w:t>
      </w:r>
    </w:p>
    <w:p>
      <w:pPr>
        <w:spacing w:after="0" w:line="6" w:lineRule="exact"/>
        <w:rPr>
          <w:sz w:val="20"/>
          <w:szCs w:val="20"/>
          <w:color w:val="auto"/>
        </w:rPr>
      </w:pPr>
    </w:p>
    <w:p>
      <w:pPr>
        <w:ind w:left="4860"/>
        <w:spacing w:after="0"/>
        <w:rPr>
          <w:sz w:val="20"/>
          <w:szCs w:val="20"/>
          <w:color w:val="auto"/>
        </w:rPr>
      </w:pPr>
      <w:r>
        <w:rPr>
          <w:rFonts w:ascii="Courier New" w:cs="Courier New" w:eastAsia="Courier New" w:hAnsi="Courier New"/>
          <w:sz w:val="12"/>
          <w:szCs w:val="12"/>
          <w:color w:val="auto"/>
        </w:rPr>
        <w:t>the Investment Centre; and</w:t>
      </w:r>
    </w:p>
    <w:p>
      <w:pPr>
        <w:spacing w:after="0" w:line="147" w:lineRule="exact"/>
        <w:rPr>
          <w:sz w:val="20"/>
          <w:szCs w:val="20"/>
          <w:color w:val="auto"/>
        </w:rPr>
      </w:pPr>
    </w:p>
    <w:p>
      <w:pPr>
        <w:ind w:left="4340"/>
        <w:spacing w:after="0"/>
        <w:tabs>
          <w:tab w:leader="none" w:pos="4840" w:val="left"/>
          <w:tab w:leader="none" w:pos="5420" w:val="left"/>
          <w:tab w:leader="none" w:pos="6600" w:val="left"/>
          <w:tab w:leader="none" w:pos="7120" w:val="left"/>
        </w:tabs>
        <w:rPr>
          <w:sz w:val="20"/>
          <w:szCs w:val="20"/>
          <w:color w:val="auto"/>
        </w:rPr>
      </w:pPr>
      <w:r>
        <w:rPr>
          <w:rFonts w:ascii="Courier New" w:cs="Courier New" w:eastAsia="Courier New" w:hAnsi="Courier New"/>
          <w:sz w:val="12"/>
          <w:szCs w:val="12"/>
          <w:color w:val="auto"/>
        </w:rPr>
        <w:t>(d)</w:t>
      </w:r>
      <w:r>
        <w:rPr>
          <w:sz w:val="20"/>
          <w:szCs w:val="20"/>
          <w:color w:val="auto"/>
        </w:rPr>
        <w:tab/>
      </w:r>
      <w:r>
        <w:rPr>
          <w:rFonts w:ascii="Courier New" w:cs="Courier New" w:eastAsia="Courier New" w:hAnsi="Courier New"/>
          <w:sz w:val="12"/>
          <w:szCs w:val="12"/>
          <w:color w:val="auto"/>
        </w:rPr>
        <w:t>those</w:t>
        <w:tab/>
        <w:t>first-ranking</w:t>
        <w:tab/>
        <w:t>fixed</w:t>
        <w:tab/>
        <w:t>charges</w:t>
      </w:r>
    </w:p>
    <w:p>
      <w:pPr>
        <w:spacing w:after="0" w:line="6" w:lineRule="exact"/>
        <w:rPr>
          <w:sz w:val="20"/>
          <w:szCs w:val="20"/>
          <w:color w:val="auto"/>
        </w:rPr>
      </w:pPr>
    </w:p>
    <w:p>
      <w:pPr>
        <w:ind w:left="4860"/>
        <w:spacing w:after="0"/>
        <w:tabs>
          <w:tab w:leader="none" w:pos="5280" w:val="left"/>
          <w:tab w:leader="none" w:pos="6020" w:val="left"/>
          <w:tab w:leader="none" w:pos="6900" w:val="left"/>
          <w:tab w:leader="none" w:pos="7260" w:val="left"/>
        </w:tabs>
        <w:rPr>
          <w:sz w:val="20"/>
          <w:szCs w:val="20"/>
          <w:color w:val="auto"/>
        </w:rPr>
      </w:pPr>
      <w:r>
        <w:rPr>
          <w:rFonts w:ascii="Courier New" w:cs="Courier New" w:eastAsia="Courier New" w:hAnsi="Courier New"/>
          <w:sz w:val="12"/>
          <w:szCs w:val="12"/>
          <w:color w:val="auto"/>
        </w:rPr>
        <w:t>over</w:t>
        <w:tab/>
        <w:t>certain</w:t>
        <w:tab/>
        <w:t>equipment</w:t>
        <w:tab/>
        <w:t>and</w:t>
        <w:tab/>
        <w:t>other</w:t>
      </w:r>
    </w:p>
    <w:p>
      <w:pPr>
        <w:spacing w:after="0" w:line="6" w:lineRule="exact"/>
        <w:rPr>
          <w:sz w:val="20"/>
          <w:szCs w:val="20"/>
          <w:color w:val="auto"/>
        </w:rPr>
      </w:pPr>
    </w:p>
    <w:p>
      <w:pPr>
        <w:ind w:left="4860"/>
        <w:spacing w:after="0"/>
        <w:tabs>
          <w:tab w:leader="none" w:pos="5420" w:val="left"/>
          <w:tab w:leader="none" w:pos="6080" w:val="left"/>
          <w:tab w:leader="none" w:pos="6380" w:val="left"/>
          <w:tab w:leader="none" w:pos="6740" w:val="left"/>
          <w:tab w:leader="none" w:pos="7480" w:val="left"/>
        </w:tabs>
        <w:rPr>
          <w:sz w:val="20"/>
          <w:szCs w:val="20"/>
          <w:color w:val="auto"/>
        </w:rPr>
      </w:pPr>
      <w:r>
        <w:rPr>
          <w:rFonts w:ascii="Courier New" w:cs="Courier New" w:eastAsia="Courier New" w:hAnsi="Courier New"/>
          <w:sz w:val="12"/>
          <w:szCs w:val="12"/>
          <w:color w:val="auto"/>
        </w:rPr>
        <w:t>assets</w:t>
        <w:tab/>
        <w:t>granted</w:t>
        <w:tab/>
        <w:t>by</w:t>
        <w:tab/>
        <w:t>the</w:t>
        <w:tab/>
        <w:t>Borrower</w:t>
        <w:tab/>
        <w:t>in</w:t>
      </w:r>
    </w:p>
    <w:p>
      <w:pPr>
        <w:spacing w:after="0" w:line="6" w:lineRule="exact"/>
        <w:rPr>
          <w:sz w:val="20"/>
          <w:szCs w:val="20"/>
          <w:color w:val="auto"/>
        </w:rPr>
      </w:pPr>
    </w:p>
    <w:p>
      <w:pPr>
        <w:ind w:left="4860"/>
        <w:spacing w:after="0"/>
        <w:rPr>
          <w:sz w:val="20"/>
          <w:szCs w:val="20"/>
          <w:color w:val="auto"/>
        </w:rPr>
      </w:pPr>
      <w:r>
        <w:rPr>
          <w:rFonts w:ascii="Courier New" w:cs="Courier New" w:eastAsia="Courier New" w:hAnsi="Courier New"/>
          <w:sz w:val="12"/>
          <w:szCs w:val="12"/>
          <w:color w:val="auto"/>
        </w:rPr>
        <w:t>favour of each of:</w:t>
      </w:r>
    </w:p>
    <w:p>
      <w:pPr>
        <w:spacing w:after="0" w:line="147" w:lineRule="exact"/>
        <w:rPr>
          <w:sz w:val="20"/>
          <w:szCs w:val="20"/>
          <w:color w:val="auto"/>
        </w:rPr>
      </w:pPr>
    </w:p>
    <w:tbl>
      <w:tblPr>
        <w:tblLayout w:type="fixed"/>
        <w:tblInd w:w="4860" w:type="dxa"/>
        <w:tblCellMar>
          <w:top w:w="0" w:type="dxa"/>
          <w:left w:w="0" w:type="dxa"/>
          <w:bottom w:w="0" w:type="dxa"/>
          <w:right w:w="0" w:type="dxa"/>
        </w:tblCellMar>
      </w:tblPr>
      <w:tr>
        <w:trPr>
          <w:trHeight w:val="138"/>
        </w:trPr>
        <w:tc>
          <w:tcPr>
            <w:tcW w:w="400" w:type="dxa"/>
            <w:vAlign w:val="bottom"/>
          </w:tcPr>
          <w:p>
            <w:pPr>
              <w:spacing w:after="0"/>
              <w:rPr>
                <w:sz w:val="20"/>
                <w:szCs w:val="20"/>
                <w:color w:val="auto"/>
              </w:rPr>
            </w:pPr>
            <w:r>
              <w:rPr>
                <w:rFonts w:ascii="Courier New" w:cs="Courier New" w:eastAsia="Courier New" w:hAnsi="Courier New"/>
                <w:sz w:val="12"/>
                <w:szCs w:val="12"/>
                <w:color w:val="auto"/>
              </w:rPr>
              <w:t>(i)</w:t>
            </w:r>
          </w:p>
        </w:tc>
        <w:tc>
          <w:tcPr>
            <w:tcW w:w="84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99"/>
              </w:rPr>
              <w:t>Matsushita</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Electronic</w:t>
            </w:r>
          </w:p>
        </w:tc>
      </w:tr>
      <w:tr>
        <w:trPr>
          <w:trHeight w:val="142"/>
        </w:trPr>
        <w:tc>
          <w:tcPr>
            <w:tcW w:w="400" w:type="dxa"/>
            <w:vAlign w:val="bottom"/>
          </w:tcPr>
          <w:p>
            <w:pPr>
              <w:spacing w:after="0"/>
              <w:rPr>
                <w:sz w:val="12"/>
                <w:szCs w:val="12"/>
                <w:color w:val="auto"/>
              </w:rPr>
            </w:pPr>
          </w:p>
        </w:tc>
        <w:tc>
          <w:tcPr>
            <w:tcW w:w="84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99"/>
              </w:rPr>
              <w:t>Industrial</w:t>
            </w:r>
          </w:p>
        </w:tc>
        <w:tc>
          <w:tcPr>
            <w:tcW w:w="1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w w:val="92"/>
              </w:rPr>
              <w:t>Co.</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Ltd.</w:t>
            </w: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("MEI"),</w:t>
            </w:r>
          </w:p>
        </w:tc>
      </w:tr>
      <w:tr>
        <w:trPr>
          <w:trHeight w:val="142"/>
        </w:trPr>
        <w:tc>
          <w:tcPr>
            <w:tcW w:w="400" w:type="dxa"/>
            <w:vAlign w:val="bottom"/>
          </w:tcPr>
          <w:p>
            <w:pPr>
              <w:spacing w:after="0"/>
              <w:rPr>
                <w:sz w:val="12"/>
                <w:szCs w:val="12"/>
                <w:color w:val="auto"/>
              </w:rPr>
            </w:pPr>
          </w:p>
        </w:tc>
        <w:tc>
          <w:tcPr>
            <w:tcW w:w="84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pursuant</w:t>
            </w:r>
          </w:p>
        </w:tc>
        <w:tc>
          <w:tcPr>
            <w:tcW w:w="160" w:type="dxa"/>
            <w:vAlign w:val="bottom"/>
          </w:tcPr>
          <w:p>
            <w:pPr>
              <w:spacing w:after="0"/>
              <w:rPr>
                <w:sz w:val="20"/>
                <w:szCs w:val="20"/>
                <w:color w:val="auto"/>
              </w:rPr>
            </w:pPr>
            <w:r>
              <w:rPr>
                <w:rFonts w:ascii="Courier New" w:cs="Courier New" w:eastAsia="Courier New" w:hAnsi="Courier New"/>
                <w:sz w:val="12"/>
                <w:szCs w:val="12"/>
                <w:color w:val="auto"/>
                <w:w w:val="96"/>
              </w:rPr>
              <w:t>to</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a</w:t>
            </w:r>
          </w:p>
        </w:tc>
        <w:tc>
          <w:tcPr>
            <w:tcW w:w="680" w:type="dxa"/>
            <w:vAlign w:val="bottom"/>
            <w:gridSpan w:val="3"/>
          </w:tcPr>
          <w:p>
            <w:pPr>
              <w:jc w:val="right"/>
              <w:ind w:right="99"/>
              <w:spacing w:after="0"/>
              <w:rPr>
                <w:sz w:val="20"/>
                <w:szCs w:val="20"/>
                <w:color w:val="auto"/>
              </w:rPr>
            </w:pPr>
            <w:r>
              <w:rPr>
                <w:rFonts w:ascii="Courier New" w:cs="Courier New" w:eastAsia="Courier New" w:hAnsi="Courier New"/>
                <w:sz w:val="12"/>
                <w:szCs w:val="12"/>
                <w:color w:val="auto"/>
              </w:rPr>
              <w:t>pledge</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dated</w:t>
            </w:r>
          </w:p>
        </w:tc>
      </w:tr>
      <w:tr>
        <w:trPr>
          <w:trHeight w:val="142"/>
        </w:trPr>
        <w:tc>
          <w:tcPr>
            <w:tcW w:w="400" w:type="dxa"/>
            <w:vAlign w:val="bottom"/>
          </w:tcPr>
          <w:p>
            <w:pPr>
              <w:spacing w:after="0"/>
              <w:rPr>
                <w:sz w:val="12"/>
                <w:szCs w:val="12"/>
                <w:color w:val="auto"/>
              </w:rPr>
            </w:pPr>
          </w:p>
        </w:tc>
        <w:tc>
          <w:tcPr>
            <w:tcW w:w="2400" w:type="dxa"/>
            <w:vAlign w:val="bottom"/>
            <w:gridSpan w:val="8"/>
          </w:tcPr>
          <w:p>
            <w:pPr>
              <w:ind w:left="100"/>
              <w:spacing w:after="0"/>
              <w:rPr>
                <w:sz w:val="20"/>
                <w:szCs w:val="20"/>
                <w:color w:val="auto"/>
              </w:rPr>
            </w:pPr>
            <w:r>
              <w:rPr>
                <w:rFonts w:ascii="Courier New" w:cs="Courier New" w:eastAsia="Courier New" w:hAnsi="Courier New"/>
                <w:sz w:val="12"/>
                <w:szCs w:val="12"/>
                <w:color w:val="auto"/>
              </w:rPr>
              <w:t>October 31,  2002, entered into</w:t>
            </w:r>
          </w:p>
        </w:tc>
      </w:tr>
      <w:tr>
        <w:trPr>
          <w:trHeight w:val="142"/>
        </w:trPr>
        <w:tc>
          <w:tcPr>
            <w:tcW w:w="400" w:type="dxa"/>
            <w:vAlign w:val="bottom"/>
          </w:tcPr>
          <w:p>
            <w:pPr>
              <w:spacing w:after="0"/>
              <w:rPr>
                <w:sz w:val="12"/>
                <w:szCs w:val="12"/>
                <w:color w:val="auto"/>
              </w:rPr>
            </w:pPr>
          </w:p>
        </w:tc>
        <w:tc>
          <w:tcPr>
            <w:tcW w:w="2400" w:type="dxa"/>
            <w:vAlign w:val="bottom"/>
            <w:gridSpan w:val="8"/>
          </w:tcPr>
          <w:p>
            <w:pPr>
              <w:ind w:left="100"/>
              <w:spacing w:after="0"/>
              <w:rPr>
                <w:sz w:val="20"/>
                <w:szCs w:val="20"/>
                <w:color w:val="auto"/>
              </w:rPr>
            </w:pPr>
            <w:r>
              <w:rPr>
                <w:rFonts w:ascii="Courier New" w:cs="Courier New" w:eastAsia="Courier New" w:hAnsi="Courier New"/>
                <w:sz w:val="12"/>
                <w:szCs w:val="12"/>
                <w:color w:val="auto"/>
              </w:rPr>
              <w:t>in  connection  with the  Joint</w:t>
            </w:r>
          </w:p>
        </w:tc>
      </w:tr>
      <w:tr>
        <w:trPr>
          <w:trHeight w:val="142"/>
        </w:trPr>
        <w:tc>
          <w:tcPr>
            <w:tcW w:w="400" w:type="dxa"/>
            <w:vAlign w:val="bottom"/>
          </w:tcPr>
          <w:p>
            <w:pPr>
              <w:spacing w:after="0"/>
              <w:rPr>
                <w:sz w:val="12"/>
                <w:szCs w:val="12"/>
                <w:color w:val="auto"/>
              </w:rPr>
            </w:pPr>
          </w:p>
        </w:tc>
        <w:tc>
          <w:tcPr>
            <w:tcW w:w="1000" w:type="dxa"/>
            <w:vAlign w:val="bottom"/>
            <w:gridSpan w:val="3"/>
          </w:tcPr>
          <w:p>
            <w:pPr>
              <w:ind w:left="100"/>
              <w:spacing w:after="0"/>
              <w:rPr>
                <w:sz w:val="20"/>
                <w:szCs w:val="20"/>
                <w:color w:val="auto"/>
              </w:rPr>
            </w:pPr>
            <w:r>
              <w:rPr>
                <w:rFonts w:ascii="Courier New" w:cs="Courier New" w:eastAsia="Courier New" w:hAnsi="Courier New"/>
                <w:sz w:val="12"/>
                <w:szCs w:val="12"/>
                <w:color w:val="auto"/>
              </w:rPr>
              <w:t>Development</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42"/>
        </w:trPr>
        <w:tc>
          <w:tcPr>
            <w:tcW w:w="400" w:type="dxa"/>
            <w:vAlign w:val="bottom"/>
          </w:tcPr>
          <w:p>
            <w:pPr>
              <w:spacing w:after="0"/>
              <w:rPr>
                <w:sz w:val="12"/>
                <w:szCs w:val="12"/>
                <w:color w:val="auto"/>
              </w:rPr>
            </w:pPr>
          </w:p>
        </w:tc>
        <w:tc>
          <w:tcPr>
            <w:tcW w:w="2400" w:type="dxa"/>
            <w:vAlign w:val="bottom"/>
            <w:gridSpan w:val="8"/>
          </w:tcPr>
          <w:p>
            <w:pPr>
              <w:ind w:left="100"/>
              <w:spacing w:after="0"/>
              <w:rPr>
                <w:sz w:val="20"/>
                <w:szCs w:val="20"/>
                <w:color w:val="auto"/>
              </w:rPr>
            </w:pPr>
            <w:r>
              <w:rPr>
                <w:rFonts w:ascii="Courier New" w:cs="Courier New" w:eastAsia="Courier New" w:hAnsi="Courier New"/>
                <w:sz w:val="12"/>
                <w:szCs w:val="12"/>
                <w:color w:val="auto"/>
              </w:rPr>
              <w:t>and   Cross-License   Agreement</w:t>
            </w:r>
          </w:p>
        </w:tc>
      </w:tr>
      <w:tr>
        <w:trPr>
          <w:trHeight w:val="142"/>
        </w:trPr>
        <w:tc>
          <w:tcPr>
            <w:tcW w:w="400" w:type="dxa"/>
            <w:vAlign w:val="bottom"/>
          </w:tcPr>
          <w:p>
            <w:pPr>
              <w:spacing w:after="0"/>
              <w:rPr>
                <w:sz w:val="12"/>
                <w:szCs w:val="12"/>
                <w:color w:val="auto"/>
              </w:rPr>
            </w:pPr>
          </w:p>
        </w:tc>
        <w:tc>
          <w:tcPr>
            <w:tcW w:w="1000" w:type="dxa"/>
            <w:vAlign w:val="bottom"/>
            <w:gridSpan w:val="3"/>
          </w:tcPr>
          <w:p>
            <w:pPr>
              <w:ind w:left="100"/>
              <w:spacing w:after="0"/>
              <w:rPr>
                <w:sz w:val="20"/>
                <w:szCs w:val="20"/>
                <w:color w:val="auto"/>
              </w:rPr>
            </w:pPr>
            <w:r>
              <w:rPr>
                <w:rFonts w:ascii="Courier New" w:cs="Courier New" w:eastAsia="Courier New" w:hAnsi="Courier New"/>
                <w:sz w:val="12"/>
                <w:szCs w:val="12"/>
                <w:color w:val="auto"/>
              </w:rPr>
              <w:t>between the</w:t>
            </w: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Borrower</w:t>
            </w: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and MEI,</w:t>
            </w:r>
          </w:p>
        </w:tc>
      </w:tr>
      <w:tr>
        <w:trPr>
          <w:trHeight w:val="142"/>
        </w:trPr>
        <w:tc>
          <w:tcPr>
            <w:tcW w:w="400" w:type="dxa"/>
            <w:vAlign w:val="bottom"/>
          </w:tcPr>
          <w:p>
            <w:pPr>
              <w:spacing w:after="0"/>
              <w:rPr>
                <w:sz w:val="12"/>
                <w:szCs w:val="12"/>
                <w:color w:val="auto"/>
              </w:rPr>
            </w:pPr>
          </w:p>
        </w:tc>
        <w:tc>
          <w:tcPr>
            <w:tcW w:w="2400" w:type="dxa"/>
            <w:vAlign w:val="bottom"/>
            <w:gridSpan w:val="8"/>
          </w:tcPr>
          <w:p>
            <w:pPr>
              <w:ind w:left="100"/>
              <w:spacing w:after="0"/>
              <w:rPr>
                <w:sz w:val="20"/>
                <w:szCs w:val="20"/>
                <w:color w:val="auto"/>
              </w:rPr>
            </w:pPr>
            <w:r>
              <w:rPr>
                <w:rFonts w:ascii="Courier New" w:cs="Courier New" w:eastAsia="Courier New" w:hAnsi="Courier New"/>
                <w:sz w:val="12"/>
                <w:szCs w:val="12"/>
                <w:color w:val="auto"/>
              </w:rPr>
              <w:t>dated  May 28,  2002  (as  such</w:t>
            </w:r>
          </w:p>
        </w:tc>
      </w:tr>
      <w:tr>
        <w:trPr>
          <w:trHeight w:val="142"/>
        </w:trPr>
        <w:tc>
          <w:tcPr>
            <w:tcW w:w="4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Courier New" w:cs="Courier New" w:eastAsia="Courier New" w:hAnsi="Courier New"/>
                <w:sz w:val="12"/>
                <w:szCs w:val="12"/>
                <w:color w:val="auto"/>
              </w:rPr>
              <w:t>charge</w:t>
            </w:r>
          </w:p>
        </w:tc>
        <w:tc>
          <w:tcPr>
            <w:tcW w:w="28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Courier New" w:cs="Courier New" w:eastAsia="Courier New" w:hAnsi="Courier New"/>
                <w:sz w:val="12"/>
                <w:szCs w:val="12"/>
                <w:color w:val="auto"/>
              </w:rPr>
              <w:t>remains</w:t>
            </w: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rPr>
              <w:t>in</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w w:val="97"/>
              </w:rPr>
              <w:t>effect</w:t>
            </w:r>
          </w:p>
        </w:tc>
      </w:tr>
      <w:tr>
        <w:trPr>
          <w:trHeight w:val="142"/>
        </w:trPr>
        <w:tc>
          <w:tcPr>
            <w:tcW w:w="400" w:type="dxa"/>
            <w:vAlign w:val="bottom"/>
          </w:tcPr>
          <w:p>
            <w:pPr>
              <w:spacing w:after="0"/>
              <w:rPr>
                <w:sz w:val="12"/>
                <w:szCs w:val="12"/>
                <w:color w:val="auto"/>
              </w:rPr>
            </w:pPr>
          </w:p>
        </w:tc>
        <w:tc>
          <w:tcPr>
            <w:tcW w:w="84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pursuant</w:t>
            </w:r>
          </w:p>
        </w:tc>
        <w:tc>
          <w:tcPr>
            <w:tcW w:w="160" w:type="dxa"/>
            <w:vAlign w:val="bottom"/>
          </w:tcPr>
          <w:p>
            <w:pPr>
              <w:spacing w:after="0"/>
              <w:rPr>
                <w:sz w:val="20"/>
                <w:szCs w:val="20"/>
                <w:color w:val="auto"/>
              </w:rPr>
            </w:pPr>
            <w:r>
              <w:rPr>
                <w:rFonts w:ascii="Courier New" w:cs="Courier New" w:eastAsia="Courier New" w:hAnsi="Courier New"/>
                <w:sz w:val="12"/>
                <w:szCs w:val="12"/>
                <w:color w:val="auto"/>
                <w:w w:val="96"/>
              </w:rPr>
              <w:t>to</w:t>
            </w:r>
          </w:p>
        </w:tc>
        <w:tc>
          <w:tcPr>
            <w:tcW w:w="58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that</w:t>
            </w:r>
          </w:p>
        </w:tc>
        <w:tc>
          <w:tcPr>
            <w:tcW w:w="8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Termination</w:t>
            </w:r>
          </w:p>
        </w:tc>
      </w:tr>
      <w:tr>
        <w:trPr>
          <w:trHeight w:val="142"/>
        </w:trPr>
        <w:tc>
          <w:tcPr>
            <w:tcW w:w="400" w:type="dxa"/>
            <w:vAlign w:val="bottom"/>
          </w:tcPr>
          <w:p>
            <w:pPr>
              <w:spacing w:after="0"/>
              <w:rPr>
                <w:sz w:val="12"/>
                <w:szCs w:val="12"/>
                <w:color w:val="auto"/>
              </w:rPr>
            </w:pPr>
          </w:p>
        </w:tc>
        <w:tc>
          <w:tcPr>
            <w:tcW w:w="84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Agreement</w:t>
            </w:r>
          </w:p>
        </w:tc>
        <w:tc>
          <w:tcPr>
            <w:tcW w:w="156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between the Borrower</w:t>
            </w:r>
          </w:p>
        </w:tc>
      </w:tr>
      <w:tr>
        <w:trPr>
          <w:trHeight w:val="142"/>
        </w:trPr>
        <w:tc>
          <w:tcPr>
            <w:tcW w:w="400" w:type="dxa"/>
            <w:vAlign w:val="bottom"/>
          </w:tcPr>
          <w:p>
            <w:pPr>
              <w:spacing w:after="0"/>
              <w:rPr>
                <w:sz w:val="12"/>
                <w:szCs w:val="12"/>
                <w:color w:val="auto"/>
              </w:rPr>
            </w:pPr>
          </w:p>
        </w:tc>
        <w:tc>
          <w:tcPr>
            <w:tcW w:w="2400" w:type="dxa"/>
            <w:vAlign w:val="bottom"/>
            <w:gridSpan w:val="8"/>
          </w:tcPr>
          <w:p>
            <w:pPr>
              <w:ind w:left="100"/>
              <w:spacing w:after="0"/>
              <w:rPr>
                <w:sz w:val="20"/>
                <w:szCs w:val="20"/>
                <w:color w:val="auto"/>
              </w:rPr>
            </w:pPr>
            <w:r>
              <w:rPr>
                <w:rFonts w:ascii="Courier New" w:cs="Courier New" w:eastAsia="Courier New" w:hAnsi="Courier New"/>
                <w:sz w:val="12"/>
                <w:szCs w:val="12"/>
                <w:color w:val="auto"/>
              </w:rPr>
              <w:t>and  MEI  entered  into  as  of</w:t>
            </w:r>
          </w:p>
        </w:tc>
      </w:tr>
      <w:tr>
        <w:trPr>
          <w:trHeight w:val="142"/>
        </w:trPr>
        <w:tc>
          <w:tcPr>
            <w:tcW w:w="400" w:type="dxa"/>
            <w:vAlign w:val="bottom"/>
          </w:tcPr>
          <w:p>
            <w:pPr>
              <w:spacing w:after="0"/>
              <w:rPr>
                <w:sz w:val="12"/>
                <w:szCs w:val="12"/>
                <w:color w:val="auto"/>
              </w:rPr>
            </w:pPr>
          </w:p>
        </w:tc>
        <w:tc>
          <w:tcPr>
            <w:tcW w:w="1280" w:type="dxa"/>
            <w:vAlign w:val="bottom"/>
            <w:gridSpan w:val="4"/>
          </w:tcPr>
          <w:p>
            <w:pPr>
              <w:ind w:left="100"/>
              <w:spacing w:after="0"/>
              <w:rPr>
                <w:sz w:val="20"/>
                <w:szCs w:val="20"/>
                <w:color w:val="auto"/>
              </w:rPr>
            </w:pPr>
            <w:r>
              <w:rPr>
                <w:rFonts w:ascii="Courier New" w:cs="Courier New" w:eastAsia="Courier New" w:hAnsi="Courier New"/>
                <w:sz w:val="12"/>
                <w:szCs w:val="12"/>
                <w:color w:val="auto"/>
              </w:rPr>
              <w:t>April 5, 2005);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83"/>
        </w:trPr>
        <w:tc>
          <w:tcPr>
            <w:tcW w:w="400" w:type="dxa"/>
            <w:vAlign w:val="bottom"/>
          </w:tcPr>
          <w:p>
            <w:pPr>
              <w:spacing w:after="0"/>
              <w:rPr>
                <w:sz w:val="20"/>
                <w:szCs w:val="20"/>
                <w:color w:val="auto"/>
              </w:rPr>
            </w:pPr>
            <w:r>
              <w:rPr>
                <w:rFonts w:ascii="Courier New" w:cs="Courier New" w:eastAsia="Courier New" w:hAnsi="Courier New"/>
                <w:sz w:val="12"/>
                <w:szCs w:val="12"/>
                <w:color w:val="auto"/>
              </w:rPr>
              <w:t>(ii)</w:t>
            </w:r>
          </w:p>
        </w:tc>
        <w:tc>
          <w:tcPr>
            <w:tcW w:w="84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Siliconix</w:t>
            </w:r>
          </w:p>
        </w:tc>
        <w:tc>
          <w:tcPr>
            <w:tcW w:w="160" w:type="dxa"/>
            <w:vAlign w:val="bottom"/>
          </w:tcPr>
          <w:p>
            <w:pPr>
              <w:spacing w:after="0"/>
              <w:rPr>
                <w:sz w:val="24"/>
                <w:szCs w:val="24"/>
                <w:color w:val="auto"/>
              </w:rPr>
            </w:pPr>
          </w:p>
        </w:tc>
        <w:tc>
          <w:tcPr>
            <w:tcW w:w="960" w:type="dxa"/>
            <w:vAlign w:val="bottom"/>
            <w:gridSpan w:val="4"/>
          </w:tcPr>
          <w:p>
            <w:pPr>
              <w:jc w:val="right"/>
              <w:ind w:right="99"/>
              <w:spacing w:after="0"/>
              <w:rPr>
                <w:sz w:val="20"/>
                <w:szCs w:val="20"/>
                <w:color w:val="auto"/>
              </w:rPr>
            </w:pPr>
            <w:r>
              <w:rPr>
                <w:rFonts w:ascii="Courier New" w:cs="Courier New" w:eastAsia="Courier New" w:hAnsi="Courier New"/>
                <w:sz w:val="12"/>
                <w:szCs w:val="12"/>
                <w:color w:val="auto"/>
              </w:rPr>
              <w:t>Technology</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C.V.,</w:t>
            </w:r>
          </w:p>
        </w:tc>
      </w:tr>
      <w:tr>
        <w:trPr>
          <w:trHeight w:val="142"/>
        </w:trPr>
        <w:tc>
          <w:tcPr>
            <w:tcW w:w="400" w:type="dxa"/>
            <w:vAlign w:val="bottom"/>
          </w:tcPr>
          <w:p>
            <w:pPr>
              <w:spacing w:after="0"/>
              <w:rPr>
                <w:sz w:val="12"/>
                <w:szCs w:val="12"/>
                <w:color w:val="auto"/>
              </w:rPr>
            </w:pPr>
          </w:p>
        </w:tc>
        <w:tc>
          <w:tcPr>
            <w:tcW w:w="84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pursuant</w:t>
            </w:r>
          </w:p>
        </w:tc>
        <w:tc>
          <w:tcPr>
            <w:tcW w:w="160" w:type="dxa"/>
            <w:vAlign w:val="bottom"/>
          </w:tcPr>
          <w:p>
            <w:pPr>
              <w:spacing w:after="0"/>
              <w:rPr>
                <w:sz w:val="20"/>
                <w:szCs w:val="20"/>
                <w:color w:val="auto"/>
              </w:rPr>
            </w:pPr>
            <w:r>
              <w:rPr>
                <w:rFonts w:ascii="Courier New" w:cs="Courier New" w:eastAsia="Courier New" w:hAnsi="Courier New"/>
                <w:sz w:val="12"/>
                <w:szCs w:val="12"/>
                <w:color w:val="auto"/>
                <w:w w:val="96"/>
              </w:rPr>
              <w:t>to</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a</w:t>
            </w:r>
          </w:p>
        </w:tc>
        <w:tc>
          <w:tcPr>
            <w:tcW w:w="680" w:type="dxa"/>
            <w:vAlign w:val="bottom"/>
            <w:gridSpan w:val="3"/>
          </w:tcPr>
          <w:p>
            <w:pPr>
              <w:jc w:val="right"/>
              <w:ind w:right="99"/>
              <w:spacing w:after="0"/>
              <w:rPr>
                <w:sz w:val="20"/>
                <w:szCs w:val="20"/>
                <w:color w:val="auto"/>
              </w:rPr>
            </w:pPr>
            <w:r>
              <w:rPr>
                <w:rFonts w:ascii="Courier New" w:cs="Courier New" w:eastAsia="Courier New" w:hAnsi="Courier New"/>
                <w:sz w:val="12"/>
                <w:szCs w:val="12"/>
                <w:color w:val="auto"/>
              </w:rPr>
              <w:t>pledge</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dated</w:t>
            </w:r>
          </w:p>
        </w:tc>
      </w:tr>
      <w:tr>
        <w:trPr>
          <w:trHeight w:val="142"/>
        </w:trPr>
        <w:tc>
          <w:tcPr>
            <w:tcW w:w="400" w:type="dxa"/>
            <w:vAlign w:val="bottom"/>
          </w:tcPr>
          <w:p>
            <w:pPr>
              <w:spacing w:after="0"/>
              <w:rPr>
                <w:sz w:val="12"/>
                <w:szCs w:val="12"/>
                <w:color w:val="auto"/>
              </w:rPr>
            </w:pPr>
          </w:p>
        </w:tc>
        <w:tc>
          <w:tcPr>
            <w:tcW w:w="84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August 5,</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2004,</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entered</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into</w:t>
            </w:r>
          </w:p>
        </w:tc>
      </w:tr>
      <w:tr>
        <w:trPr>
          <w:trHeight w:val="142"/>
        </w:trPr>
        <w:tc>
          <w:tcPr>
            <w:tcW w:w="4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Courier New" w:cs="Courier New" w:eastAsia="Courier New" w:hAnsi="Courier New"/>
                <w:sz w:val="12"/>
                <w:szCs w:val="12"/>
                <w:color w:val="auto"/>
              </w:rPr>
              <w:t>in</w:t>
            </w:r>
          </w:p>
        </w:tc>
        <w:tc>
          <w:tcPr>
            <w:tcW w:w="72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7"/>
              </w:rPr>
              <w:t>connection</w:t>
            </w:r>
          </w:p>
        </w:tc>
        <w:tc>
          <w:tcPr>
            <w:tcW w:w="30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rPr>
              <w:t>with</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that</w:t>
            </w:r>
          </w:p>
        </w:tc>
      </w:tr>
      <w:tr>
        <w:trPr>
          <w:trHeight w:val="142"/>
        </w:trPr>
        <w:tc>
          <w:tcPr>
            <w:tcW w:w="400" w:type="dxa"/>
            <w:vAlign w:val="bottom"/>
          </w:tcPr>
          <w:p>
            <w:pPr>
              <w:spacing w:after="0"/>
              <w:rPr>
                <w:sz w:val="12"/>
                <w:szCs w:val="12"/>
                <w:color w:val="auto"/>
              </w:rPr>
            </w:pPr>
          </w:p>
        </w:tc>
        <w:tc>
          <w:tcPr>
            <w:tcW w:w="84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Foundry</w:t>
            </w:r>
          </w:p>
        </w:tc>
        <w:tc>
          <w:tcPr>
            <w:tcW w:w="16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8"/>
              </w:rPr>
              <w:t>Agreement</w:t>
            </w:r>
          </w:p>
        </w:tc>
        <w:tc>
          <w:tcPr>
            <w:tcW w:w="3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dated</w:t>
            </w:r>
          </w:p>
        </w:tc>
      </w:tr>
      <w:tr>
        <w:trPr>
          <w:trHeight w:val="142"/>
        </w:trPr>
        <w:tc>
          <w:tcPr>
            <w:tcW w:w="400" w:type="dxa"/>
            <w:vAlign w:val="bottom"/>
          </w:tcPr>
          <w:p>
            <w:pPr>
              <w:spacing w:after="0"/>
              <w:rPr>
                <w:sz w:val="12"/>
                <w:szCs w:val="12"/>
                <w:color w:val="auto"/>
              </w:rPr>
            </w:pPr>
          </w:p>
        </w:tc>
        <w:tc>
          <w:tcPr>
            <w:tcW w:w="1580" w:type="dxa"/>
            <w:vAlign w:val="bottom"/>
            <w:gridSpan w:val="5"/>
          </w:tcPr>
          <w:p>
            <w:pPr>
              <w:ind w:left="100"/>
              <w:spacing w:after="0"/>
              <w:rPr>
                <w:sz w:val="20"/>
                <w:szCs w:val="20"/>
                <w:color w:val="auto"/>
              </w:rPr>
            </w:pPr>
            <w:r>
              <w:rPr>
                <w:rFonts w:ascii="Courier New" w:cs="Courier New" w:eastAsia="Courier New" w:hAnsi="Courier New"/>
                <w:sz w:val="12"/>
                <w:szCs w:val="12"/>
                <w:color w:val="auto"/>
              </w:rPr>
              <w:t>May 12,  2004 by and</w:t>
            </w:r>
          </w:p>
        </w:tc>
        <w:tc>
          <w:tcPr>
            <w:tcW w:w="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among the</w:t>
            </w:r>
          </w:p>
        </w:tc>
      </w:tr>
      <w:tr>
        <w:trPr>
          <w:trHeight w:val="142"/>
        </w:trPr>
        <w:tc>
          <w:tcPr>
            <w:tcW w:w="400" w:type="dxa"/>
            <w:vAlign w:val="bottom"/>
          </w:tcPr>
          <w:p>
            <w:pPr>
              <w:spacing w:after="0"/>
              <w:rPr>
                <w:sz w:val="12"/>
                <w:szCs w:val="12"/>
                <w:color w:val="auto"/>
              </w:rPr>
            </w:pPr>
          </w:p>
        </w:tc>
        <w:tc>
          <w:tcPr>
            <w:tcW w:w="84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Borrower,</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Siliconix</w:t>
            </w:r>
          </w:p>
        </w:tc>
      </w:tr>
      <w:tr>
        <w:trPr>
          <w:trHeight w:val="142"/>
        </w:trPr>
        <w:tc>
          <w:tcPr>
            <w:tcW w:w="400" w:type="dxa"/>
            <w:vAlign w:val="bottom"/>
          </w:tcPr>
          <w:p>
            <w:pPr>
              <w:spacing w:after="0"/>
              <w:rPr>
                <w:sz w:val="12"/>
                <w:szCs w:val="12"/>
                <w:color w:val="auto"/>
              </w:rPr>
            </w:pPr>
          </w:p>
        </w:tc>
        <w:tc>
          <w:tcPr>
            <w:tcW w:w="1280" w:type="dxa"/>
            <w:vAlign w:val="bottom"/>
            <w:gridSpan w:val="4"/>
          </w:tcPr>
          <w:p>
            <w:pPr>
              <w:ind w:left="100"/>
              <w:spacing w:after="0"/>
              <w:rPr>
                <w:sz w:val="20"/>
                <w:szCs w:val="20"/>
                <w:color w:val="auto"/>
              </w:rPr>
            </w:pPr>
            <w:r>
              <w:rPr>
                <w:rFonts w:ascii="Courier New" w:cs="Courier New" w:eastAsia="Courier New" w:hAnsi="Courier New"/>
                <w:sz w:val="12"/>
                <w:szCs w:val="12"/>
                <w:color w:val="auto"/>
              </w:rPr>
              <w:t>Incorporated,</w:t>
            </w:r>
          </w:p>
        </w:tc>
        <w:tc>
          <w:tcPr>
            <w:tcW w:w="300" w:type="dxa"/>
            <w:vAlign w:val="bottom"/>
          </w:tcPr>
          <w:p>
            <w:pPr>
              <w:spacing w:after="0"/>
              <w:rPr>
                <w:sz w:val="20"/>
                <w:szCs w:val="20"/>
                <w:color w:val="auto"/>
              </w:rPr>
            </w:pPr>
            <w:r>
              <w:rPr>
                <w:rFonts w:ascii="Courier New" w:cs="Courier New" w:eastAsia="Courier New" w:hAnsi="Courier New"/>
                <w:sz w:val="12"/>
                <w:szCs w:val="12"/>
                <w:color w:val="auto"/>
              </w:rPr>
              <w:t>and</w:t>
            </w:r>
          </w:p>
        </w:tc>
        <w:tc>
          <w:tcPr>
            <w:tcW w:w="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Siliconix</w:t>
            </w:r>
          </w:p>
        </w:tc>
      </w:tr>
    </w:tbl>
    <w:p>
      <w:pPr>
        <w:spacing w:after="0" w:line="3" w:lineRule="exact"/>
        <w:rPr>
          <w:sz w:val="20"/>
          <w:szCs w:val="20"/>
          <w:color w:val="auto"/>
        </w:rPr>
      </w:pPr>
    </w:p>
    <w:p>
      <w:pPr>
        <w:ind w:left="5360"/>
        <w:spacing w:after="0"/>
        <w:rPr>
          <w:sz w:val="20"/>
          <w:szCs w:val="20"/>
          <w:color w:val="auto"/>
        </w:rPr>
      </w:pPr>
      <w:r>
        <w:rPr>
          <w:rFonts w:ascii="Courier New" w:cs="Courier New" w:eastAsia="Courier New" w:hAnsi="Courier New"/>
          <w:sz w:val="12"/>
          <w:szCs w:val="12"/>
          <w:color w:val="auto"/>
        </w:rPr>
        <w:t>Technology C.V.; and</w:t>
      </w:r>
    </w:p>
    <w:p>
      <w:pPr>
        <w:spacing w:after="0" w:line="289"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- 37 -</w:t>
      </w:r>
    </w:p>
    <w:p>
      <w:pPr>
        <w:spacing w:after="0" w:line="200" w:lineRule="exact"/>
        <w:rPr>
          <w:sz w:val="20"/>
          <w:szCs w:val="20"/>
          <w:color w:val="auto"/>
        </w:rPr>
      </w:pPr>
    </w:p>
    <w:p>
      <w:pPr>
        <w:spacing w:after="0" w:line="353" w:lineRule="exact"/>
        <w:rPr>
          <w:sz w:val="20"/>
          <w:szCs w:val="20"/>
          <w:color w:val="auto"/>
        </w:rPr>
      </w:pPr>
    </w:p>
    <w:p>
      <w:pPr>
        <w:ind w:left="4860"/>
        <w:spacing w:after="0"/>
        <w:tabs>
          <w:tab w:leader="none" w:pos="5340" w:val="left"/>
          <w:tab w:leader="none" w:pos="6160" w:val="left"/>
          <w:tab w:leader="none" w:pos="6960" w:val="left"/>
          <w:tab w:leader="none" w:pos="7340" w:val="left"/>
        </w:tabs>
        <w:rPr>
          <w:sz w:val="20"/>
          <w:szCs w:val="20"/>
          <w:color w:val="auto"/>
        </w:rPr>
      </w:pPr>
      <w:r>
        <w:rPr>
          <w:rFonts w:ascii="Courier New" w:cs="Courier New" w:eastAsia="Courier New" w:hAnsi="Courier New"/>
          <w:sz w:val="12"/>
          <w:szCs w:val="12"/>
          <w:color w:val="auto"/>
        </w:rPr>
        <w:t>(iii)</w:t>
        <w:tab/>
        <w:t>Sandisk,</w:t>
        <w:tab/>
        <w:t>pursuant</w:t>
        <w:tab/>
        <w:t>to</w:t>
        <w:tab/>
        <w:t>that</w:t>
      </w:r>
    </w:p>
    <w:p>
      <w:pPr>
        <w:spacing w:after="0" w:line="6" w:lineRule="exact"/>
        <w:rPr>
          <w:sz w:val="20"/>
          <w:szCs w:val="20"/>
          <w:color w:val="auto"/>
        </w:rPr>
      </w:pPr>
    </w:p>
    <w:p>
      <w:pPr>
        <w:ind w:left="5360"/>
        <w:spacing w:after="0"/>
        <w:tabs>
          <w:tab w:leader="none" w:pos="6020" w:val="left"/>
          <w:tab w:leader="none" w:pos="6520" w:val="left"/>
          <w:tab w:leader="none" w:pos="7340" w:val="left"/>
        </w:tabs>
        <w:rPr>
          <w:sz w:val="20"/>
          <w:szCs w:val="20"/>
          <w:color w:val="auto"/>
        </w:rPr>
      </w:pPr>
      <w:r>
        <w:rPr>
          <w:rFonts w:ascii="Courier New" w:cs="Courier New" w:eastAsia="Courier New" w:hAnsi="Courier New"/>
          <w:sz w:val="12"/>
          <w:szCs w:val="12"/>
          <w:color w:val="auto"/>
        </w:rPr>
        <w:t>consent</w:t>
        <w:tab/>
        <w:t>dated</w:t>
        <w:tab/>
        <w:t>August 7,</w:t>
        <w:tab/>
        <w:t>2006</w:t>
      </w:r>
    </w:p>
    <w:p>
      <w:pPr>
        <w:spacing w:after="0" w:line="6" w:lineRule="exact"/>
        <w:rPr>
          <w:sz w:val="20"/>
          <w:szCs w:val="20"/>
          <w:color w:val="auto"/>
        </w:rPr>
      </w:pPr>
    </w:p>
    <w:p>
      <w:pPr>
        <w:ind w:left="5360"/>
        <w:spacing w:after="0"/>
        <w:tabs>
          <w:tab w:leader="none" w:pos="5640" w:val="left"/>
          <w:tab w:leader="none" w:pos="6020" w:val="left"/>
          <w:tab w:leader="none" w:pos="6680" w:val="left"/>
          <w:tab w:leader="none" w:pos="7040" w:val="left"/>
        </w:tabs>
        <w:rPr>
          <w:sz w:val="20"/>
          <w:szCs w:val="20"/>
          <w:color w:val="auto"/>
        </w:rPr>
      </w:pPr>
      <w:r>
        <w:rPr>
          <w:rFonts w:ascii="Courier New" w:cs="Courier New" w:eastAsia="Courier New" w:hAnsi="Courier New"/>
          <w:sz w:val="12"/>
          <w:szCs w:val="12"/>
          <w:color w:val="auto"/>
        </w:rPr>
        <w:t>by</w:t>
        <w:tab/>
        <w:t>and</w:t>
        <w:tab/>
        <w:t>between</w:t>
        <w:tab/>
        <w:t>the</w:t>
        <w:tab/>
        <w:t>Borrower</w:t>
      </w:r>
    </w:p>
    <w:p>
      <w:pPr>
        <w:spacing w:after="0" w:line="6" w:lineRule="exact"/>
        <w:rPr>
          <w:sz w:val="20"/>
          <w:szCs w:val="20"/>
          <w:color w:val="auto"/>
        </w:rPr>
      </w:pPr>
    </w:p>
    <w:p>
      <w:pPr>
        <w:ind w:left="5360"/>
        <w:spacing w:after="0"/>
        <w:rPr>
          <w:sz w:val="20"/>
          <w:szCs w:val="20"/>
          <w:color w:val="auto"/>
        </w:rPr>
      </w:pPr>
      <w:r>
        <w:rPr>
          <w:rFonts w:ascii="Courier New" w:cs="Courier New" w:eastAsia="Courier New" w:hAnsi="Courier New"/>
          <w:sz w:val="12"/>
          <w:szCs w:val="12"/>
          <w:color w:val="auto"/>
        </w:rPr>
        <w:t>and the Banks,</w:t>
      </w:r>
    </w:p>
    <w:p>
      <w:pPr>
        <w:spacing w:after="0" w:line="147" w:lineRule="exact"/>
        <w:rPr>
          <w:sz w:val="20"/>
          <w:szCs w:val="20"/>
          <w:color w:val="auto"/>
        </w:rPr>
      </w:pPr>
    </w:p>
    <w:p>
      <w:pPr>
        <w:ind w:left="4860"/>
        <w:spacing w:after="0"/>
        <w:tabs>
          <w:tab w:leader="none" w:pos="5280" w:val="left"/>
          <w:tab w:leader="none" w:pos="5940" w:val="left"/>
          <w:tab w:leader="none" w:pos="6240" w:val="left"/>
          <w:tab w:leader="none" w:pos="6600" w:val="left"/>
          <w:tab w:leader="none" w:pos="7420" w:val="left"/>
        </w:tabs>
        <w:rPr>
          <w:sz w:val="20"/>
          <w:szCs w:val="20"/>
          <w:color w:val="auto"/>
        </w:rPr>
      </w:pPr>
      <w:r>
        <w:rPr>
          <w:rFonts w:ascii="Courier New" w:cs="Courier New" w:eastAsia="Courier New" w:hAnsi="Courier New"/>
          <w:sz w:val="12"/>
          <w:szCs w:val="12"/>
          <w:color w:val="auto"/>
        </w:rPr>
        <w:t>full</w:t>
        <w:tab/>
        <w:t>details</w:t>
        <w:tab/>
        <w:t>of</w:t>
        <w:tab/>
        <w:t>the</w:t>
        <w:tab/>
        <w:t>equipment</w:t>
        <w:tab/>
        <w:t>and</w:t>
      </w:r>
    </w:p>
    <w:p>
      <w:pPr>
        <w:spacing w:after="0" w:line="6" w:lineRule="exact"/>
        <w:rPr>
          <w:sz w:val="20"/>
          <w:szCs w:val="20"/>
          <w:color w:val="auto"/>
        </w:rPr>
      </w:pPr>
    </w:p>
    <w:p>
      <w:pPr>
        <w:ind w:left="4860"/>
        <w:spacing w:after="0"/>
        <w:tabs>
          <w:tab w:leader="none" w:pos="5340" w:val="left"/>
          <w:tab w:leader="none" w:pos="6020" w:val="left"/>
          <w:tab w:leader="none" w:pos="7120" w:val="left"/>
        </w:tabs>
        <w:rPr>
          <w:sz w:val="20"/>
          <w:szCs w:val="20"/>
          <w:color w:val="auto"/>
        </w:rPr>
      </w:pPr>
      <w:r>
        <w:rPr>
          <w:rFonts w:ascii="Courier New" w:cs="Courier New" w:eastAsia="Courier New" w:hAnsi="Courier New"/>
          <w:sz w:val="12"/>
          <w:szCs w:val="12"/>
          <w:color w:val="auto"/>
        </w:rPr>
        <w:t>other</w:t>
        <w:tab/>
        <w:t>assets</w:t>
        <w:tab/>
        <w:t>respectively</w:t>
        <w:tab/>
        <w:t>pledged</w:t>
      </w:r>
    </w:p>
    <w:p>
      <w:pPr>
        <w:spacing w:after="0" w:line="6" w:lineRule="exact"/>
        <w:rPr>
          <w:sz w:val="20"/>
          <w:szCs w:val="20"/>
          <w:color w:val="auto"/>
        </w:rPr>
      </w:pPr>
    </w:p>
    <w:p>
      <w:pPr>
        <w:ind w:left="4860"/>
        <w:spacing w:after="0"/>
        <w:tabs>
          <w:tab w:leader="none" w:pos="6080" w:val="left"/>
          <w:tab w:leader="none" w:pos="6680" w:val="left"/>
        </w:tabs>
        <w:rPr>
          <w:sz w:val="20"/>
          <w:szCs w:val="20"/>
          <w:color w:val="auto"/>
        </w:rPr>
      </w:pPr>
      <w:r>
        <w:rPr>
          <w:rFonts w:ascii="Courier New" w:cs="Courier New" w:eastAsia="Courier New" w:hAnsi="Courier New"/>
          <w:sz w:val="12"/>
          <w:szCs w:val="12"/>
          <w:color w:val="auto"/>
        </w:rPr>
        <w:t>under each such</w:t>
        <w:tab/>
        <w:t>pledge</w:t>
        <w:tab/>
        <w:t>being set out</w:t>
      </w:r>
    </w:p>
    <w:p>
      <w:pPr>
        <w:spacing w:after="0" w:line="6" w:lineRule="exact"/>
        <w:rPr>
          <w:sz w:val="20"/>
          <w:szCs w:val="20"/>
          <w:color w:val="auto"/>
        </w:rPr>
      </w:pPr>
    </w:p>
    <w:p>
      <w:pPr>
        <w:ind w:left="4860"/>
        <w:spacing w:after="0"/>
        <w:rPr>
          <w:sz w:val="20"/>
          <w:szCs w:val="20"/>
          <w:color w:val="auto"/>
        </w:rPr>
      </w:pPr>
      <w:r>
        <w:rPr>
          <w:rFonts w:ascii="Courier New" w:cs="Courier New" w:eastAsia="Courier New" w:hAnsi="Courier New"/>
          <w:sz w:val="12"/>
          <w:szCs w:val="12"/>
          <w:color w:val="auto"/>
        </w:rPr>
        <w:t>in SCHEDULE 1.1.114 hereto;</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60" w:type="dxa"/>
            <w:vAlign w:val="bottom"/>
          </w:tcPr>
          <w:p>
            <w:pPr>
              <w:jc w:val="right"/>
              <w:ind w:right="419"/>
              <w:spacing w:after="0"/>
              <w:rPr>
                <w:sz w:val="20"/>
                <w:szCs w:val="20"/>
                <w:color w:val="auto"/>
              </w:rPr>
            </w:pPr>
            <w:r>
              <w:rPr>
                <w:rFonts w:ascii="Courier New" w:cs="Courier New" w:eastAsia="Courier New" w:hAnsi="Courier New"/>
                <w:sz w:val="12"/>
                <w:szCs w:val="12"/>
                <w:color w:val="auto"/>
                <w:w w:val="97"/>
              </w:rPr>
              <w:t>1.1.115.</w:t>
            </w:r>
          </w:p>
        </w:tc>
        <w:tc>
          <w:tcPr>
            <w:tcW w:w="2500" w:type="dxa"/>
            <w:vAlign w:val="bottom"/>
          </w:tcPr>
          <w:p>
            <w:pPr>
              <w:ind w:left="480"/>
              <w:spacing w:after="0"/>
              <w:rPr>
                <w:sz w:val="20"/>
                <w:szCs w:val="20"/>
                <w:color w:val="auto"/>
              </w:rPr>
            </w:pPr>
            <w:r>
              <w:rPr>
                <w:rFonts w:ascii="Courier New" w:cs="Courier New" w:eastAsia="Courier New" w:hAnsi="Courier New"/>
                <w:sz w:val="12"/>
                <w:szCs w:val="12"/>
                <w:color w:val="auto"/>
              </w:rPr>
              <w:t>"PERMITTED FINANCIAL</w:t>
            </w: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1060" w:type="dxa"/>
            <w:vAlign w:val="bottom"/>
          </w:tcPr>
          <w:p>
            <w:pPr>
              <w:spacing w:after="0"/>
              <w:rPr>
                <w:sz w:val="12"/>
                <w:szCs w:val="12"/>
                <w:color w:val="auto"/>
              </w:rPr>
            </w:pPr>
          </w:p>
        </w:tc>
        <w:tc>
          <w:tcPr>
            <w:tcW w:w="2500" w:type="dxa"/>
            <w:vAlign w:val="bottom"/>
          </w:tcPr>
          <w:p>
            <w:pPr>
              <w:ind w:left="480"/>
              <w:spacing w:after="0"/>
              <w:rPr>
                <w:sz w:val="20"/>
                <w:szCs w:val="20"/>
                <w:color w:val="auto"/>
              </w:rPr>
            </w:pPr>
            <w:r>
              <w:rPr>
                <w:rFonts w:ascii="Courier New" w:cs="Courier New" w:eastAsia="Courier New" w:hAnsi="Courier New"/>
                <w:sz w:val="12"/>
                <w:szCs w:val="12"/>
                <w:color w:val="auto"/>
              </w:rPr>
              <w:t>INDEBTEDNESS"</w:t>
            </w:r>
          </w:p>
        </w:tc>
        <w:tc>
          <w:tcPr>
            <w:tcW w:w="1260" w:type="dxa"/>
            <w:vAlign w:val="bottom"/>
          </w:tcPr>
          <w:p>
            <w:pPr>
              <w:jc w:val="center"/>
              <w:ind w:left="459"/>
              <w:spacing w:after="0"/>
              <w:rPr>
                <w:sz w:val="20"/>
                <w:szCs w:val="20"/>
                <w:color w:val="auto"/>
              </w:rPr>
            </w:pPr>
            <w:r>
              <w:rPr>
                <w:rFonts w:ascii="Courier New" w:cs="Courier New" w:eastAsia="Courier New" w:hAnsi="Courier New"/>
                <w:sz w:val="12"/>
                <w:szCs w:val="12"/>
                <w:color w:val="auto"/>
              </w:rPr>
              <w:t>-  means:</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83"/>
        </w:trPr>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60" w:type="dxa"/>
            <w:vAlign w:val="bottom"/>
          </w:tcPr>
          <w:p>
            <w:pPr>
              <w:jc w:val="center"/>
              <w:ind w:left="459"/>
              <w:spacing w:after="0"/>
              <w:rPr>
                <w:sz w:val="20"/>
                <w:szCs w:val="20"/>
                <w:color w:val="auto"/>
              </w:rPr>
            </w:pPr>
            <w:r>
              <w:rPr>
                <w:rFonts w:ascii="Courier New" w:cs="Courier New" w:eastAsia="Courier New" w:hAnsi="Courier New"/>
                <w:sz w:val="12"/>
                <w:szCs w:val="12"/>
                <w:color w:val="auto"/>
              </w:rPr>
              <w:t>(a)</w:t>
            </w:r>
          </w:p>
        </w:tc>
        <w:tc>
          <w:tcPr>
            <w:tcW w:w="70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98"/>
              </w:rPr>
              <w:t>Financial</w:t>
            </w:r>
          </w:p>
        </w:tc>
        <w:tc>
          <w:tcPr>
            <w:tcW w:w="36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Courier New" w:cs="Courier New" w:eastAsia="Courier New" w:hAnsi="Courier New"/>
                <w:sz w:val="12"/>
                <w:szCs w:val="12"/>
                <w:color w:val="auto"/>
              </w:rPr>
              <w:t>Indebtedness</w:t>
            </w:r>
          </w:p>
        </w:tc>
        <w:tc>
          <w:tcPr>
            <w:tcW w:w="30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arising</w:t>
            </w:r>
          </w:p>
        </w:tc>
      </w:tr>
      <w:tr>
        <w:trPr>
          <w:trHeight w:val="142"/>
        </w:trPr>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20" w:type="dxa"/>
            <w:vAlign w:val="bottom"/>
            <w:gridSpan w:val="6"/>
          </w:tcPr>
          <w:p>
            <w:pPr>
              <w:ind w:left="40"/>
              <w:spacing w:after="0"/>
              <w:rPr>
                <w:sz w:val="20"/>
                <w:szCs w:val="20"/>
                <w:color w:val="auto"/>
              </w:rPr>
            </w:pPr>
            <w:r>
              <w:rPr>
                <w:rFonts w:ascii="Courier New" w:cs="Courier New" w:eastAsia="Courier New" w:hAnsi="Courier New"/>
                <w:sz w:val="12"/>
                <w:szCs w:val="12"/>
                <w:color w:val="auto"/>
              </w:rPr>
              <w:t>pursuant to this Agreement;</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83"/>
        </w:trPr>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60" w:type="dxa"/>
            <w:vAlign w:val="bottom"/>
          </w:tcPr>
          <w:p>
            <w:pPr>
              <w:jc w:val="center"/>
              <w:ind w:left="459"/>
              <w:spacing w:after="0"/>
              <w:rPr>
                <w:sz w:val="20"/>
                <w:szCs w:val="20"/>
                <w:color w:val="auto"/>
              </w:rPr>
            </w:pPr>
            <w:r>
              <w:rPr>
                <w:rFonts w:ascii="Courier New" w:cs="Courier New" w:eastAsia="Courier New" w:hAnsi="Courier New"/>
                <w:sz w:val="12"/>
                <w:szCs w:val="12"/>
                <w:color w:val="auto"/>
              </w:rPr>
              <w:t>(b)</w:t>
            </w:r>
          </w:p>
        </w:tc>
        <w:tc>
          <w:tcPr>
            <w:tcW w:w="2320" w:type="dxa"/>
            <w:vAlign w:val="bottom"/>
            <w:gridSpan w:val="7"/>
          </w:tcPr>
          <w:p>
            <w:pPr>
              <w:ind w:left="40"/>
              <w:spacing w:after="0"/>
              <w:rPr>
                <w:sz w:val="20"/>
                <w:szCs w:val="20"/>
                <w:color w:val="auto"/>
              </w:rPr>
            </w:pPr>
            <w:r>
              <w:rPr>
                <w:rFonts w:ascii="Courier New" w:cs="Courier New" w:eastAsia="Courier New" w:hAnsi="Courier New"/>
                <w:sz w:val="12"/>
                <w:szCs w:val="12"/>
                <w:color w:val="auto"/>
              </w:rPr>
              <w:t>Permitted Subordinated Debt;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3"/>
        </w:trPr>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60" w:type="dxa"/>
            <w:vAlign w:val="bottom"/>
          </w:tcPr>
          <w:p>
            <w:pPr>
              <w:jc w:val="center"/>
              <w:ind w:left="459"/>
              <w:spacing w:after="0"/>
              <w:rPr>
                <w:sz w:val="20"/>
                <w:szCs w:val="20"/>
                <w:color w:val="auto"/>
              </w:rPr>
            </w:pPr>
            <w:r>
              <w:rPr>
                <w:rFonts w:ascii="Courier New" w:cs="Courier New" w:eastAsia="Courier New" w:hAnsi="Courier New"/>
                <w:sz w:val="12"/>
                <w:szCs w:val="12"/>
                <w:color w:val="auto"/>
              </w:rPr>
              <w:t>(c)</w:t>
            </w:r>
          </w:p>
        </w:tc>
        <w:tc>
          <w:tcPr>
            <w:tcW w:w="70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98"/>
              </w:rPr>
              <w:t>Financial</w:t>
            </w:r>
          </w:p>
        </w:tc>
        <w:tc>
          <w:tcPr>
            <w:tcW w:w="102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9"/>
              </w:rPr>
              <w:t>Indebtedness</w:t>
            </w:r>
          </w:p>
        </w:tc>
        <w:tc>
          <w:tcPr>
            <w:tcW w:w="11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in respect of</w:t>
            </w:r>
          </w:p>
        </w:tc>
      </w:tr>
      <w:tr>
        <w:trPr>
          <w:trHeight w:val="142"/>
        </w:trPr>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98"/>
              </w:rPr>
              <w:t>a  credit</w:t>
            </w:r>
          </w:p>
        </w:tc>
        <w:tc>
          <w:tcPr>
            <w:tcW w:w="840" w:type="dxa"/>
            <w:vAlign w:val="bottom"/>
            <w:gridSpan w:val="2"/>
          </w:tcPr>
          <w:p>
            <w:pPr>
              <w:jc w:val="right"/>
              <w:ind w:right="39"/>
              <w:spacing w:after="0"/>
              <w:rPr>
                <w:sz w:val="20"/>
                <w:szCs w:val="20"/>
                <w:color w:val="auto"/>
              </w:rPr>
            </w:pPr>
            <w:r>
              <w:rPr>
                <w:rFonts w:ascii="Courier New" w:cs="Courier New" w:eastAsia="Courier New" w:hAnsi="Courier New"/>
                <w:sz w:val="12"/>
                <w:szCs w:val="12"/>
                <w:color w:val="auto"/>
              </w:rPr>
              <w:t>facility</w:t>
            </w:r>
          </w:p>
        </w:tc>
        <w:tc>
          <w:tcPr>
            <w:tcW w:w="78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obtained</w:t>
            </w:r>
          </w:p>
        </w:tc>
        <w:tc>
          <w:tcPr>
            <w:tcW w:w="320" w:type="dxa"/>
            <w:vAlign w:val="bottom"/>
          </w:tcPr>
          <w:p>
            <w:pPr>
              <w:spacing w:after="0"/>
              <w:rPr>
                <w:sz w:val="20"/>
                <w:szCs w:val="20"/>
                <w:color w:val="auto"/>
              </w:rPr>
            </w:pPr>
            <w:r>
              <w:rPr>
                <w:rFonts w:ascii="Courier New" w:cs="Courier New" w:eastAsia="Courier New" w:hAnsi="Courier New"/>
                <w:sz w:val="12"/>
                <w:szCs w:val="12"/>
                <w:color w:val="auto"/>
              </w:rPr>
              <w:t>from</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a</w:t>
            </w:r>
          </w:p>
        </w:tc>
      </w:tr>
      <w:tr>
        <w:trPr>
          <w:trHeight w:val="142"/>
        </w:trPr>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bank or</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w w:val="94"/>
              </w:rPr>
              <w:t>other</w:t>
            </w:r>
          </w:p>
        </w:tc>
        <w:tc>
          <w:tcPr>
            <w:tcW w:w="96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financial</w:t>
            </w:r>
          </w:p>
        </w:tc>
        <w:tc>
          <w:tcPr>
            <w:tcW w:w="8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institution</w:t>
            </w:r>
          </w:p>
        </w:tc>
      </w:tr>
      <w:tr>
        <w:trPr>
          <w:trHeight w:val="142"/>
        </w:trPr>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ind w:left="40"/>
              <w:spacing w:after="0"/>
              <w:rPr>
                <w:sz w:val="20"/>
                <w:szCs w:val="20"/>
                <w:color w:val="auto"/>
              </w:rPr>
            </w:pPr>
            <w:r>
              <w:rPr>
                <w:rFonts w:ascii="Courier New" w:cs="Courier New" w:eastAsia="Courier New" w:hAnsi="Courier New"/>
                <w:sz w:val="12"/>
                <w:szCs w:val="12"/>
                <w:color w:val="auto"/>
                <w:w w:val="94"/>
              </w:rPr>
              <w:t>to be</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applied</w:t>
            </w:r>
          </w:p>
        </w:tc>
        <w:tc>
          <w:tcPr>
            <w:tcW w:w="480" w:type="dxa"/>
            <w:vAlign w:val="bottom"/>
          </w:tcPr>
          <w:p>
            <w:pPr>
              <w:ind w:left="160"/>
              <w:spacing w:after="0"/>
              <w:rPr>
                <w:sz w:val="20"/>
                <w:szCs w:val="20"/>
                <w:color w:val="auto"/>
              </w:rPr>
            </w:pPr>
            <w:r>
              <w:rPr>
                <w:rFonts w:ascii="Courier New" w:cs="Courier New" w:eastAsia="Courier New" w:hAnsi="Courier New"/>
                <w:sz w:val="12"/>
                <w:szCs w:val="12"/>
                <w:color w:val="auto"/>
              </w:rPr>
              <w:t>with</w:t>
            </w:r>
          </w:p>
        </w:tc>
        <w:tc>
          <w:tcPr>
            <w:tcW w:w="130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respect to Fab 1</w:t>
            </w:r>
          </w:p>
        </w:tc>
      </w:tr>
      <w:tr>
        <w:trPr>
          <w:trHeight w:val="142"/>
        </w:trPr>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40" w:type="dxa"/>
            <w:vAlign w:val="bottom"/>
            <w:gridSpan w:val="9"/>
          </w:tcPr>
          <w:p>
            <w:pPr>
              <w:ind w:left="40"/>
              <w:spacing w:after="0"/>
              <w:rPr>
                <w:sz w:val="20"/>
                <w:szCs w:val="20"/>
                <w:color w:val="auto"/>
              </w:rPr>
            </w:pPr>
            <w:r>
              <w:rPr>
                <w:rFonts w:ascii="Courier New" w:cs="Courier New" w:eastAsia="Courier New" w:hAnsi="Courier New"/>
                <w:sz w:val="12"/>
                <w:szCs w:val="12"/>
                <w:color w:val="auto"/>
              </w:rPr>
              <w:t>and  which,  together  with all  other</w:t>
            </w:r>
          </w:p>
        </w:tc>
      </w:tr>
      <w:tr>
        <w:trPr>
          <w:trHeight w:val="142"/>
        </w:trPr>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40" w:type="dxa"/>
            <w:vAlign w:val="bottom"/>
            <w:gridSpan w:val="9"/>
          </w:tcPr>
          <w:p>
            <w:pPr>
              <w:ind w:left="40"/>
              <w:spacing w:after="0"/>
              <w:rPr>
                <w:sz w:val="20"/>
                <w:szCs w:val="20"/>
                <w:color w:val="auto"/>
              </w:rPr>
            </w:pPr>
            <w:r>
              <w:rPr>
                <w:rFonts w:ascii="Courier New" w:cs="Courier New" w:eastAsia="Courier New" w:hAnsi="Courier New"/>
                <w:sz w:val="12"/>
                <w:szCs w:val="12"/>
                <w:color w:val="auto"/>
              </w:rPr>
              <w:t>Financial  Indebtedness  of the  Group</w:t>
            </w:r>
          </w:p>
        </w:tc>
      </w:tr>
      <w:tr>
        <w:trPr>
          <w:trHeight w:val="142"/>
        </w:trPr>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20" w:type="dxa"/>
            <w:vAlign w:val="bottom"/>
            <w:gridSpan w:val="6"/>
          </w:tcPr>
          <w:p>
            <w:pPr>
              <w:ind w:left="40"/>
              <w:spacing w:after="0"/>
              <w:rPr>
                <w:sz w:val="20"/>
                <w:szCs w:val="20"/>
                <w:color w:val="auto"/>
              </w:rPr>
            </w:pPr>
            <w:r>
              <w:rPr>
                <w:rFonts w:ascii="Courier New" w:cs="Courier New" w:eastAsia="Courier New" w:hAnsi="Courier New"/>
                <w:sz w:val="12"/>
                <w:szCs w:val="12"/>
                <w:color w:val="auto"/>
              </w:rPr>
              <w:t>(other than the Borrower),</w:t>
            </w:r>
          </w:p>
        </w:tc>
        <w:tc>
          <w:tcPr>
            <w:tcW w:w="8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other than</w:t>
            </w:r>
          </w:p>
        </w:tc>
      </w:tr>
      <w:tr>
        <w:trPr>
          <w:trHeight w:val="142"/>
        </w:trPr>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ind w:left="40"/>
              <w:spacing w:after="0"/>
              <w:rPr>
                <w:sz w:val="20"/>
                <w:szCs w:val="20"/>
                <w:color w:val="auto"/>
              </w:rPr>
            </w:pPr>
            <w:r>
              <w:rPr>
                <w:rFonts w:ascii="Courier New" w:cs="Courier New" w:eastAsia="Courier New" w:hAnsi="Courier New"/>
                <w:sz w:val="12"/>
                <w:szCs w:val="12"/>
                <w:color w:val="auto"/>
                <w:w w:val="94"/>
              </w:rPr>
              <w:t>those</w:t>
            </w:r>
          </w:p>
        </w:tc>
        <w:tc>
          <w:tcPr>
            <w:tcW w:w="300" w:type="dxa"/>
            <w:vAlign w:val="bottom"/>
          </w:tcPr>
          <w:p>
            <w:pPr>
              <w:spacing w:after="0"/>
              <w:rPr>
                <w:sz w:val="12"/>
                <w:szCs w:val="12"/>
                <w:color w:val="auto"/>
              </w:rPr>
            </w:pPr>
          </w:p>
        </w:tc>
        <w:tc>
          <w:tcPr>
            <w:tcW w:w="8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matters</w:t>
            </w:r>
          </w:p>
        </w:tc>
        <w:tc>
          <w:tcPr>
            <w:tcW w:w="780" w:type="dxa"/>
            <w:vAlign w:val="bottom"/>
            <w:gridSpan w:val="3"/>
          </w:tcPr>
          <w:p>
            <w:pPr>
              <w:ind w:left="120"/>
              <w:spacing w:after="0"/>
              <w:rPr>
                <w:sz w:val="20"/>
                <w:szCs w:val="20"/>
                <w:color w:val="auto"/>
              </w:rPr>
            </w:pPr>
            <w:r>
              <w:rPr>
                <w:rFonts w:ascii="Courier New" w:cs="Courier New" w:eastAsia="Courier New" w:hAnsi="Courier New"/>
                <w:sz w:val="12"/>
                <w:szCs w:val="12"/>
                <w:color w:val="auto"/>
                <w:w w:val="98"/>
              </w:rPr>
              <w:t>described</w:t>
            </w:r>
          </w:p>
        </w:tc>
        <w:tc>
          <w:tcPr>
            <w:tcW w:w="3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gridSpan w:val="4"/>
          </w:tcPr>
          <w:p>
            <w:pPr>
              <w:ind w:left="40"/>
              <w:spacing w:after="0"/>
              <w:rPr>
                <w:sz w:val="20"/>
                <w:szCs w:val="20"/>
                <w:color w:val="auto"/>
              </w:rPr>
            </w:pPr>
            <w:r>
              <w:rPr>
                <w:rFonts w:ascii="Courier New" w:cs="Courier New" w:eastAsia="Courier New" w:hAnsi="Courier New"/>
                <w:sz w:val="12"/>
                <w:szCs w:val="12"/>
                <w:color w:val="auto"/>
              </w:rPr>
              <w:t>SCHEDULE 1.1.115(C)</w:t>
            </w:r>
          </w:p>
        </w:tc>
        <w:tc>
          <w:tcPr>
            <w:tcW w:w="48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97"/>
              </w:rPr>
              <w:t>hereto</w:t>
            </w:r>
          </w:p>
        </w:tc>
        <w:tc>
          <w:tcPr>
            <w:tcW w:w="6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shall</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at</w:t>
            </w:r>
          </w:p>
        </w:tc>
      </w:tr>
      <w:tr>
        <w:trPr>
          <w:trHeight w:val="142"/>
        </w:trPr>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ind w:left="40"/>
              <w:spacing w:after="0"/>
              <w:rPr>
                <w:sz w:val="20"/>
                <w:szCs w:val="20"/>
                <w:color w:val="auto"/>
              </w:rPr>
            </w:pPr>
            <w:r>
              <w:rPr>
                <w:rFonts w:ascii="Courier New" w:cs="Courier New" w:eastAsia="Courier New" w:hAnsi="Courier New"/>
                <w:sz w:val="12"/>
                <w:szCs w:val="12"/>
                <w:color w:val="auto"/>
              </w:rPr>
              <w:t>no</w:t>
            </w:r>
          </w:p>
        </w:tc>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time</w:t>
            </w:r>
          </w:p>
        </w:tc>
        <w:tc>
          <w:tcPr>
            <w:tcW w:w="840" w:type="dxa"/>
            <w:vAlign w:val="bottom"/>
            <w:gridSpan w:val="2"/>
          </w:tcPr>
          <w:p>
            <w:pPr>
              <w:jc w:val="right"/>
              <w:ind w:right="39"/>
              <w:spacing w:after="0"/>
              <w:rPr>
                <w:sz w:val="20"/>
                <w:szCs w:val="20"/>
                <w:color w:val="auto"/>
              </w:rPr>
            </w:pPr>
            <w:r>
              <w:rPr>
                <w:rFonts w:ascii="Courier New" w:cs="Courier New" w:eastAsia="Courier New" w:hAnsi="Courier New"/>
                <w:sz w:val="12"/>
                <w:szCs w:val="12"/>
                <w:color w:val="auto"/>
              </w:rPr>
              <w:t>exceed,</w:t>
            </w:r>
          </w:p>
        </w:tc>
        <w:tc>
          <w:tcPr>
            <w:tcW w:w="18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rPr>
              <w:t>in</w:t>
            </w:r>
          </w:p>
        </w:tc>
        <w:tc>
          <w:tcPr>
            <w:tcW w:w="8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aggregate,</w:t>
            </w:r>
          </w:p>
        </w:tc>
      </w:tr>
      <w:tr>
        <w:trPr>
          <w:trHeight w:val="142"/>
        </w:trPr>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gridSpan w:val="3"/>
          </w:tcPr>
          <w:p>
            <w:pPr>
              <w:ind w:left="40"/>
              <w:spacing w:after="0"/>
              <w:rPr>
                <w:sz w:val="20"/>
                <w:szCs w:val="20"/>
                <w:color w:val="auto"/>
              </w:rPr>
            </w:pPr>
            <w:r>
              <w:rPr>
                <w:rFonts w:ascii="Courier New" w:cs="Courier New" w:eastAsia="Courier New" w:hAnsi="Courier New"/>
                <w:sz w:val="12"/>
                <w:szCs w:val="12"/>
                <w:color w:val="auto"/>
                <w:w w:val="99"/>
              </w:rPr>
              <w:t>US $22,500,000</w:t>
            </w:r>
          </w:p>
        </w:tc>
        <w:tc>
          <w:tcPr>
            <w:tcW w:w="1260" w:type="dxa"/>
            <w:vAlign w:val="bottom"/>
            <w:gridSpan w:val="4"/>
          </w:tcPr>
          <w:p>
            <w:pPr>
              <w:ind w:left="220"/>
              <w:spacing w:after="0"/>
              <w:rPr>
                <w:sz w:val="20"/>
                <w:szCs w:val="20"/>
                <w:color w:val="auto"/>
              </w:rPr>
            </w:pPr>
            <w:r>
              <w:rPr>
                <w:rFonts w:ascii="Courier New" w:cs="Courier New" w:eastAsia="Courier New" w:hAnsi="Courier New"/>
                <w:sz w:val="12"/>
                <w:szCs w:val="12"/>
                <w:color w:val="auto"/>
              </w:rPr>
              <w:t>(twenty-two</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million</w:t>
            </w:r>
          </w:p>
        </w:tc>
      </w:tr>
      <w:tr>
        <w:trPr>
          <w:trHeight w:val="142"/>
        </w:trPr>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five hundred</w:t>
            </w:r>
          </w:p>
        </w:tc>
        <w:tc>
          <w:tcPr>
            <w:tcW w:w="660" w:type="dxa"/>
            <w:vAlign w:val="bottom"/>
            <w:gridSpan w:val="2"/>
          </w:tcPr>
          <w:p>
            <w:pPr>
              <w:spacing w:after="0"/>
              <w:rPr>
                <w:sz w:val="20"/>
                <w:szCs w:val="20"/>
                <w:color w:val="auto"/>
              </w:rPr>
            </w:pPr>
            <w:r>
              <w:rPr>
                <w:rFonts w:ascii="Courier New" w:cs="Courier New" w:eastAsia="Courier New" w:hAnsi="Courier New"/>
                <w:sz w:val="12"/>
                <w:szCs w:val="12"/>
                <w:color w:val="auto"/>
              </w:rPr>
              <w:t>thousand</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United</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States</w:t>
            </w:r>
          </w:p>
        </w:tc>
      </w:tr>
    </w:tbl>
    <w:p>
      <w:pPr>
        <w:sectPr>
          <w:pgSz w:w="11900" w:h="16865" w:orient="portrait"/>
          <w:cols w:equalWidth="0" w:num="1">
            <w:col w:w="10239"/>
          </w:cols>
          <w:pgMar w:left="220" w:top="141" w:right="1440" w:bottom="0" w:gutter="0" w:footer="0" w:header="0"/>
        </w:sectPr>
      </w:pPr>
    </w:p>
    <w:bookmarkStart w:id="89" w:name="page90"/>
    <w:bookmarkEnd w:id="89"/>
    <w:p>
      <w:pPr>
        <w:spacing w:after="0" w:line="5" w:lineRule="exact"/>
        <w:rPr>
          <w:sz w:val="20"/>
          <w:szCs w:val="20"/>
          <w:color w:val="auto"/>
        </w:rPr>
      </w:pPr>
    </w:p>
    <w:p>
      <w:pPr>
        <w:ind w:left="3640"/>
        <w:spacing w:after="0"/>
        <w:tabs>
          <w:tab w:leader="none" w:pos="4360" w:val="left"/>
          <w:tab w:leader="none" w:pos="4940" w:val="left"/>
          <w:tab w:leader="none" w:pos="5900" w:val="left"/>
        </w:tabs>
        <w:rPr>
          <w:sz w:val="20"/>
          <w:szCs w:val="20"/>
          <w:color w:val="auto"/>
        </w:rPr>
      </w:pPr>
      <w:r>
        <w:rPr>
          <w:rFonts w:ascii="Courier New" w:cs="Courier New" w:eastAsia="Courier New" w:hAnsi="Courier New"/>
          <w:sz w:val="12"/>
          <w:szCs w:val="12"/>
          <w:color w:val="auto"/>
        </w:rPr>
        <w:t>Dollars)</w:t>
        <w:tab/>
        <w:t>or its</w:t>
        <w:tab/>
        <w:t>equivalent.</w:t>
        <w:tab/>
        <w:t>For the</w:t>
      </w:r>
    </w:p>
    <w:p>
      <w:pPr>
        <w:spacing w:after="0" w:line="6" w:lineRule="exact"/>
        <w:rPr>
          <w:sz w:val="20"/>
          <w:szCs w:val="20"/>
          <w:color w:val="auto"/>
        </w:rPr>
      </w:pPr>
    </w:p>
    <w:p>
      <w:pPr>
        <w:ind w:left="3640"/>
        <w:spacing w:after="0"/>
        <w:tabs>
          <w:tab w:leader="none" w:pos="5020" w:val="left"/>
          <w:tab w:leader="none" w:pos="5820" w:val="left"/>
        </w:tabs>
        <w:rPr>
          <w:sz w:val="20"/>
          <w:szCs w:val="20"/>
          <w:color w:val="auto"/>
        </w:rPr>
      </w:pPr>
      <w:r>
        <w:rPr>
          <w:rFonts w:ascii="Courier New" w:cs="Courier New" w:eastAsia="Courier New" w:hAnsi="Courier New"/>
          <w:sz w:val="12"/>
          <w:szCs w:val="12"/>
          <w:color w:val="auto"/>
        </w:rPr>
        <w:t>removal of doubt,</w:t>
        <w:tab/>
        <w:t>the Banks</w:t>
        <w:tab/>
        <w:t>shall be</w:t>
      </w:r>
    </w:p>
    <w:p>
      <w:pPr>
        <w:spacing w:after="0" w:line="6" w:lineRule="exact"/>
        <w:rPr>
          <w:sz w:val="20"/>
          <w:szCs w:val="20"/>
          <w:color w:val="auto"/>
        </w:rPr>
      </w:pPr>
    </w:p>
    <w:p>
      <w:pPr>
        <w:ind w:left="3640"/>
        <w:spacing w:after="0"/>
        <w:tabs>
          <w:tab w:leader="none" w:pos="4120" w:val="left"/>
          <w:tab w:leader="none" w:pos="4420" w:val="left"/>
          <w:tab w:leader="none" w:pos="5380" w:val="left"/>
          <w:tab w:leader="none" w:pos="6260" w:val="left"/>
        </w:tabs>
        <w:rPr>
          <w:sz w:val="20"/>
          <w:szCs w:val="20"/>
          <w:color w:val="auto"/>
        </w:rPr>
      </w:pPr>
      <w:r>
        <w:rPr>
          <w:rFonts w:ascii="Courier New" w:cs="Courier New" w:eastAsia="Courier New" w:hAnsi="Courier New"/>
          <w:sz w:val="12"/>
          <w:szCs w:val="12"/>
          <w:color w:val="auto"/>
        </w:rPr>
        <w:t>under</w:t>
        <w:tab/>
        <w:t>no</w:t>
        <w:tab/>
        <w:t>obligation</w:t>
        <w:tab/>
        <w:t>whatsoever</w:t>
        <w:tab/>
        <w:t>to</w:t>
      </w:r>
    </w:p>
    <w:p>
      <w:pPr>
        <w:spacing w:after="0" w:line="6" w:lineRule="exact"/>
        <w:rPr>
          <w:sz w:val="20"/>
          <w:szCs w:val="20"/>
          <w:color w:val="auto"/>
        </w:rPr>
      </w:pPr>
    </w:p>
    <w:p>
      <w:pPr>
        <w:ind w:left="3640"/>
        <w:spacing w:after="0"/>
        <w:tabs>
          <w:tab w:leader="none" w:pos="4640" w:val="left"/>
        </w:tabs>
        <w:rPr>
          <w:sz w:val="20"/>
          <w:szCs w:val="20"/>
          <w:color w:val="auto"/>
        </w:rPr>
      </w:pPr>
      <w:r>
        <w:rPr>
          <w:rFonts w:ascii="Courier New" w:cs="Courier New" w:eastAsia="Courier New" w:hAnsi="Courier New"/>
          <w:sz w:val="12"/>
          <w:szCs w:val="12"/>
          <w:color w:val="auto"/>
        </w:rPr>
        <w:t>provide such</w:t>
        <w:tab/>
        <w:t>financing or to continue</w:t>
      </w:r>
    </w:p>
    <w:p>
      <w:pPr>
        <w:spacing w:after="0" w:line="6" w:lineRule="exact"/>
        <w:rPr>
          <w:sz w:val="20"/>
          <w:szCs w:val="20"/>
          <w:color w:val="auto"/>
        </w:rPr>
      </w:pPr>
    </w:p>
    <w:p>
      <w:pPr>
        <w:ind w:left="3640"/>
        <w:spacing w:after="0"/>
        <w:tabs>
          <w:tab w:leader="none" w:pos="3900" w:val="left"/>
          <w:tab w:leader="none" w:pos="4580" w:val="left"/>
          <w:tab w:leader="none" w:pos="5020" w:val="left"/>
          <w:tab w:leader="none" w:pos="5820" w:val="left"/>
          <w:tab w:leader="none" w:pos="6120" w:val="left"/>
        </w:tabs>
        <w:rPr>
          <w:sz w:val="20"/>
          <w:szCs w:val="20"/>
          <w:color w:val="auto"/>
        </w:rPr>
      </w:pPr>
      <w:r>
        <w:rPr>
          <w:rFonts w:ascii="Courier New" w:cs="Courier New" w:eastAsia="Courier New" w:hAnsi="Courier New"/>
          <w:sz w:val="12"/>
          <w:szCs w:val="12"/>
          <w:color w:val="auto"/>
        </w:rPr>
        <w:t>to</w:t>
        <w:tab/>
        <w:t>provide</w:t>
        <w:tab/>
        <w:t>such</w:t>
        <w:tab/>
        <w:t>financing</w:t>
        <w:tab/>
        <w:t>if</w:t>
        <w:tab/>
        <w:t>they</w:t>
      </w:r>
    </w:p>
    <w:p>
      <w:pPr>
        <w:spacing w:after="0" w:line="6" w:lineRule="exact"/>
        <w:rPr>
          <w:sz w:val="20"/>
          <w:szCs w:val="20"/>
          <w:color w:val="auto"/>
        </w:rPr>
      </w:pPr>
    </w:p>
    <w:p>
      <w:pPr>
        <w:ind w:left="3640"/>
        <w:spacing w:after="0"/>
        <w:rPr>
          <w:sz w:val="20"/>
          <w:szCs w:val="20"/>
          <w:color w:val="auto"/>
        </w:rPr>
      </w:pPr>
      <w:r>
        <w:rPr>
          <w:rFonts w:ascii="Courier New" w:cs="Courier New" w:eastAsia="Courier New" w:hAnsi="Courier New"/>
          <w:sz w:val="12"/>
          <w:szCs w:val="12"/>
          <w:color w:val="auto"/>
        </w:rPr>
        <w:t>shall at any time do so;</w:t>
      </w:r>
    </w:p>
    <w:p>
      <w:pPr>
        <w:spacing w:after="0" w:line="289"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- 38 -</w:t>
      </w:r>
    </w:p>
    <w:p>
      <w:pPr>
        <w:spacing w:after="0" w:line="200" w:lineRule="exact"/>
        <w:rPr>
          <w:sz w:val="20"/>
          <w:szCs w:val="20"/>
          <w:color w:val="auto"/>
        </w:rPr>
      </w:pPr>
    </w:p>
    <w:p>
      <w:pPr>
        <w:spacing w:after="0" w:line="353" w:lineRule="exact"/>
        <w:rPr>
          <w:sz w:val="20"/>
          <w:szCs w:val="20"/>
          <w:color w:val="auto"/>
        </w:rPr>
      </w:pPr>
    </w:p>
    <w:p>
      <w:pPr>
        <w:ind w:left="3640" w:hanging="521"/>
        <w:spacing w:after="0"/>
        <w:tabs>
          <w:tab w:leader="none" w:pos="3640"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Financial  Indebtedness  in respect of</w:t>
      </w:r>
    </w:p>
    <w:p>
      <w:pPr>
        <w:spacing w:after="0" w:line="6" w:lineRule="exact"/>
        <w:rPr>
          <w:sz w:val="20"/>
          <w:szCs w:val="20"/>
          <w:color w:val="auto"/>
        </w:rPr>
      </w:pPr>
    </w:p>
    <w:tbl>
      <w:tblPr>
        <w:tblLayout w:type="fixed"/>
        <w:tblInd w:w="3120" w:type="dxa"/>
        <w:tblCellMar>
          <w:top w:w="0" w:type="dxa"/>
          <w:left w:w="0" w:type="dxa"/>
          <w:bottom w:w="0" w:type="dxa"/>
          <w:right w:w="0" w:type="dxa"/>
        </w:tblCellMar>
      </w:tblPr>
      <w:tr>
        <w:trPr>
          <w:trHeight w:val="138"/>
        </w:trPr>
        <w:tc>
          <w:tcPr>
            <w:tcW w:w="360" w:type="dxa"/>
            <w:vAlign w:val="bottom"/>
          </w:tcPr>
          <w:p>
            <w:pPr>
              <w:spacing w:after="0"/>
              <w:rPr>
                <w:sz w:val="12"/>
                <w:szCs w:val="12"/>
                <w:color w:val="auto"/>
              </w:rPr>
            </w:pPr>
          </w:p>
        </w:tc>
        <w:tc>
          <w:tcPr>
            <w:tcW w:w="820" w:type="dxa"/>
            <w:vAlign w:val="bottom"/>
            <w:gridSpan w:val="2"/>
          </w:tcPr>
          <w:p>
            <w:pPr>
              <w:ind w:left="160"/>
              <w:spacing w:after="0"/>
              <w:rPr>
                <w:sz w:val="20"/>
                <w:szCs w:val="20"/>
                <w:color w:val="auto"/>
              </w:rPr>
            </w:pPr>
            <w:r>
              <w:rPr>
                <w:rFonts w:ascii="Courier New" w:cs="Courier New" w:eastAsia="Courier New" w:hAnsi="Courier New"/>
                <w:sz w:val="12"/>
                <w:szCs w:val="12"/>
                <w:color w:val="auto"/>
                <w:w w:val="98"/>
              </w:rPr>
              <w:t>operating</w:t>
            </w:r>
          </w:p>
        </w:tc>
        <w:tc>
          <w:tcPr>
            <w:tcW w:w="22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leases</w:t>
            </w:r>
          </w:p>
        </w:tc>
        <w:tc>
          <w:tcPr>
            <w:tcW w:w="80" w:type="dxa"/>
            <w:vAlign w:val="bottom"/>
          </w:tcPr>
          <w:p>
            <w:pPr>
              <w:spacing w:after="0"/>
              <w:rPr>
                <w:sz w:val="12"/>
                <w:szCs w:val="12"/>
                <w:color w:val="auto"/>
              </w:rPr>
            </w:pPr>
          </w:p>
        </w:tc>
        <w:tc>
          <w:tcPr>
            <w:tcW w:w="52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of</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up</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to</w:t>
            </w:r>
          </w:p>
        </w:tc>
      </w:tr>
      <w:tr>
        <w:trPr>
          <w:trHeight w:val="142"/>
        </w:trPr>
        <w:tc>
          <w:tcPr>
            <w:tcW w:w="360" w:type="dxa"/>
            <w:vAlign w:val="bottom"/>
          </w:tcPr>
          <w:p>
            <w:pPr>
              <w:spacing w:after="0"/>
              <w:rPr>
                <w:sz w:val="12"/>
                <w:szCs w:val="12"/>
                <w:color w:val="auto"/>
              </w:rPr>
            </w:pPr>
          </w:p>
        </w:tc>
        <w:tc>
          <w:tcPr>
            <w:tcW w:w="134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US $10,000,000</w:t>
            </w:r>
          </w:p>
        </w:tc>
        <w:tc>
          <w:tcPr>
            <w:tcW w:w="3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(ten</w:t>
            </w:r>
          </w:p>
        </w:tc>
        <w:tc>
          <w:tcPr>
            <w:tcW w:w="820" w:type="dxa"/>
            <w:vAlign w:val="bottom"/>
            <w:gridSpan w:val="3"/>
          </w:tcPr>
          <w:p>
            <w:pPr>
              <w:jc w:val="right"/>
              <w:ind w:right="99"/>
              <w:spacing w:after="0"/>
              <w:rPr>
                <w:sz w:val="20"/>
                <w:szCs w:val="20"/>
                <w:color w:val="auto"/>
              </w:rPr>
            </w:pPr>
            <w:r>
              <w:rPr>
                <w:rFonts w:ascii="Courier New" w:cs="Courier New" w:eastAsia="Courier New" w:hAnsi="Courier New"/>
                <w:sz w:val="12"/>
                <w:szCs w:val="12"/>
                <w:color w:val="auto"/>
              </w:rPr>
              <w:t>million</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w w:val="97"/>
              </w:rPr>
              <w:t>United</w:t>
            </w:r>
          </w:p>
        </w:tc>
      </w:tr>
      <w:tr>
        <w:trPr>
          <w:trHeight w:val="142"/>
        </w:trPr>
        <w:tc>
          <w:tcPr>
            <w:tcW w:w="360" w:type="dxa"/>
            <w:vAlign w:val="bottom"/>
          </w:tcPr>
          <w:p>
            <w:pPr>
              <w:spacing w:after="0"/>
              <w:rPr>
                <w:sz w:val="12"/>
                <w:szCs w:val="12"/>
                <w:color w:val="auto"/>
              </w:rPr>
            </w:pPr>
          </w:p>
        </w:tc>
        <w:tc>
          <w:tcPr>
            <w:tcW w:w="2220" w:type="dxa"/>
            <w:vAlign w:val="bottom"/>
            <w:gridSpan w:val="8"/>
          </w:tcPr>
          <w:p>
            <w:pPr>
              <w:ind w:left="160"/>
              <w:spacing w:after="0"/>
              <w:rPr>
                <w:sz w:val="20"/>
                <w:szCs w:val="20"/>
                <w:color w:val="auto"/>
              </w:rPr>
            </w:pPr>
            <w:r>
              <w:rPr>
                <w:rFonts w:ascii="Courier New" w:cs="Courier New" w:eastAsia="Courier New" w:hAnsi="Courier New"/>
                <w:sz w:val="12"/>
                <w:szCs w:val="12"/>
                <w:color w:val="auto"/>
              </w:rPr>
              <w:t>States Dollars) in aggregate</w:t>
            </w: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relating</w:t>
            </w:r>
          </w:p>
        </w:tc>
      </w:tr>
      <w:tr>
        <w:trPr>
          <w:trHeight w:val="142"/>
        </w:trPr>
        <w:tc>
          <w:tcPr>
            <w:tcW w:w="360" w:type="dxa"/>
            <w:vAlign w:val="bottom"/>
          </w:tcPr>
          <w:p>
            <w:pPr>
              <w:spacing w:after="0"/>
              <w:rPr>
                <w:sz w:val="12"/>
                <w:szCs w:val="12"/>
                <w:color w:val="auto"/>
              </w:rPr>
            </w:pPr>
          </w:p>
        </w:tc>
        <w:tc>
          <w:tcPr>
            <w:tcW w:w="520" w:type="dxa"/>
            <w:vAlign w:val="bottom"/>
          </w:tcPr>
          <w:p>
            <w:pPr>
              <w:ind w:left="160"/>
              <w:spacing w:after="0"/>
              <w:rPr>
                <w:sz w:val="20"/>
                <w:szCs w:val="20"/>
                <w:color w:val="auto"/>
              </w:rPr>
            </w:pPr>
            <w:r>
              <w:rPr>
                <w:rFonts w:ascii="Courier New" w:cs="Courier New" w:eastAsia="Courier New" w:hAnsi="Courier New"/>
                <w:sz w:val="12"/>
                <w:szCs w:val="12"/>
                <w:color w:val="auto"/>
              </w:rPr>
              <w:t>to</w:t>
            </w:r>
          </w:p>
        </w:tc>
        <w:tc>
          <w:tcPr>
            <w:tcW w:w="520" w:type="dxa"/>
            <w:vAlign w:val="bottom"/>
            <w:gridSpan w:val="2"/>
          </w:tcPr>
          <w:p>
            <w:pPr>
              <w:spacing w:after="0"/>
              <w:rPr>
                <w:sz w:val="20"/>
                <w:szCs w:val="20"/>
                <w:color w:val="auto"/>
              </w:rPr>
            </w:pPr>
            <w:r>
              <w:rPr>
                <w:rFonts w:ascii="Courier New" w:cs="Courier New" w:eastAsia="Courier New" w:hAnsi="Courier New"/>
                <w:sz w:val="12"/>
                <w:szCs w:val="12"/>
                <w:color w:val="auto"/>
              </w:rPr>
              <w:t>Fab 2.</w:t>
            </w:r>
          </w:p>
        </w:tc>
        <w:tc>
          <w:tcPr>
            <w:tcW w:w="58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In</w:t>
            </w:r>
          </w:p>
        </w:tc>
        <w:tc>
          <w:tcPr>
            <w:tcW w:w="80" w:type="dxa"/>
            <w:vAlign w:val="bottom"/>
          </w:tcPr>
          <w:p>
            <w:pPr>
              <w:spacing w:after="0"/>
              <w:rPr>
                <w:sz w:val="12"/>
                <w:szCs w:val="12"/>
                <w:color w:val="auto"/>
              </w:rPr>
            </w:pPr>
          </w:p>
        </w:tc>
        <w:tc>
          <w:tcPr>
            <w:tcW w:w="820" w:type="dxa"/>
            <w:vAlign w:val="bottom"/>
            <w:gridSpan w:val="3"/>
          </w:tcPr>
          <w:p>
            <w:pPr>
              <w:jc w:val="right"/>
              <w:ind w:right="99"/>
              <w:spacing w:after="0"/>
              <w:rPr>
                <w:sz w:val="20"/>
                <w:szCs w:val="20"/>
                <w:color w:val="auto"/>
              </w:rPr>
            </w:pPr>
            <w:r>
              <w:rPr>
                <w:rFonts w:ascii="Courier New" w:cs="Courier New" w:eastAsia="Courier New" w:hAnsi="Courier New"/>
                <w:sz w:val="12"/>
                <w:szCs w:val="12"/>
                <w:color w:val="auto"/>
                <w:w w:val="98"/>
              </w:rPr>
              <w:t>addition,</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such</w:t>
            </w:r>
          </w:p>
        </w:tc>
      </w:tr>
      <w:tr>
        <w:trPr>
          <w:trHeight w:val="142"/>
        </w:trPr>
        <w:tc>
          <w:tcPr>
            <w:tcW w:w="360" w:type="dxa"/>
            <w:vAlign w:val="bottom"/>
          </w:tcPr>
          <w:p>
            <w:pPr>
              <w:spacing w:after="0"/>
              <w:rPr>
                <w:sz w:val="12"/>
                <w:szCs w:val="12"/>
                <w:color w:val="auto"/>
              </w:rPr>
            </w:pPr>
          </w:p>
        </w:tc>
        <w:tc>
          <w:tcPr>
            <w:tcW w:w="104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additional</w:t>
            </w: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8"/>
              </w:rPr>
              <w:t>Financial</w:t>
            </w:r>
          </w:p>
        </w:tc>
        <w:tc>
          <w:tcPr>
            <w:tcW w:w="126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Indebtedness in</w:t>
            </w:r>
          </w:p>
        </w:tc>
      </w:tr>
      <w:tr>
        <w:trPr>
          <w:trHeight w:val="142"/>
        </w:trPr>
        <w:tc>
          <w:tcPr>
            <w:tcW w:w="360" w:type="dxa"/>
            <w:vAlign w:val="bottom"/>
          </w:tcPr>
          <w:p>
            <w:pPr>
              <w:spacing w:after="0"/>
              <w:rPr>
                <w:sz w:val="12"/>
                <w:szCs w:val="12"/>
                <w:color w:val="auto"/>
              </w:rPr>
            </w:pPr>
          </w:p>
        </w:tc>
        <w:tc>
          <w:tcPr>
            <w:tcW w:w="1620" w:type="dxa"/>
            <w:vAlign w:val="bottom"/>
            <w:gridSpan w:val="5"/>
          </w:tcPr>
          <w:p>
            <w:pPr>
              <w:ind w:left="160"/>
              <w:spacing w:after="0"/>
              <w:rPr>
                <w:sz w:val="20"/>
                <w:szCs w:val="20"/>
                <w:color w:val="auto"/>
              </w:rPr>
            </w:pPr>
            <w:r>
              <w:rPr>
                <w:rFonts w:ascii="Courier New" w:cs="Courier New" w:eastAsia="Courier New" w:hAnsi="Courier New"/>
                <w:sz w:val="12"/>
                <w:szCs w:val="12"/>
                <w:color w:val="auto"/>
                <w:w w:val="99"/>
              </w:rPr>
              <w:t>respect of operating</w:t>
            </w: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leases</w:t>
            </w: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relating</w:t>
            </w:r>
          </w:p>
        </w:tc>
      </w:tr>
      <w:tr>
        <w:trPr>
          <w:trHeight w:val="142"/>
        </w:trPr>
        <w:tc>
          <w:tcPr>
            <w:tcW w:w="360" w:type="dxa"/>
            <w:vAlign w:val="bottom"/>
          </w:tcPr>
          <w:p>
            <w:pPr>
              <w:spacing w:after="0"/>
              <w:rPr>
                <w:sz w:val="12"/>
                <w:szCs w:val="12"/>
                <w:color w:val="auto"/>
              </w:rPr>
            </w:pPr>
          </w:p>
        </w:tc>
        <w:tc>
          <w:tcPr>
            <w:tcW w:w="162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to the purchase of</w:t>
            </w:r>
          </w:p>
        </w:tc>
        <w:tc>
          <w:tcPr>
            <w:tcW w:w="134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equipment  for use</w:t>
            </w:r>
          </w:p>
        </w:tc>
      </w:tr>
      <w:tr>
        <w:trPr>
          <w:trHeight w:val="142"/>
        </w:trPr>
        <w:tc>
          <w:tcPr>
            <w:tcW w:w="360" w:type="dxa"/>
            <w:vAlign w:val="bottom"/>
          </w:tcPr>
          <w:p>
            <w:pPr>
              <w:spacing w:after="0"/>
              <w:rPr>
                <w:sz w:val="12"/>
                <w:szCs w:val="12"/>
                <w:color w:val="auto"/>
              </w:rPr>
            </w:pPr>
          </w:p>
        </w:tc>
        <w:tc>
          <w:tcPr>
            <w:tcW w:w="2220" w:type="dxa"/>
            <w:vAlign w:val="bottom"/>
            <w:gridSpan w:val="8"/>
          </w:tcPr>
          <w:p>
            <w:pPr>
              <w:ind w:left="160"/>
              <w:spacing w:after="0"/>
              <w:rPr>
                <w:sz w:val="20"/>
                <w:szCs w:val="20"/>
                <w:color w:val="auto"/>
              </w:rPr>
            </w:pPr>
            <w:r>
              <w:rPr>
                <w:rFonts w:ascii="Courier New" w:cs="Courier New" w:eastAsia="Courier New" w:hAnsi="Courier New"/>
                <w:sz w:val="12"/>
                <w:szCs w:val="12"/>
                <w:color w:val="auto"/>
              </w:rPr>
              <w:t>in  Fab 2  to  the  extent</w:t>
            </w: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the</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Banks</w:t>
            </w:r>
          </w:p>
        </w:tc>
      </w:tr>
      <w:tr>
        <w:trPr>
          <w:trHeight w:val="142"/>
        </w:trPr>
        <w:tc>
          <w:tcPr>
            <w:tcW w:w="360" w:type="dxa"/>
            <w:vAlign w:val="bottom"/>
          </w:tcPr>
          <w:p>
            <w:pPr>
              <w:spacing w:after="0"/>
              <w:rPr>
                <w:sz w:val="12"/>
                <w:szCs w:val="12"/>
                <w:color w:val="auto"/>
              </w:rPr>
            </w:pPr>
          </w:p>
        </w:tc>
        <w:tc>
          <w:tcPr>
            <w:tcW w:w="2000" w:type="dxa"/>
            <w:vAlign w:val="bottom"/>
            <w:gridSpan w:val="7"/>
          </w:tcPr>
          <w:p>
            <w:pPr>
              <w:ind w:left="160"/>
              <w:spacing w:after="0"/>
              <w:rPr>
                <w:sz w:val="20"/>
                <w:szCs w:val="20"/>
                <w:color w:val="auto"/>
              </w:rPr>
            </w:pPr>
            <w:r>
              <w:rPr>
                <w:rFonts w:ascii="Courier New" w:cs="Courier New" w:eastAsia="Courier New" w:hAnsi="Courier New"/>
                <w:sz w:val="12"/>
                <w:szCs w:val="12"/>
                <w:color w:val="auto"/>
              </w:rPr>
              <w:t>shall (on a case-by-case</w:t>
            </w:r>
          </w:p>
        </w:tc>
        <w:tc>
          <w:tcPr>
            <w:tcW w:w="9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basis), give</w:t>
            </w:r>
          </w:p>
        </w:tc>
      </w:tr>
      <w:tr>
        <w:trPr>
          <w:trHeight w:val="142"/>
        </w:trPr>
        <w:tc>
          <w:tcPr>
            <w:tcW w:w="360" w:type="dxa"/>
            <w:vAlign w:val="bottom"/>
          </w:tcPr>
          <w:p>
            <w:pPr>
              <w:spacing w:after="0"/>
              <w:rPr>
                <w:sz w:val="12"/>
                <w:szCs w:val="12"/>
                <w:color w:val="auto"/>
              </w:rPr>
            </w:pPr>
          </w:p>
        </w:tc>
        <w:tc>
          <w:tcPr>
            <w:tcW w:w="2220" w:type="dxa"/>
            <w:vAlign w:val="bottom"/>
            <w:gridSpan w:val="8"/>
          </w:tcPr>
          <w:p>
            <w:pPr>
              <w:ind w:left="160"/>
              <w:spacing w:after="0"/>
              <w:rPr>
                <w:sz w:val="20"/>
                <w:szCs w:val="20"/>
                <w:color w:val="auto"/>
              </w:rPr>
            </w:pPr>
            <w:r>
              <w:rPr>
                <w:rFonts w:ascii="Courier New" w:cs="Courier New" w:eastAsia="Courier New" w:hAnsi="Courier New"/>
                <w:sz w:val="12"/>
                <w:szCs w:val="12"/>
                <w:color w:val="auto"/>
              </w:rPr>
              <w:t>their prior consent to such</w:t>
            </w: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operating</w:t>
            </w:r>
          </w:p>
        </w:tc>
      </w:tr>
      <w:tr>
        <w:trPr>
          <w:trHeight w:val="142"/>
        </w:trPr>
        <w:tc>
          <w:tcPr>
            <w:tcW w:w="360" w:type="dxa"/>
            <w:vAlign w:val="bottom"/>
          </w:tcPr>
          <w:p>
            <w:pPr>
              <w:spacing w:after="0"/>
              <w:rPr>
                <w:sz w:val="12"/>
                <w:szCs w:val="12"/>
                <w:color w:val="auto"/>
              </w:rPr>
            </w:pPr>
          </w:p>
        </w:tc>
        <w:tc>
          <w:tcPr>
            <w:tcW w:w="162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leases (the Banks,</w:t>
            </w:r>
          </w:p>
        </w:tc>
        <w:tc>
          <w:tcPr>
            <w:tcW w:w="134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for the removal of</w:t>
            </w:r>
          </w:p>
        </w:tc>
      </w:tr>
      <w:tr>
        <w:trPr>
          <w:trHeight w:val="142"/>
        </w:trPr>
        <w:tc>
          <w:tcPr>
            <w:tcW w:w="360" w:type="dxa"/>
            <w:vAlign w:val="bottom"/>
          </w:tcPr>
          <w:p>
            <w:pPr>
              <w:spacing w:after="0"/>
              <w:rPr>
                <w:sz w:val="12"/>
                <w:szCs w:val="12"/>
                <w:color w:val="auto"/>
              </w:rPr>
            </w:pPr>
          </w:p>
        </w:tc>
        <w:tc>
          <w:tcPr>
            <w:tcW w:w="82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doubt,</w:t>
            </w:r>
          </w:p>
        </w:tc>
        <w:tc>
          <w:tcPr>
            <w:tcW w:w="520" w:type="dxa"/>
            <w:vAlign w:val="bottom"/>
            <w:gridSpan w:val="2"/>
          </w:tcPr>
          <w:p>
            <w:pPr>
              <w:spacing w:after="0"/>
              <w:rPr>
                <w:sz w:val="20"/>
                <w:szCs w:val="20"/>
                <w:color w:val="auto"/>
              </w:rPr>
            </w:pPr>
            <w:r>
              <w:rPr>
                <w:rFonts w:ascii="Courier New" w:cs="Courier New" w:eastAsia="Courier New" w:hAnsi="Courier New"/>
                <w:sz w:val="12"/>
                <w:szCs w:val="12"/>
                <w:color w:val="auto"/>
              </w:rPr>
              <w:t>being</w:t>
            </w:r>
          </w:p>
        </w:tc>
        <w:tc>
          <w:tcPr>
            <w:tcW w:w="66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w w:val="97"/>
              </w:rPr>
              <w:t>entitled</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to</w:t>
            </w: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withhold</w:t>
            </w:r>
          </w:p>
        </w:tc>
      </w:tr>
      <w:tr>
        <w:trPr>
          <w:trHeight w:val="142"/>
        </w:trPr>
        <w:tc>
          <w:tcPr>
            <w:tcW w:w="360" w:type="dxa"/>
            <w:vAlign w:val="bottom"/>
          </w:tcPr>
          <w:p>
            <w:pPr>
              <w:spacing w:after="0"/>
              <w:rPr>
                <w:sz w:val="12"/>
                <w:szCs w:val="12"/>
                <w:color w:val="auto"/>
              </w:rPr>
            </w:pPr>
          </w:p>
        </w:tc>
        <w:tc>
          <w:tcPr>
            <w:tcW w:w="2220" w:type="dxa"/>
            <w:vAlign w:val="bottom"/>
            <w:gridSpan w:val="8"/>
          </w:tcPr>
          <w:p>
            <w:pPr>
              <w:ind w:left="160"/>
              <w:spacing w:after="0"/>
              <w:rPr>
                <w:sz w:val="20"/>
                <w:szCs w:val="20"/>
                <w:color w:val="auto"/>
              </w:rPr>
            </w:pPr>
            <w:r>
              <w:rPr>
                <w:rFonts w:ascii="Courier New" w:cs="Courier New" w:eastAsia="Courier New" w:hAnsi="Courier New"/>
                <w:sz w:val="12"/>
                <w:szCs w:val="12"/>
                <w:color w:val="auto"/>
              </w:rPr>
              <w:t>such consent in their sole</w:t>
            </w: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discretion</w:t>
            </w:r>
          </w:p>
        </w:tc>
      </w:tr>
      <w:tr>
        <w:trPr>
          <w:trHeight w:val="142"/>
        </w:trPr>
        <w:tc>
          <w:tcPr>
            <w:tcW w:w="360" w:type="dxa"/>
            <w:vAlign w:val="bottom"/>
          </w:tcPr>
          <w:p>
            <w:pPr>
              <w:spacing w:after="0"/>
              <w:rPr>
                <w:sz w:val="12"/>
                <w:szCs w:val="12"/>
                <w:color w:val="auto"/>
              </w:rPr>
            </w:pPr>
          </w:p>
        </w:tc>
        <w:tc>
          <w:tcPr>
            <w:tcW w:w="104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or, if they</w:t>
            </w:r>
          </w:p>
        </w:tc>
        <w:tc>
          <w:tcPr>
            <w:tcW w:w="5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shall</w:t>
            </w:r>
          </w:p>
        </w:tc>
        <w:tc>
          <w:tcPr>
            <w:tcW w:w="3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w w:val="97"/>
              </w:rPr>
              <w:t>give</w:t>
            </w:r>
          </w:p>
        </w:tc>
        <w:tc>
          <w:tcPr>
            <w:tcW w:w="5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same,</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being</w:t>
            </w:r>
          </w:p>
        </w:tc>
      </w:tr>
      <w:tr>
        <w:trPr>
          <w:trHeight w:val="142"/>
        </w:trPr>
        <w:tc>
          <w:tcPr>
            <w:tcW w:w="360" w:type="dxa"/>
            <w:vAlign w:val="bottom"/>
          </w:tcPr>
          <w:p>
            <w:pPr>
              <w:spacing w:after="0"/>
              <w:rPr>
                <w:sz w:val="12"/>
                <w:szCs w:val="12"/>
                <w:color w:val="auto"/>
              </w:rPr>
            </w:pPr>
          </w:p>
        </w:tc>
        <w:tc>
          <w:tcPr>
            <w:tcW w:w="82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entitled</w:t>
            </w:r>
          </w:p>
        </w:tc>
        <w:tc>
          <w:tcPr>
            <w:tcW w:w="1180" w:type="dxa"/>
            <w:vAlign w:val="bottom"/>
            <w:gridSpan w:val="5"/>
          </w:tcPr>
          <w:p>
            <w:pPr>
              <w:spacing w:after="0"/>
              <w:rPr>
                <w:sz w:val="20"/>
                <w:szCs w:val="20"/>
                <w:color w:val="auto"/>
              </w:rPr>
            </w:pPr>
            <w:r>
              <w:rPr>
                <w:rFonts w:ascii="Courier New" w:cs="Courier New" w:eastAsia="Courier New" w:hAnsi="Courier New"/>
                <w:sz w:val="12"/>
                <w:szCs w:val="12"/>
                <w:color w:val="auto"/>
              </w:rPr>
              <w:t>to impose such</w:t>
            </w:r>
          </w:p>
        </w:tc>
        <w:tc>
          <w:tcPr>
            <w:tcW w:w="9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conditions in</w:t>
            </w:r>
          </w:p>
        </w:tc>
      </w:tr>
      <w:tr>
        <w:trPr>
          <w:trHeight w:val="142"/>
        </w:trPr>
        <w:tc>
          <w:tcPr>
            <w:tcW w:w="360" w:type="dxa"/>
            <w:vAlign w:val="bottom"/>
          </w:tcPr>
          <w:p>
            <w:pPr>
              <w:spacing w:after="0"/>
              <w:rPr>
                <w:sz w:val="12"/>
                <w:szCs w:val="12"/>
                <w:color w:val="auto"/>
              </w:rPr>
            </w:pPr>
          </w:p>
        </w:tc>
        <w:tc>
          <w:tcPr>
            <w:tcW w:w="82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respect</w:t>
            </w:r>
          </w:p>
        </w:tc>
        <w:tc>
          <w:tcPr>
            <w:tcW w:w="520" w:type="dxa"/>
            <w:vAlign w:val="bottom"/>
            <w:gridSpan w:val="2"/>
          </w:tcPr>
          <w:p>
            <w:pPr>
              <w:spacing w:after="0"/>
              <w:rPr>
                <w:sz w:val="20"/>
                <w:szCs w:val="20"/>
                <w:color w:val="auto"/>
              </w:rPr>
            </w:pPr>
            <w:r>
              <w:rPr>
                <w:rFonts w:ascii="Courier New" w:cs="Courier New" w:eastAsia="Courier New" w:hAnsi="Courier New"/>
                <w:sz w:val="12"/>
                <w:szCs w:val="12"/>
                <w:color w:val="auto"/>
                <w:w w:val="99"/>
              </w:rPr>
              <w:t>thereof</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as</w:t>
            </w:r>
          </w:p>
        </w:tc>
        <w:tc>
          <w:tcPr>
            <w:tcW w:w="80" w:type="dxa"/>
            <w:vAlign w:val="bottom"/>
          </w:tcPr>
          <w:p>
            <w:pPr>
              <w:spacing w:after="0"/>
              <w:rPr>
                <w:sz w:val="12"/>
                <w:szCs w:val="12"/>
                <w:color w:val="auto"/>
              </w:rPr>
            </w:pPr>
          </w:p>
        </w:tc>
        <w:tc>
          <w:tcPr>
            <w:tcW w:w="52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they</w:t>
            </w: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shall  see</w:t>
            </w:r>
          </w:p>
        </w:tc>
      </w:tr>
      <w:tr>
        <w:trPr>
          <w:trHeight w:val="142"/>
        </w:trPr>
        <w:tc>
          <w:tcPr>
            <w:tcW w:w="360" w:type="dxa"/>
            <w:vAlign w:val="bottom"/>
          </w:tcPr>
          <w:p>
            <w:pPr>
              <w:spacing w:after="0"/>
              <w:rPr>
                <w:sz w:val="12"/>
                <w:szCs w:val="12"/>
                <w:color w:val="auto"/>
              </w:rPr>
            </w:pPr>
          </w:p>
        </w:tc>
        <w:tc>
          <w:tcPr>
            <w:tcW w:w="520" w:type="dxa"/>
            <w:vAlign w:val="bottom"/>
          </w:tcPr>
          <w:p>
            <w:pPr>
              <w:ind w:left="160"/>
              <w:spacing w:after="0"/>
              <w:rPr>
                <w:sz w:val="20"/>
                <w:szCs w:val="20"/>
                <w:color w:val="auto"/>
              </w:rPr>
            </w:pPr>
            <w:r>
              <w:rPr>
                <w:rFonts w:ascii="Courier New" w:cs="Courier New" w:eastAsia="Courier New" w:hAnsi="Courier New"/>
                <w:sz w:val="12"/>
                <w:szCs w:val="12"/>
                <w:color w:val="auto"/>
                <w:w w:val="94"/>
              </w:rPr>
              <w:t>fit);</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83"/>
        </w:trPr>
        <w:tc>
          <w:tcPr>
            <w:tcW w:w="360" w:type="dxa"/>
            <w:vAlign w:val="bottom"/>
          </w:tcPr>
          <w:p>
            <w:pPr>
              <w:spacing w:after="0"/>
              <w:rPr>
                <w:sz w:val="20"/>
                <w:szCs w:val="20"/>
                <w:color w:val="auto"/>
              </w:rPr>
            </w:pPr>
            <w:r>
              <w:rPr>
                <w:rFonts w:ascii="Courier New" w:cs="Courier New" w:eastAsia="Courier New" w:hAnsi="Courier New"/>
                <w:sz w:val="12"/>
                <w:szCs w:val="12"/>
                <w:color w:val="auto"/>
              </w:rPr>
              <w:t>(e)</w:t>
            </w:r>
          </w:p>
        </w:tc>
        <w:tc>
          <w:tcPr>
            <w:tcW w:w="820" w:type="dxa"/>
            <w:vAlign w:val="bottom"/>
            <w:gridSpan w:val="2"/>
          </w:tcPr>
          <w:p>
            <w:pPr>
              <w:ind w:left="160"/>
              <w:spacing w:after="0"/>
              <w:rPr>
                <w:sz w:val="20"/>
                <w:szCs w:val="20"/>
                <w:color w:val="auto"/>
              </w:rPr>
            </w:pPr>
            <w:r>
              <w:rPr>
                <w:rFonts w:ascii="Courier New" w:cs="Courier New" w:eastAsia="Courier New" w:hAnsi="Courier New"/>
                <w:sz w:val="12"/>
                <w:szCs w:val="12"/>
                <w:color w:val="auto"/>
                <w:w w:val="98"/>
              </w:rPr>
              <w:t>Financial</w:t>
            </w:r>
          </w:p>
        </w:tc>
        <w:tc>
          <w:tcPr>
            <w:tcW w:w="220" w:type="dxa"/>
            <w:vAlign w:val="bottom"/>
          </w:tcPr>
          <w:p>
            <w:pPr>
              <w:spacing w:after="0"/>
              <w:rPr>
                <w:sz w:val="24"/>
                <w:szCs w:val="24"/>
                <w:color w:val="auto"/>
              </w:rPr>
            </w:pPr>
          </w:p>
        </w:tc>
        <w:tc>
          <w:tcPr>
            <w:tcW w:w="96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w w:val="99"/>
              </w:rPr>
              <w:t>Indebtedness</w:t>
            </w:r>
          </w:p>
        </w:tc>
        <w:tc>
          <w:tcPr>
            <w:tcW w:w="2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comprising</w:t>
            </w:r>
          </w:p>
        </w:tc>
      </w:tr>
      <w:tr>
        <w:trPr>
          <w:trHeight w:val="142"/>
        </w:trPr>
        <w:tc>
          <w:tcPr>
            <w:tcW w:w="360" w:type="dxa"/>
            <w:vAlign w:val="bottom"/>
          </w:tcPr>
          <w:p>
            <w:pPr>
              <w:spacing w:after="0"/>
              <w:rPr>
                <w:sz w:val="12"/>
                <w:szCs w:val="12"/>
                <w:color w:val="auto"/>
              </w:rPr>
            </w:pPr>
          </w:p>
        </w:tc>
        <w:tc>
          <w:tcPr>
            <w:tcW w:w="104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guarantees</w:t>
            </w:r>
          </w:p>
        </w:tc>
        <w:tc>
          <w:tcPr>
            <w:tcW w:w="300" w:type="dxa"/>
            <w:vAlign w:val="bottom"/>
          </w:tcPr>
          <w:p>
            <w:pPr>
              <w:ind w:left="140"/>
              <w:spacing w:after="0"/>
              <w:rPr>
                <w:sz w:val="20"/>
                <w:szCs w:val="20"/>
                <w:color w:val="auto"/>
              </w:rPr>
            </w:pPr>
            <w:r>
              <w:rPr>
                <w:rFonts w:ascii="Courier New" w:cs="Courier New" w:eastAsia="Courier New" w:hAnsi="Courier New"/>
                <w:sz w:val="12"/>
                <w:szCs w:val="12"/>
                <w:color w:val="auto"/>
                <w:w w:val="96"/>
              </w:rPr>
              <w:t>or</w:t>
            </w:r>
          </w:p>
        </w:tc>
        <w:tc>
          <w:tcPr>
            <w:tcW w:w="66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other</w:t>
            </w:r>
          </w:p>
        </w:tc>
        <w:tc>
          <w:tcPr>
            <w:tcW w:w="2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contingent</w:t>
            </w:r>
          </w:p>
        </w:tc>
      </w:tr>
      <w:tr>
        <w:trPr>
          <w:trHeight w:val="142"/>
        </w:trPr>
        <w:tc>
          <w:tcPr>
            <w:tcW w:w="360" w:type="dxa"/>
            <w:vAlign w:val="bottom"/>
          </w:tcPr>
          <w:p>
            <w:pPr>
              <w:spacing w:after="0"/>
              <w:rPr>
                <w:sz w:val="12"/>
                <w:szCs w:val="12"/>
                <w:color w:val="auto"/>
              </w:rPr>
            </w:pPr>
          </w:p>
        </w:tc>
        <w:tc>
          <w:tcPr>
            <w:tcW w:w="1040" w:type="dxa"/>
            <w:vAlign w:val="bottom"/>
            <w:gridSpan w:val="3"/>
          </w:tcPr>
          <w:p>
            <w:pPr>
              <w:ind w:left="160"/>
              <w:spacing w:after="0"/>
              <w:rPr>
                <w:sz w:val="20"/>
                <w:szCs w:val="20"/>
                <w:color w:val="auto"/>
              </w:rPr>
            </w:pPr>
            <w:r>
              <w:rPr>
                <w:rFonts w:ascii="Courier New" w:cs="Courier New" w:eastAsia="Courier New" w:hAnsi="Courier New"/>
                <w:sz w:val="12"/>
                <w:szCs w:val="12"/>
                <w:color w:val="auto"/>
                <w:w w:val="99"/>
              </w:rPr>
              <w:t>Indebtedness</w:t>
            </w:r>
          </w:p>
        </w:tc>
        <w:tc>
          <w:tcPr>
            <w:tcW w:w="58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in</w:t>
            </w:r>
          </w:p>
        </w:tc>
        <w:tc>
          <w:tcPr>
            <w:tcW w:w="60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w w:val="99"/>
              </w:rPr>
              <w:t>respect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any</w:t>
            </w:r>
          </w:p>
        </w:tc>
      </w:tr>
      <w:tr>
        <w:trPr>
          <w:trHeight w:val="142"/>
        </w:trPr>
        <w:tc>
          <w:tcPr>
            <w:tcW w:w="360" w:type="dxa"/>
            <w:vAlign w:val="bottom"/>
          </w:tcPr>
          <w:p>
            <w:pPr>
              <w:spacing w:after="0"/>
              <w:rPr>
                <w:sz w:val="12"/>
                <w:szCs w:val="12"/>
                <w:color w:val="auto"/>
              </w:rPr>
            </w:pPr>
          </w:p>
        </w:tc>
        <w:tc>
          <w:tcPr>
            <w:tcW w:w="104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obligations</w:t>
            </w: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9"/>
              </w:rPr>
              <w:t>of a person,</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other</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than</w:t>
            </w:r>
          </w:p>
        </w:tc>
      </w:tr>
      <w:tr>
        <w:trPr>
          <w:trHeight w:val="142"/>
        </w:trPr>
        <w:tc>
          <w:tcPr>
            <w:tcW w:w="360" w:type="dxa"/>
            <w:vAlign w:val="bottom"/>
          </w:tcPr>
          <w:p>
            <w:pPr>
              <w:spacing w:after="0"/>
              <w:rPr>
                <w:sz w:val="12"/>
                <w:szCs w:val="12"/>
                <w:color w:val="auto"/>
              </w:rPr>
            </w:pPr>
          </w:p>
        </w:tc>
        <w:tc>
          <w:tcPr>
            <w:tcW w:w="520" w:type="dxa"/>
            <w:vAlign w:val="bottom"/>
          </w:tcPr>
          <w:p>
            <w:pPr>
              <w:ind w:left="160"/>
              <w:spacing w:after="0"/>
              <w:rPr>
                <w:sz w:val="20"/>
                <w:szCs w:val="20"/>
                <w:color w:val="auto"/>
              </w:rPr>
            </w:pPr>
            <w:r>
              <w:rPr>
                <w:rFonts w:ascii="Courier New" w:cs="Courier New" w:eastAsia="Courier New" w:hAnsi="Courier New"/>
                <w:sz w:val="12"/>
                <w:szCs w:val="12"/>
                <w:color w:val="auto"/>
              </w:rPr>
              <w:t>the</w:t>
            </w: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Borrower,</w:t>
            </w:r>
          </w:p>
        </w:tc>
        <w:tc>
          <w:tcPr>
            <w:tcW w:w="88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incurred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360" w:type="dxa"/>
            <w:vAlign w:val="bottom"/>
          </w:tcPr>
          <w:p>
            <w:pPr>
              <w:spacing w:after="0"/>
              <w:rPr>
                <w:sz w:val="12"/>
                <w:szCs w:val="12"/>
                <w:color w:val="auto"/>
              </w:rPr>
            </w:pPr>
          </w:p>
        </w:tc>
        <w:tc>
          <w:tcPr>
            <w:tcW w:w="2960" w:type="dxa"/>
            <w:vAlign w:val="bottom"/>
            <w:gridSpan w:val="10"/>
          </w:tcPr>
          <w:p>
            <w:pPr>
              <w:ind w:left="160"/>
              <w:spacing w:after="0"/>
              <w:rPr>
                <w:sz w:val="20"/>
                <w:szCs w:val="20"/>
                <w:color w:val="auto"/>
              </w:rPr>
            </w:pPr>
            <w:r>
              <w:rPr>
                <w:rFonts w:ascii="Courier New" w:cs="Courier New" w:eastAsia="Courier New" w:hAnsi="Courier New"/>
                <w:sz w:val="12"/>
                <w:szCs w:val="12"/>
                <w:color w:val="auto"/>
              </w:rPr>
              <w:t>Ordinary  Course  of  Business  in  an</w:t>
            </w:r>
          </w:p>
        </w:tc>
      </w:tr>
      <w:tr>
        <w:trPr>
          <w:trHeight w:val="142"/>
        </w:trPr>
        <w:tc>
          <w:tcPr>
            <w:tcW w:w="360" w:type="dxa"/>
            <w:vAlign w:val="bottom"/>
          </w:tcPr>
          <w:p>
            <w:pPr>
              <w:spacing w:after="0"/>
              <w:rPr>
                <w:sz w:val="12"/>
                <w:szCs w:val="12"/>
                <w:color w:val="auto"/>
              </w:rPr>
            </w:pPr>
          </w:p>
        </w:tc>
        <w:tc>
          <w:tcPr>
            <w:tcW w:w="820" w:type="dxa"/>
            <w:vAlign w:val="bottom"/>
            <w:gridSpan w:val="2"/>
          </w:tcPr>
          <w:p>
            <w:pPr>
              <w:ind w:left="160"/>
              <w:spacing w:after="0"/>
              <w:rPr>
                <w:sz w:val="20"/>
                <w:szCs w:val="20"/>
                <w:color w:val="auto"/>
              </w:rPr>
            </w:pPr>
            <w:r>
              <w:rPr>
                <w:rFonts w:ascii="Courier New" w:cs="Courier New" w:eastAsia="Courier New" w:hAnsi="Courier New"/>
                <w:sz w:val="12"/>
                <w:szCs w:val="12"/>
                <w:color w:val="auto"/>
                <w:w w:val="98"/>
              </w:rPr>
              <w:t>aggregate</w:t>
            </w:r>
          </w:p>
        </w:tc>
        <w:tc>
          <w:tcPr>
            <w:tcW w:w="2140" w:type="dxa"/>
            <w:vAlign w:val="bottom"/>
            <w:gridSpan w:val="8"/>
          </w:tcPr>
          <w:p>
            <w:pPr>
              <w:jc w:val="right"/>
              <w:spacing w:after="0"/>
              <w:rPr>
                <w:sz w:val="20"/>
                <w:szCs w:val="20"/>
                <w:color w:val="auto"/>
              </w:rPr>
            </w:pPr>
            <w:r>
              <w:rPr>
                <w:rFonts w:ascii="Courier New" w:cs="Courier New" w:eastAsia="Courier New" w:hAnsi="Courier New"/>
                <w:sz w:val="12"/>
                <w:szCs w:val="12"/>
                <w:color w:val="auto"/>
              </w:rPr>
              <w:t>amount not exceeding at any</w:t>
            </w:r>
          </w:p>
        </w:tc>
      </w:tr>
      <w:tr>
        <w:trPr>
          <w:trHeight w:val="142"/>
        </w:trPr>
        <w:tc>
          <w:tcPr>
            <w:tcW w:w="360" w:type="dxa"/>
            <w:vAlign w:val="bottom"/>
          </w:tcPr>
          <w:p>
            <w:pPr>
              <w:spacing w:after="0"/>
              <w:rPr>
                <w:sz w:val="12"/>
                <w:szCs w:val="12"/>
                <w:color w:val="auto"/>
              </w:rPr>
            </w:pPr>
          </w:p>
        </w:tc>
        <w:tc>
          <w:tcPr>
            <w:tcW w:w="520" w:type="dxa"/>
            <w:vAlign w:val="bottom"/>
          </w:tcPr>
          <w:p>
            <w:pPr>
              <w:ind w:left="160"/>
              <w:spacing w:after="0"/>
              <w:rPr>
                <w:sz w:val="20"/>
                <w:szCs w:val="20"/>
                <w:color w:val="auto"/>
              </w:rPr>
            </w:pPr>
            <w:r>
              <w:rPr>
                <w:rFonts w:ascii="Courier New" w:cs="Courier New" w:eastAsia="Courier New" w:hAnsi="Courier New"/>
                <w:sz w:val="12"/>
                <w:szCs w:val="12"/>
                <w:color w:val="auto"/>
              </w:rPr>
              <w:t>time</w:t>
            </w:r>
          </w:p>
        </w:tc>
        <w:tc>
          <w:tcPr>
            <w:tcW w:w="11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US $5,000,000</w:t>
            </w: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(five</w:t>
            </w: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million</w:t>
            </w:r>
          </w:p>
        </w:tc>
      </w:tr>
      <w:tr>
        <w:trPr>
          <w:trHeight w:val="142"/>
        </w:trPr>
        <w:tc>
          <w:tcPr>
            <w:tcW w:w="360" w:type="dxa"/>
            <w:vAlign w:val="bottom"/>
          </w:tcPr>
          <w:p>
            <w:pPr>
              <w:spacing w:after="0"/>
              <w:rPr>
                <w:sz w:val="12"/>
                <w:szCs w:val="12"/>
                <w:color w:val="auto"/>
              </w:rPr>
            </w:pPr>
          </w:p>
        </w:tc>
        <w:tc>
          <w:tcPr>
            <w:tcW w:w="82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United</w:t>
            </w:r>
          </w:p>
        </w:tc>
        <w:tc>
          <w:tcPr>
            <w:tcW w:w="520" w:type="dxa"/>
            <w:vAlign w:val="bottom"/>
            <w:gridSpan w:val="2"/>
          </w:tcPr>
          <w:p>
            <w:pPr>
              <w:spacing w:after="0"/>
              <w:rPr>
                <w:sz w:val="20"/>
                <w:szCs w:val="20"/>
                <w:color w:val="auto"/>
              </w:rPr>
            </w:pPr>
            <w:r>
              <w:rPr>
                <w:rFonts w:ascii="Courier New" w:cs="Courier New" w:eastAsia="Courier New" w:hAnsi="Courier New"/>
                <w:sz w:val="12"/>
                <w:szCs w:val="12"/>
                <w:color w:val="auto"/>
              </w:rPr>
              <w:t>States</w:t>
            </w:r>
          </w:p>
        </w:tc>
        <w:tc>
          <w:tcPr>
            <w:tcW w:w="88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Dollars)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its</w:t>
            </w:r>
          </w:p>
        </w:tc>
      </w:tr>
      <w:tr>
        <w:trPr>
          <w:trHeight w:val="142"/>
        </w:trPr>
        <w:tc>
          <w:tcPr>
            <w:tcW w:w="360" w:type="dxa"/>
            <w:vAlign w:val="bottom"/>
          </w:tcPr>
          <w:p>
            <w:pPr>
              <w:spacing w:after="0"/>
              <w:rPr>
                <w:sz w:val="12"/>
                <w:szCs w:val="12"/>
                <w:color w:val="auto"/>
              </w:rPr>
            </w:pPr>
          </w:p>
        </w:tc>
        <w:tc>
          <w:tcPr>
            <w:tcW w:w="2960" w:type="dxa"/>
            <w:vAlign w:val="bottom"/>
            <w:gridSpan w:val="10"/>
          </w:tcPr>
          <w:p>
            <w:pPr>
              <w:ind w:left="160"/>
              <w:spacing w:after="0"/>
              <w:rPr>
                <w:sz w:val="20"/>
                <w:szCs w:val="20"/>
                <w:color w:val="auto"/>
              </w:rPr>
            </w:pPr>
            <w:r>
              <w:rPr>
                <w:rFonts w:ascii="Courier New" w:cs="Courier New" w:eastAsia="Courier New" w:hAnsi="Courier New"/>
                <w:sz w:val="12"/>
                <w:szCs w:val="12"/>
                <w:color w:val="auto"/>
              </w:rPr>
              <w:t>equivalent.  For the removal of doubt,</w:t>
            </w:r>
          </w:p>
        </w:tc>
      </w:tr>
      <w:tr>
        <w:trPr>
          <w:trHeight w:val="142"/>
        </w:trPr>
        <w:tc>
          <w:tcPr>
            <w:tcW w:w="360" w:type="dxa"/>
            <w:vAlign w:val="bottom"/>
          </w:tcPr>
          <w:p>
            <w:pPr>
              <w:spacing w:after="0"/>
              <w:rPr>
                <w:sz w:val="12"/>
                <w:szCs w:val="12"/>
                <w:color w:val="auto"/>
              </w:rPr>
            </w:pPr>
          </w:p>
        </w:tc>
        <w:tc>
          <w:tcPr>
            <w:tcW w:w="520" w:type="dxa"/>
            <w:vAlign w:val="bottom"/>
          </w:tcPr>
          <w:p>
            <w:pPr>
              <w:ind w:left="160"/>
              <w:spacing w:after="0"/>
              <w:rPr>
                <w:sz w:val="20"/>
                <w:szCs w:val="20"/>
                <w:color w:val="auto"/>
              </w:rPr>
            </w:pPr>
            <w:r>
              <w:rPr>
                <w:rFonts w:ascii="Courier New" w:cs="Courier New" w:eastAsia="Courier New" w:hAnsi="Courier New"/>
                <w:sz w:val="12"/>
                <w:szCs w:val="12"/>
                <w:color w:val="auto"/>
              </w:rPr>
              <w:t>for</w:t>
            </w:r>
          </w:p>
        </w:tc>
        <w:tc>
          <w:tcPr>
            <w:tcW w:w="5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the</w:t>
            </w:r>
          </w:p>
        </w:tc>
        <w:tc>
          <w:tcPr>
            <w:tcW w:w="960" w:type="dxa"/>
            <w:vAlign w:val="bottom"/>
            <w:gridSpan w:val="4"/>
          </w:tcPr>
          <w:p>
            <w:pPr>
              <w:ind w:left="220"/>
              <w:spacing w:after="0"/>
              <w:rPr>
                <w:sz w:val="20"/>
                <w:szCs w:val="20"/>
                <w:color w:val="auto"/>
              </w:rPr>
            </w:pPr>
            <w:r>
              <w:rPr>
                <w:rFonts w:ascii="Courier New" w:cs="Courier New" w:eastAsia="Courier New" w:hAnsi="Courier New"/>
                <w:sz w:val="12"/>
                <w:szCs w:val="12"/>
                <w:color w:val="auto"/>
              </w:rPr>
              <w:t>purposes</w:t>
            </w:r>
          </w:p>
        </w:tc>
        <w:tc>
          <w:tcPr>
            <w:tcW w:w="220" w:type="dxa"/>
            <w:vAlign w:val="bottom"/>
          </w:tcPr>
          <w:p>
            <w:pPr>
              <w:spacing w:after="0"/>
              <w:rPr>
                <w:sz w:val="12"/>
                <w:szCs w:val="12"/>
                <w:color w:val="auto"/>
              </w:rPr>
            </w:pPr>
          </w:p>
        </w:tc>
        <w:tc>
          <w:tcPr>
            <w:tcW w:w="300" w:type="dxa"/>
            <w:vAlign w:val="bottom"/>
          </w:tcPr>
          <w:p>
            <w:pPr>
              <w:jc w:val="right"/>
              <w:ind w:right="99"/>
              <w:spacing w:after="0"/>
              <w:rPr>
                <w:sz w:val="20"/>
                <w:szCs w:val="20"/>
                <w:color w:val="auto"/>
              </w:rPr>
            </w:pPr>
            <w:r>
              <w:rPr>
                <w:rFonts w:ascii="Courier New" w:cs="Courier New" w:eastAsia="Courier New" w:hAnsi="Courier New"/>
                <w:sz w:val="12"/>
                <w:szCs w:val="12"/>
                <w:color w:val="auto"/>
                <w:w w:val="82"/>
              </w:rPr>
              <w:t>of</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this</w:t>
            </w:r>
          </w:p>
        </w:tc>
      </w:tr>
      <w:tr>
        <w:trPr>
          <w:trHeight w:val="142"/>
        </w:trPr>
        <w:tc>
          <w:tcPr>
            <w:tcW w:w="360" w:type="dxa"/>
            <w:vAlign w:val="bottom"/>
          </w:tcPr>
          <w:p>
            <w:pPr>
              <w:spacing w:after="0"/>
              <w:rPr>
                <w:sz w:val="12"/>
                <w:szCs w:val="12"/>
                <w:color w:val="auto"/>
              </w:rPr>
            </w:pPr>
          </w:p>
        </w:tc>
        <w:tc>
          <w:tcPr>
            <w:tcW w:w="162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clause 1.1.115(e),</w:t>
            </w:r>
          </w:p>
        </w:tc>
        <w:tc>
          <w:tcPr>
            <w:tcW w:w="134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"guarantees" shall</w:t>
            </w:r>
          </w:p>
        </w:tc>
      </w:tr>
      <w:tr>
        <w:trPr>
          <w:trHeight w:val="142"/>
        </w:trPr>
        <w:tc>
          <w:tcPr>
            <w:tcW w:w="360" w:type="dxa"/>
            <w:vAlign w:val="bottom"/>
          </w:tcPr>
          <w:p>
            <w:pPr>
              <w:spacing w:after="0"/>
              <w:rPr>
                <w:sz w:val="12"/>
                <w:szCs w:val="12"/>
                <w:color w:val="auto"/>
              </w:rPr>
            </w:pPr>
          </w:p>
        </w:tc>
        <w:tc>
          <w:tcPr>
            <w:tcW w:w="104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not include</w:t>
            </w:r>
          </w:p>
        </w:tc>
        <w:tc>
          <w:tcPr>
            <w:tcW w:w="1180" w:type="dxa"/>
            <w:vAlign w:val="bottom"/>
            <w:gridSpan w:val="5"/>
          </w:tcPr>
          <w:p>
            <w:pPr>
              <w:jc w:val="right"/>
              <w:ind w:right="99"/>
              <w:spacing w:after="0"/>
              <w:rPr>
                <w:sz w:val="20"/>
                <w:szCs w:val="20"/>
                <w:color w:val="auto"/>
              </w:rPr>
            </w:pPr>
            <w:r>
              <w:rPr>
                <w:rFonts w:ascii="Courier New" w:cs="Courier New" w:eastAsia="Courier New" w:hAnsi="Courier New"/>
                <w:sz w:val="12"/>
                <w:szCs w:val="12"/>
                <w:color w:val="auto"/>
              </w:rPr>
              <w:t>"independent"</w:t>
            </w: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guarantees</w:t>
            </w:r>
          </w:p>
        </w:tc>
      </w:tr>
      <w:tr>
        <w:trPr>
          <w:trHeight w:val="142"/>
        </w:trPr>
        <w:tc>
          <w:tcPr>
            <w:tcW w:w="360" w:type="dxa"/>
            <w:vAlign w:val="bottom"/>
          </w:tcPr>
          <w:p>
            <w:pPr>
              <w:spacing w:after="0"/>
              <w:rPr>
                <w:sz w:val="12"/>
                <w:szCs w:val="12"/>
                <w:color w:val="auto"/>
              </w:rPr>
            </w:pPr>
          </w:p>
        </w:tc>
        <w:tc>
          <w:tcPr>
            <w:tcW w:w="520" w:type="dxa"/>
            <w:vAlign w:val="bottom"/>
          </w:tcPr>
          <w:p>
            <w:pPr>
              <w:ind w:left="160"/>
              <w:spacing w:after="0"/>
              <w:rPr>
                <w:sz w:val="20"/>
                <w:szCs w:val="20"/>
                <w:color w:val="auto"/>
              </w:rPr>
            </w:pPr>
            <w:r>
              <w:rPr>
                <w:rFonts w:ascii="Courier New" w:cs="Courier New" w:eastAsia="Courier New" w:hAnsi="Courier New"/>
                <w:sz w:val="12"/>
                <w:szCs w:val="12"/>
                <w:color w:val="auto"/>
              </w:rPr>
              <w:t>by</w:t>
            </w:r>
          </w:p>
        </w:tc>
        <w:tc>
          <w:tcPr>
            <w:tcW w:w="300" w:type="dxa"/>
            <w:vAlign w:val="bottom"/>
          </w:tcPr>
          <w:p>
            <w:pPr>
              <w:spacing w:after="0"/>
              <w:rPr>
                <w:sz w:val="20"/>
                <w:szCs w:val="20"/>
                <w:color w:val="auto"/>
              </w:rPr>
            </w:pPr>
            <w:r>
              <w:rPr>
                <w:rFonts w:ascii="Courier New" w:cs="Courier New" w:eastAsia="Courier New" w:hAnsi="Courier New"/>
                <w:sz w:val="12"/>
                <w:szCs w:val="12"/>
                <w:color w:val="auto"/>
              </w:rPr>
              <w:t>the</w:t>
            </w:r>
          </w:p>
        </w:tc>
        <w:tc>
          <w:tcPr>
            <w:tcW w:w="22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Borrower</w:t>
            </w:r>
          </w:p>
        </w:tc>
        <w:tc>
          <w:tcPr>
            <w:tcW w:w="80" w:type="dxa"/>
            <w:vAlign w:val="bottom"/>
          </w:tcPr>
          <w:p>
            <w:pPr>
              <w:spacing w:after="0"/>
              <w:rPr>
                <w:sz w:val="12"/>
                <w:szCs w:val="12"/>
                <w:color w:val="auto"/>
              </w:rPr>
            </w:pPr>
          </w:p>
        </w:tc>
        <w:tc>
          <w:tcPr>
            <w:tcW w:w="52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for</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its</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own</w:t>
            </w:r>
          </w:p>
        </w:tc>
      </w:tr>
    </w:tbl>
    <w:p>
      <w:pPr>
        <w:spacing w:after="0" w:line="3" w:lineRule="exact"/>
        <w:rPr>
          <w:sz w:val="20"/>
          <w:szCs w:val="20"/>
          <w:color w:val="auto"/>
        </w:rPr>
      </w:pPr>
    </w:p>
    <w:p>
      <w:pPr>
        <w:ind w:left="3640"/>
        <w:spacing w:after="0"/>
        <w:rPr>
          <w:sz w:val="20"/>
          <w:szCs w:val="20"/>
          <w:color w:val="auto"/>
        </w:rPr>
      </w:pPr>
      <w:r>
        <w:rPr>
          <w:rFonts w:ascii="Courier New" w:cs="Courier New" w:eastAsia="Courier New" w:hAnsi="Courier New"/>
          <w:sz w:val="12"/>
          <w:szCs w:val="12"/>
          <w:color w:val="auto"/>
        </w:rPr>
        <w:t>obligations;</w:t>
      </w:r>
    </w:p>
    <w:p>
      <w:pPr>
        <w:spacing w:after="0" w:line="289"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- 39 -</w:t>
      </w:r>
    </w:p>
    <w:p>
      <w:pPr>
        <w:spacing w:after="0" w:line="200" w:lineRule="exact"/>
        <w:rPr>
          <w:sz w:val="20"/>
          <w:szCs w:val="20"/>
          <w:color w:val="auto"/>
        </w:rPr>
      </w:pPr>
    </w:p>
    <w:p>
      <w:pPr>
        <w:spacing w:after="0" w:line="353" w:lineRule="exact"/>
        <w:rPr>
          <w:sz w:val="20"/>
          <w:szCs w:val="20"/>
          <w:color w:val="auto"/>
        </w:rPr>
      </w:pPr>
    </w:p>
    <w:p>
      <w:pPr>
        <w:jc w:val="both"/>
        <w:ind w:left="3640" w:right="2579" w:hanging="521"/>
        <w:spacing w:after="0" w:line="249" w:lineRule="auto"/>
        <w:tabs>
          <w:tab w:leader="none" w:pos="3640"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acquisition cost of assets or services to the extent payable on deferred payment terms, provided that the aggregate Interest actually paid by the Borrower to the supplier or</w:t>
      </w:r>
    </w:p>
    <w:p>
      <w:pPr>
        <w:spacing w:after="0" w:line="3" w:lineRule="exact"/>
        <w:rPr>
          <w:sz w:val="20"/>
          <w:szCs w:val="20"/>
          <w:color w:val="auto"/>
        </w:rPr>
      </w:pPr>
    </w:p>
    <w:p>
      <w:pPr>
        <w:ind w:left="3640"/>
        <w:spacing w:after="0"/>
        <w:tabs>
          <w:tab w:leader="none" w:pos="4360" w:val="left"/>
          <w:tab w:leader="none" w:pos="5020" w:val="left"/>
          <w:tab w:leader="none" w:pos="5820" w:val="left"/>
        </w:tabs>
        <w:rPr>
          <w:sz w:val="20"/>
          <w:szCs w:val="20"/>
          <w:color w:val="auto"/>
        </w:rPr>
      </w:pPr>
      <w:r>
        <w:rPr>
          <w:rFonts w:ascii="Courier New" w:cs="Courier New" w:eastAsia="Courier New" w:hAnsi="Courier New"/>
          <w:sz w:val="12"/>
          <w:szCs w:val="12"/>
          <w:color w:val="auto"/>
        </w:rPr>
        <w:t>provider</w:t>
        <w:tab/>
        <w:t>of such</w:t>
        <w:tab/>
        <w:t>assets or</w:t>
        <w:tab/>
        <w:t>services</w:t>
      </w:r>
    </w:p>
    <w:p>
      <w:pPr>
        <w:spacing w:after="0" w:line="6" w:lineRule="exact"/>
        <w:rPr>
          <w:sz w:val="20"/>
          <w:szCs w:val="20"/>
          <w:color w:val="auto"/>
        </w:rPr>
      </w:pPr>
    </w:p>
    <w:p>
      <w:pPr>
        <w:ind w:left="3640"/>
        <w:spacing w:after="0"/>
        <w:tabs>
          <w:tab w:leader="none" w:pos="3900" w:val="left"/>
          <w:tab w:leader="none" w:pos="4580" w:val="left"/>
          <w:tab w:leader="none" w:pos="4860" w:val="left"/>
          <w:tab w:leader="none" w:pos="5240" w:val="left"/>
          <w:tab w:leader="none" w:pos="5680" w:val="left"/>
          <w:tab w:leader="none" w:pos="6260" w:val="left"/>
        </w:tabs>
        <w:rPr>
          <w:sz w:val="20"/>
          <w:szCs w:val="20"/>
          <w:color w:val="auto"/>
        </w:rPr>
      </w:pPr>
      <w:r>
        <w:rPr>
          <w:rFonts w:ascii="Courier New" w:cs="Courier New" w:eastAsia="Courier New" w:hAnsi="Courier New"/>
          <w:sz w:val="12"/>
          <w:szCs w:val="12"/>
          <w:color w:val="auto"/>
        </w:rPr>
        <w:t>in</w:t>
        <w:tab/>
        <w:t>respect</w:t>
        <w:tab/>
        <w:t>of</w:t>
        <w:tab/>
        <w:t>all</w:t>
        <w:tab/>
        <w:t>such</w:t>
        <w:tab/>
        <w:t>assets</w:t>
        <w:tab/>
        <w:t>or</w:t>
      </w:r>
    </w:p>
    <w:p>
      <w:pPr>
        <w:spacing w:after="0" w:line="6" w:lineRule="exact"/>
        <w:rPr>
          <w:sz w:val="20"/>
          <w:szCs w:val="20"/>
          <w:color w:val="auto"/>
        </w:rPr>
      </w:pPr>
    </w:p>
    <w:p>
      <w:pPr>
        <w:ind w:left="3640"/>
        <w:spacing w:after="0"/>
        <w:tabs>
          <w:tab w:leader="none" w:pos="4640" w:val="left"/>
          <w:tab w:leader="none" w:pos="5380" w:val="left"/>
          <w:tab w:leader="none" w:pos="5980" w:val="left"/>
        </w:tabs>
        <w:rPr>
          <w:sz w:val="20"/>
          <w:szCs w:val="20"/>
          <w:color w:val="auto"/>
        </w:rPr>
      </w:pPr>
      <w:r>
        <w:rPr>
          <w:rFonts w:ascii="Courier New" w:cs="Courier New" w:eastAsia="Courier New" w:hAnsi="Courier New"/>
          <w:sz w:val="12"/>
          <w:szCs w:val="12"/>
          <w:color w:val="auto"/>
        </w:rPr>
        <w:t>services</w:t>
      </w:r>
      <w:r>
        <w:rPr>
          <w:sz w:val="20"/>
          <w:szCs w:val="20"/>
          <w:color w:val="auto"/>
        </w:rPr>
        <w:tab/>
      </w:r>
      <w:r>
        <w:rPr>
          <w:rFonts w:ascii="Courier New" w:cs="Courier New" w:eastAsia="Courier New" w:hAnsi="Courier New"/>
          <w:sz w:val="12"/>
          <w:szCs w:val="12"/>
          <w:color w:val="auto"/>
        </w:rPr>
        <w:t>shall</w:t>
      </w:r>
      <w:r>
        <w:rPr>
          <w:sz w:val="20"/>
          <w:szCs w:val="20"/>
          <w:color w:val="auto"/>
        </w:rPr>
        <w:tab/>
      </w:r>
      <w:r>
        <w:rPr>
          <w:rFonts w:ascii="Courier New" w:cs="Courier New" w:eastAsia="Courier New" w:hAnsi="Courier New"/>
          <w:sz w:val="12"/>
          <w:szCs w:val="12"/>
          <w:color w:val="auto"/>
        </w:rPr>
        <w:t>not</w:t>
      </w:r>
      <w:r>
        <w:rPr>
          <w:sz w:val="20"/>
          <w:szCs w:val="20"/>
          <w:color w:val="auto"/>
        </w:rPr>
        <w:tab/>
      </w:r>
      <w:r>
        <w:rPr>
          <w:rFonts w:ascii="Courier New" w:cs="Courier New" w:eastAsia="Courier New" w:hAnsi="Courier New"/>
          <w:sz w:val="12"/>
          <w:szCs w:val="12"/>
          <w:color w:val="auto"/>
        </w:rPr>
        <w:t>exceed</w:t>
      </w:r>
    </w:p>
    <w:p>
      <w:pPr>
        <w:spacing w:after="0" w:line="6" w:lineRule="exact"/>
        <w:rPr>
          <w:sz w:val="20"/>
          <w:szCs w:val="20"/>
          <w:color w:val="auto"/>
        </w:rPr>
      </w:pPr>
    </w:p>
    <w:p>
      <w:pPr>
        <w:ind w:left="3640"/>
        <w:spacing w:after="0"/>
        <w:tabs>
          <w:tab w:leader="none" w:pos="4800" w:val="left"/>
          <w:tab w:leader="none" w:pos="5240" w:val="left"/>
          <w:tab w:leader="none" w:pos="5980" w:val="left"/>
        </w:tabs>
        <w:rPr>
          <w:sz w:val="20"/>
          <w:szCs w:val="20"/>
          <w:color w:val="auto"/>
        </w:rPr>
      </w:pPr>
      <w:r>
        <w:rPr>
          <w:rFonts w:ascii="Courier New" w:cs="Courier New" w:eastAsia="Courier New" w:hAnsi="Courier New"/>
          <w:sz w:val="12"/>
          <w:szCs w:val="12"/>
          <w:color w:val="auto"/>
        </w:rPr>
        <w:t>US $2,000,000</w:t>
        <w:tab/>
        <w:t>(two</w:t>
        <w:tab/>
        <w:t>million</w:t>
      </w:r>
      <w:r>
        <w:rPr>
          <w:sz w:val="20"/>
          <w:szCs w:val="20"/>
          <w:color w:val="auto"/>
        </w:rPr>
        <w:tab/>
      </w:r>
      <w:r>
        <w:rPr>
          <w:rFonts w:ascii="Courier New" w:cs="Courier New" w:eastAsia="Courier New" w:hAnsi="Courier New"/>
          <w:sz w:val="12"/>
          <w:szCs w:val="12"/>
          <w:color w:val="auto"/>
        </w:rPr>
        <w:t>United</w:t>
      </w:r>
    </w:p>
    <w:p>
      <w:pPr>
        <w:spacing w:after="0" w:line="6" w:lineRule="exact"/>
        <w:rPr>
          <w:sz w:val="20"/>
          <w:szCs w:val="20"/>
          <w:color w:val="auto"/>
        </w:rPr>
      </w:pPr>
    </w:p>
    <w:p>
      <w:pPr>
        <w:ind w:left="3640"/>
        <w:spacing w:after="0"/>
        <w:rPr>
          <w:sz w:val="20"/>
          <w:szCs w:val="20"/>
          <w:color w:val="auto"/>
        </w:rPr>
      </w:pPr>
      <w:r>
        <w:rPr>
          <w:rFonts w:ascii="Courier New" w:cs="Courier New" w:eastAsia="Courier New" w:hAnsi="Courier New"/>
          <w:sz w:val="12"/>
          <w:szCs w:val="12"/>
          <w:color w:val="auto"/>
        </w:rPr>
        <w:t>States Dollars) in any calendar year;</w:t>
      </w:r>
    </w:p>
    <w:p>
      <w:pPr>
        <w:spacing w:after="0" w:line="147" w:lineRule="exact"/>
        <w:rPr>
          <w:sz w:val="20"/>
          <w:szCs w:val="20"/>
          <w:color w:val="auto"/>
        </w:rPr>
      </w:pPr>
    </w:p>
    <w:p>
      <w:pPr>
        <w:jc w:val="both"/>
        <w:ind w:left="3640" w:right="2579" w:hanging="521"/>
        <w:spacing w:after="0" w:line="250" w:lineRule="auto"/>
        <w:tabs>
          <w:tab w:leader="none" w:pos="3640" w:val="left"/>
        </w:tabs>
        <w:numPr>
          <w:ilvl w:val="0"/>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moneys received in consideration for the supply of goods and/or services to the extent received before the due date for such supply provided to the extent such sums bear interest, they shall not exceed the borrowing costs of the Loan made hereunder;</w:t>
      </w:r>
    </w:p>
    <w:p>
      <w:pPr>
        <w:spacing w:after="0" w:line="141" w:lineRule="exact"/>
        <w:rPr>
          <w:rFonts w:ascii="Courier New" w:cs="Courier New" w:eastAsia="Courier New" w:hAnsi="Courier New"/>
          <w:sz w:val="12"/>
          <w:szCs w:val="12"/>
          <w:color w:val="auto"/>
        </w:rPr>
      </w:pPr>
    </w:p>
    <w:p>
      <w:pPr>
        <w:ind w:left="3640" w:hanging="521"/>
        <w:spacing w:after="0"/>
        <w:tabs>
          <w:tab w:leader="none" w:pos="3640" w:val="left"/>
        </w:tabs>
        <w:numPr>
          <w:ilvl w:val="0"/>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receivablessold   or   discounted;</w:t>
      </w:r>
    </w:p>
    <w:p>
      <w:pPr>
        <w:spacing w:after="0" w:line="6" w:lineRule="exact"/>
        <w:rPr>
          <w:sz w:val="20"/>
          <w:szCs w:val="20"/>
          <w:color w:val="auto"/>
        </w:rPr>
      </w:pPr>
    </w:p>
    <w:tbl>
      <w:tblPr>
        <w:tblLayout w:type="fixed"/>
        <w:tblInd w:w="364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Courier New" w:cs="Courier New" w:eastAsia="Courier New" w:hAnsi="Courier New"/>
                <w:sz w:val="12"/>
                <w:szCs w:val="12"/>
                <w:color w:val="auto"/>
              </w:rPr>
              <w:t>provided</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that:</w:t>
            </w:r>
          </w:p>
        </w:tc>
        <w:tc>
          <w:tcPr>
            <w:tcW w:w="780" w:type="dxa"/>
            <w:vAlign w:val="bottom"/>
          </w:tcPr>
          <w:p>
            <w:pPr>
              <w:ind w:left="220"/>
              <w:spacing w:after="0"/>
              <w:rPr>
                <w:sz w:val="20"/>
                <w:szCs w:val="20"/>
                <w:color w:val="auto"/>
              </w:rPr>
            </w:pPr>
            <w:r>
              <w:rPr>
                <w:rFonts w:ascii="Courier New" w:cs="Courier New" w:eastAsia="Courier New" w:hAnsi="Courier New"/>
                <w:sz w:val="12"/>
                <w:szCs w:val="12"/>
                <w:color w:val="auto"/>
              </w:rPr>
              <w:t>(i) the</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maximum</w:t>
            </w:r>
          </w:p>
        </w:tc>
      </w:tr>
      <w:tr>
        <w:trPr>
          <w:trHeight w:val="142"/>
        </w:trPr>
        <w:tc>
          <w:tcPr>
            <w:tcW w:w="660" w:type="dxa"/>
            <w:vAlign w:val="bottom"/>
          </w:tcPr>
          <w:p>
            <w:pPr>
              <w:spacing w:after="0"/>
              <w:rPr>
                <w:sz w:val="20"/>
                <w:szCs w:val="20"/>
                <w:color w:val="auto"/>
              </w:rPr>
            </w:pPr>
            <w:r>
              <w:rPr>
                <w:rFonts w:ascii="Courier New" w:cs="Courier New" w:eastAsia="Courier New" w:hAnsi="Courier New"/>
                <w:sz w:val="12"/>
                <w:szCs w:val="12"/>
                <w:color w:val="auto"/>
              </w:rPr>
              <w:t>recourse</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to the</w:t>
            </w:r>
          </w:p>
        </w:tc>
        <w:tc>
          <w:tcPr>
            <w:tcW w:w="780" w:type="dxa"/>
            <w:vAlign w:val="bottom"/>
          </w:tcPr>
          <w:p>
            <w:pPr>
              <w:ind w:left="80"/>
              <w:spacing w:after="0"/>
              <w:rPr>
                <w:sz w:val="20"/>
                <w:szCs w:val="20"/>
                <w:color w:val="auto"/>
              </w:rPr>
            </w:pPr>
            <w:r>
              <w:rPr>
                <w:rFonts w:ascii="Courier New" w:cs="Courier New" w:eastAsia="Courier New" w:hAnsi="Courier New"/>
                <w:sz w:val="12"/>
                <w:szCs w:val="12"/>
                <w:color w:val="auto"/>
              </w:rPr>
              <w:t>Borrower</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under each</w:t>
            </w:r>
          </w:p>
        </w:tc>
      </w:tr>
      <w:tr>
        <w:trPr>
          <w:trHeight w:val="142"/>
        </w:trPr>
        <w:tc>
          <w:tcPr>
            <w:tcW w:w="28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invoice representing  receivables sold</w:t>
            </w:r>
          </w:p>
        </w:tc>
      </w:tr>
    </w:tbl>
    <w:p>
      <w:pPr>
        <w:spacing w:after="0" w:line="3" w:lineRule="exact"/>
        <w:rPr>
          <w:sz w:val="20"/>
          <w:szCs w:val="20"/>
          <w:color w:val="auto"/>
        </w:rPr>
      </w:pPr>
    </w:p>
    <w:tbl>
      <w:tblPr>
        <w:tblLayout w:type="fixed"/>
        <w:tblInd w:w="3640" w:type="dxa"/>
        <w:tblCellMar>
          <w:top w:w="0" w:type="dxa"/>
          <w:left w:w="0" w:type="dxa"/>
          <w:bottom w:w="0" w:type="dxa"/>
          <w:right w:w="0" w:type="dxa"/>
        </w:tblCellMar>
      </w:tblPr>
      <w:tr>
        <w:trPr>
          <w:trHeight w:val="138"/>
        </w:trPr>
        <w:tc>
          <w:tcPr>
            <w:tcW w:w="1620" w:type="dxa"/>
            <w:vAlign w:val="bottom"/>
            <w:gridSpan w:val="3"/>
          </w:tcPr>
          <w:p>
            <w:pPr>
              <w:spacing w:after="0"/>
              <w:rPr>
                <w:sz w:val="20"/>
                <w:szCs w:val="20"/>
                <w:color w:val="auto"/>
              </w:rPr>
            </w:pPr>
            <w:r>
              <w:rPr>
                <w:rFonts w:ascii="Courier New" w:cs="Courier New" w:eastAsia="Courier New" w:hAnsi="Courier New"/>
                <w:sz w:val="12"/>
                <w:szCs w:val="12"/>
                <w:color w:val="auto"/>
              </w:rPr>
              <w:t>or  discounted  shall</w:t>
            </w:r>
          </w:p>
        </w:tc>
        <w:tc>
          <w:tcPr>
            <w:tcW w:w="320" w:type="dxa"/>
            <w:vAlign w:val="bottom"/>
          </w:tcPr>
          <w:p>
            <w:pPr>
              <w:spacing w:after="0"/>
              <w:rPr>
                <w:sz w:val="20"/>
                <w:szCs w:val="20"/>
                <w:color w:val="auto"/>
              </w:rPr>
            </w:pPr>
            <w:r>
              <w:rPr>
                <w:rFonts w:ascii="Courier New" w:cs="Courier New" w:eastAsia="Courier New" w:hAnsi="Courier New"/>
                <w:sz w:val="12"/>
                <w:szCs w:val="12"/>
                <w:color w:val="auto"/>
              </w:rPr>
              <w:t>not</w:t>
            </w:r>
          </w:p>
        </w:tc>
        <w:tc>
          <w:tcPr>
            <w:tcW w:w="6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exceed</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15%</w:t>
            </w:r>
          </w:p>
        </w:tc>
      </w:tr>
      <w:tr>
        <w:trPr>
          <w:trHeight w:val="142"/>
        </w:trPr>
        <w:tc>
          <w:tcPr>
            <w:tcW w:w="620" w:type="dxa"/>
            <w:vAlign w:val="bottom"/>
          </w:tcPr>
          <w:p>
            <w:pPr>
              <w:spacing w:after="0"/>
              <w:rPr>
                <w:sz w:val="20"/>
                <w:szCs w:val="20"/>
                <w:color w:val="auto"/>
              </w:rPr>
            </w:pPr>
            <w:r>
              <w:rPr>
                <w:rFonts w:ascii="Courier New" w:cs="Courier New" w:eastAsia="Courier New" w:hAnsi="Courier New"/>
                <w:sz w:val="12"/>
                <w:szCs w:val="12"/>
                <w:color w:val="auto"/>
              </w:rPr>
              <w:t>(fifteen</w:t>
            </w: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percent)  of</w:t>
            </w:r>
          </w:p>
        </w:tc>
        <w:tc>
          <w:tcPr>
            <w:tcW w:w="320" w:type="dxa"/>
            <w:vAlign w:val="bottom"/>
          </w:tcPr>
          <w:p>
            <w:pPr>
              <w:ind w:left="60"/>
              <w:spacing w:after="0"/>
              <w:rPr>
                <w:sz w:val="20"/>
                <w:szCs w:val="20"/>
                <w:color w:val="auto"/>
              </w:rPr>
            </w:pPr>
            <w:r>
              <w:rPr>
                <w:rFonts w:ascii="Courier New" w:cs="Courier New" w:eastAsia="Courier New" w:hAnsi="Courier New"/>
                <w:sz w:val="12"/>
                <w:szCs w:val="12"/>
                <w:color w:val="auto"/>
              </w:rPr>
              <w:t>the</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amount</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620" w:type="dxa"/>
            <w:vAlign w:val="bottom"/>
          </w:tcPr>
          <w:p>
            <w:pPr>
              <w:spacing w:after="0"/>
              <w:rPr>
                <w:sz w:val="20"/>
                <w:szCs w:val="20"/>
                <w:color w:val="auto"/>
              </w:rPr>
            </w:pPr>
            <w:r>
              <w:rPr>
                <w:rFonts w:ascii="Courier New" w:cs="Courier New" w:eastAsia="Courier New" w:hAnsi="Courier New"/>
                <w:sz w:val="12"/>
                <w:szCs w:val="12"/>
                <w:color w:val="auto"/>
              </w:rPr>
              <w:t>such</w:t>
            </w:r>
          </w:p>
        </w:tc>
        <w:tc>
          <w:tcPr>
            <w:tcW w:w="1000" w:type="dxa"/>
            <w:vAlign w:val="bottom"/>
            <w:gridSpan w:val="2"/>
          </w:tcPr>
          <w:p>
            <w:pPr>
              <w:jc w:val="right"/>
              <w:ind w:right="319"/>
              <w:spacing w:after="0"/>
              <w:rPr>
                <w:sz w:val="20"/>
                <w:szCs w:val="20"/>
                <w:color w:val="auto"/>
              </w:rPr>
            </w:pPr>
            <w:r>
              <w:rPr>
                <w:rFonts w:ascii="Courier New" w:cs="Courier New" w:eastAsia="Courier New" w:hAnsi="Courier New"/>
                <w:sz w:val="12"/>
                <w:szCs w:val="12"/>
                <w:color w:val="auto"/>
              </w:rPr>
              <w:t>invoice;</w:t>
            </w:r>
          </w:p>
        </w:tc>
        <w:tc>
          <w:tcPr>
            <w:tcW w:w="320" w:type="dxa"/>
            <w:vAlign w:val="bottom"/>
          </w:tcPr>
          <w:p>
            <w:pPr>
              <w:spacing w:after="0"/>
              <w:rPr>
                <w:sz w:val="20"/>
                <w:szCs w:val="20"/>
                <w:color w:val="auto"/>
              </w:rPr>
            </w:pPr>
            <w:r>
              <w:rPr>
                <w:rFonts w:ascii="Courier New" w:cs="Courier New" w:eastAsia="Courier New" w:hAnsi="Courier New"/>
                <w:sz w:val="12"/>
                <w:szCs w:val="12"/>
                <w:color w:val="auto"/>
              </w:rPr>
              <w:t>and</w:t>
            </w:r>
          </w:p>
        </w:tc>
        <w:tc>
          <w:tcPr>
            <w:tcW w:w="8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(ii) the</w:t>
            </w:r>
          </w:p>
        </w:tc>
      </w:tr>
      <w:tr>
        <w:trPr>
          <w:trHeight w:val="142"/>
        </w:trPr>
        <w:tc>
          <w:tcPr>
            <w:tcW w:w="960" w:type="dxa"/>
            <w:vAlign w:val="bottom"/>
            <w:gridSpan w:val="2"/>
          </w:tcPr>
          <w:p>
            <w:pPr>
              <w:spacing w:after="0"/>
              <w:rPr>
                <w:sz w:val="20"/>
                <w:szCs w:val="20"/>
                <w:color w:val="auto"/>
              </w:rPr>
            </w:pPr>
            <w:r>
              <w:rPr>
                <w:rFonts w:ascii="Courier New" w:cs="Courier New" w:eastAsia="Courier New" w:hAnsi="Courier New"/>
                <w:sz w:val="12"/>
                <w:szCs w:val="12"/>
                <w:color w:val="auto"/>
              </w:rPr>
              <w:t>consideration</w:t>
            </w: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for</w:t>
            </w:r>
          </w:p>
        </w:tc>
        <w:tc>
          <w:tcPr>
            <w:tcW w:w="320" w:type="dxa"/>
            <w:vAlign w:val="bottom"/>
          </w:tcPr>
          <w:p>
            <w:pPr>
              <w:spacing w:after="0"/>
              <w:rPr>
                <w:sz w:val="20"/>
                <w:szCs w:val="20"/>
                <w:color w:val="auto"/>
              </w:rPr>
            </w:pPr>
            <w:r>
              <w:rPr>
                <w:rFonts w:ascii="Courier New" w:cs="Courier New" w:eastAsia="Courier New" w:hAnsi="Courier New"/>
                <w:sz w:val="12"/>
                <w:szCs w:val="12"/>
                <w:color w:val="auto"/>
              </w:rPr>
              <w:t>such</w:t>
            </w:r>
          </w:p>
        </w:tc>
        <w:tc>
          <w:tcPr>
            <w:tcW w:w="6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sale</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960" w:type="dxa"/>
            <w:vAlign w:val="bottom"/>
            <w:gridSpan w:val="2"/>
          </w:tcPr>
          <w:p>
            <w:pPr>
              <w:spacing w:after="0"/>
              <w:rPr>
                <w:sz w:val="20"/>
                <w:szCs w:val="20"/>
                <w:color w:val="auto"/>
              </w:rPr>
            </w:pPr>
            <w:r>
              <w:rPr>
                <w:rFonts w:ascii="Courier New" w:cs="Courier New" w:eastAsia="Courier New" w:hAnsi="Courier New"/>
                <w:sz w:val="12"/>
                <w:szCs w:val="12"/>
                <w:color w:val="auto"/>
              </w:rPr>
              <w:t>discounting</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shall be</w:t>
            </w:r>
          </w:p>
        </w:tc>
        <w:tc>
          <w:tcPr>
            <w:tcW w:w="11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received on the</w:t>
            </w:r>
          </w:p>
        </w:tc>
      </w:tr>
      <w:tr>
        <w:trPr>
          <w:trHeight w:val="142"/>
        </w:trPr>
        <w:tc>
          <w:tcPr>
            <w:tcW w:w="960" w:type="dxa"/>
            <w:vAlign w:val="bottom"/>
            <w:gridSpan w:val="2"/>
          </w:tcPr>
          <w:p>
            <w:pPr>
              <w:spacing w:after="0"/>
              <w:rPr>
                <w:sz w:val="20"/>
                <w:szCs w:val="20"/>
                <w:color w:val="auto"/>
              </w:rPr>
            </w:pPr>
            <w:r>
              <w:rPr>
                <w:rFonts w:ascii="Courier New" w:cs="Courier New" w:eastAsia="Courier New" w:hAnsi="Courier New"/>
                <w:sz w:val="12"/>
                <w:szCs w:val="12"/>
                <w:color w:val="auto"/>
              </w:rPr>
              <w:t>date of such</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sale or</w:t>
            </w:r>
          </w:p>
        </w:tc>
        <w:tc>
          <w:tcPr>
            <w:tcW w:w="92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discounting</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620" w:type="dxa"/>
            <w:vAlign w:val="bottom"/>
          </w:tcPr>
          <w:p>
            <w:pPr>
              <w:spacing w:after="0"/>
              <w:rPr>
                <w:sz w:val="20"/>
                <w:szCs w:val="20"/>
                <w:color w:val="auto"/>
              </w:rPr>
            </w:pPr>
            <w:r>
              <w:rPr>
                <w:rFonts w:ascii="Courier New" w:cs="Courier New" w:eastAsia="Courier New" w:hAnsi="Courier New"/>
                <w:sz w:val="12"/>
                <w:szCs w:val="12"/>
                <w:color w:val="auto"/>
              </w:rPr>
              <w:t>cash;</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r>
    </w:tbl>
    <w:p>
      <w:pPr>
        <w:spacing w:after="0" w:line="145" w:lineRule="exact"/>
        <w:rPr>
          <w:sz w:val="20"/>
          <w:szCs w:val="20"/>
          <w:color w:val="auto"/>
        </w:rPr>
      </w:pPr>
    </w:p>
    <w:p>
      <w:pPr>
        <w:ind w:left="3120"/>
        <w:spacing w:after="0"/>
        <w:tabs>
          <w:tab w:leader="none" w:pos="3620" w:val="left"/>
          <w:tab w:leader="none" w:pos="5020" w:val="left"/>
          <w:tab w:leader="none" w:pos="5900" w:val="left"/>
        </w:tabs>
        <w:rPr>
          <w:sz w:val="20"/>
          <w:szCs w:val="20"/>
          <w:color w:val="auto"/>
        </w:rPr>
      </w:pPr>
      <w:r>
        <w:rPr>
          <w:rFonts w:ascii="Courier New" w:cs="Courier New" w:eastAsia="Courier New" w:hAnsi="Courier New"/>
          <w:sz w:val="12"/>
          <w:szCs w:val="12"/>
          <w:color w:val="auto"/>
        </w:rPr>
        <w:t>(i)</w:t>
      </w:r>
      <w:r>
        <w:rPr>
          <w:sz w:val="20"/>
          <w:szCs w:val="20"/>
          <w:color w:val="auto"/>
        </w:rPr>
        <w:tab/>
      </w:r>
      <w:r>
        <w:rPr>
          <w:rFonts w:ascii="Courier New" w:cs="Courier New" w:eastAsia="Courier New" w:hAnsi="Courier New"/>
          <w:sz w:val="12"/>
          <w:szCs w:val="12"/>
          <w:color w:val="auto"/>
        </w:rPr>
        <w:t>Indebtedness</w:t>
      </w:r>
      <w:r>
        <w:rPr>
          <w:sz w:val="20"/>
          <w:szCs w:val="20"/>
          <w:color w:val="auto"/>
        </w:rPr>
        <w:tab/>
      </w:r>
      <w:r>
        <w:rPr>
          <w:rFonts w:ascii="Courier New" w:cs="Courier New" w:eastAsia="Courier New" w:hAnsi="Courier New"/>
          <w:sz w:val="12"/>
          <w:szCs w:val="12"/>
          <w:color w:val="auto"/>
        </w:rPr>
        <w:t>under</w:t>
      </w:r>
      <w:r>
        <w:rPr>
          <w:sz w:val="20"/>
          <w:szCs w:val="20"/>
          <w:color w:val="auto"/>
        </w:rPr>
        <w:tab/>
      </w:r>
      <w:r>
        <w:rPr>
          <w:rFonts w:ascii="Courier New" w:cs="Courier New" w:eastAsia="Courier New" w:hAnsi="Courier New"/>
          <w:sz w:val="12"/>
          <w:szCs w:val="12"/>
          <w:color w:val="auto"/>
        </w:rPr>
        <w:t>Hedging</w:t>
      </w:r>
    </w:p>
    <w:p>
      <w:pPr>
        <w:spacing w:after="0" w:line="6" w:lineRule="exact"/>
        <w:rPr>
          <w:sz w:val="20"/>
          <w:szCs w:val="20"/>
          <w:color w:val="auto"/>
        </w:rPr>
      </w:pPr>
    </w:p>
    <w:p>
      <w:pPr>
        <w:ind w:left="3640"/>
        <w:spacing w:after="0"/>
        <w:tabs>
          <w:tab w:leader="none" w:pos="4720" w:val="left"/>
          <w:tab w:leader="none" w:pos="5460" w:val="left"/>
          <w:tab w:leader="none" w:pos="5900" w:val="left"/>
          <w:tab w:leader="none" w:pos="6200" w:val="left"/>
        </w:tabs>
        <w:rPr>
          <w:sz w:val="20"/>
          <w:szCs w:val="20"/>
          <w:color w:val="auto"/>
        </w:rPr>
      </w:pPr>
      <w:r>
        <w:rPr>
          <w:rFonts w:ascii="Courier New" w:cs="Courier New" w:eastAsia="Courier New" w:hAnsi="Courier New"/>
          <w:sz w:val="12"/>
          <w:szCs w:val="12"/>
          <w:color w:val="auto"/>
        </w:rPr>
        <w:t>Transactions</w:t>
        <w:tab/>
        <w:t>entered</w:t>
        <w:tab/>
        <w:t>into</w:t>
        <w:tab/>
        <w:t>by</w:t>
        <w:tab/>
        <w:t>the</w:t>
      </w:r>
    </w:p>
    <w:p>
      <w:pPr>
        <w:spacing w:after="0" w:line="6" w:lineRule="exact"/>
        <w:rPr>
          <w:sz w:val="20"/>
          <w:szCs w:val="20"/>
          <w:color w:val="auto"/>
        </w:rPr>
      </w:pPr>
    </w:p>
    <w:p>
      <w:pPr>
        <w:ind w:left="3640"/>
        <w:spacing w:after="0"/>
        <w:tabs>
          <w:tab w:leader="none" w:pos="6120" w:val="left"/>
        </w:tabs>
        <w:rPr>
          <w:sz w:val="20"/>
          <w:szCs w:val="20"/>
          <w:color w:val="auto"/>
        </w:rPr>
      </w:pPr>
      <w:r>
        <w:rPr>
          <w:rFonts w:ascii="Courier New" w:cs="Courier New" w:eastAsia="Courier New" w:hAnsi="Courier New"/>
          <w:sz w:val="12"/>
          <w:szCs w:val="12"/>
          <w:color w:val="auto"/>
        </w:rPr>
        <w:t>Borrower (if any), in each case,</w:t>
        <w:tab/>
        <w:t>with</w:t>
      </w:r>
    </w:p>
    <w:p>
      <w:pPr>
        <w:spacing w:after="0" w:line="6" w:lineRule="exact"/>
        <w:rPr>
          <w:sz w:val="20"/>
          <w:szCs w:val="20"/>
          <w:color w:val="auto"/>
        </w:rPr>
      </w:pPr>
    </w:p>
    <w:p>
      <w:pPr>
        <w:ind w:left="3640"/>
        <w:spacing w:after="0"/>
        <w:tabs>
          <w:tab w:leader="none" w:pos="3980" w:val="left"/>
          <w:tab w:leader="none" w:pos="4580" w:val="left"/>
          <w:tab w:leader="none" w:pos="5240" w:val="left"/>
          <w:tab w:leader="none" w:pos="6120" w:val="left"/>
        </w:tabs>
        <w:rPr>
          <w:sz w:val="20"/>
          <w:szCs w:val="20"/>
          <w:color w:val="auto"/>
        </w:rPr>
      </w:pPr>
      <w:r>
        <w:rPr>
          <w:rFonts w:ascii="Courier New" w:cs="Courier New" w:eastAsia="Courier New" w:hAnsi="Courier New"/>
          <w:sz w:val="12"/>
          <w:szCs w:val="12"/>
          <w:color w:val="auto"/>
        </w:rPr>
        <w:t>the</w:t>
        <w:tab/>
        <w:t>Banks,</w:t>
        <w:tab/>
        <w:t>without</w:t>
        <w:tab/>
        <w:t>derogating</w:t>
        <w:tab/>
        <w:t>from</w:t>
      </w:r>
    </w:p>
    <w:p>
      <w:pPr>
        <w:spacing w:after="0" w:line="6" w:lineRule="exact"/>
        <w:rPr>
          <w:sz w:val="20"/>
          <w:szCs w:val="20"/>
          <w:color w:val="auto"/>
        </w:rPr>
      </w:pPr>
    </w:p>
    <w:p>
      <w:pPr>
        <w:ind w:left="3640"/>
        <w:spacing w:after="0"/>
        <w:rPr>
          <w:sz w:val="20"/>
          <w:szCs w:val="20"/>
          <w:color w:val="auto"/>
        </w:rPr>
      </w:pPr>
      <w:r>
        <w:rPr>
          <w:rFonts w:ascii="Courier New" w:cs="Courier New" w:eastAsia="Courier New" w:hAnsi="Courier New"/>
          <w:sz w:val="12"/>
          <w:szCs w:val="12"/>
          <w:color w:val="auto"/>
        </w:rPr>
        <w:t>clause 16.21 below;</w:t>
      </w:r>
    </w:p>
    <w:p>
      <w:pPr>
        <w:spacing w:after="0" w:line="147" w:lineRule="exact"/>
        <w:rPr>
          <w:sz w:val="20"/>
          <w:szCs w:val="20"/>
          <w:color w:val="auto"/>
        </w:rPr>
      </w:pPr>
    </w:p>
    <w:p>
      <w:pPr>
        <w:ind w:left="3120"/>
        <w:spacing w:after="0"/>
        <w:tabs>
          <w:tab w:leader="none" w:pos="3620" w:val="left"/>
          <w:tab w:leader="none" w:pos="4800" w:val="left"/>
          <w:tab w:leader="none" w:pos="5460" w:val="left"/>
          <w:tab w:leader="none" w:pos="6260" w:val="left"/>
        </w:tabs>
        <w:rPr>
          <w:sz w:val="20"/>
          <w:szCs w:val="20"/>
          <w:color w:val="auto"/>
        </w:rPr>
      </w:pPr>
      <w:r>
        <w:rPr>
          <w:rFonts w:ascii="Courier New" w:cs="Courier New" w:eastAsia="Courier New" w:hAnsi="Courier New"/>
          <w:sz w:val="12"/>
          <w:szCs w:val="12"/>
          <w:color w:val="auto"/>
        </w:rPr>
        <w:t>(j)</w:t>
      </w:r>
      <w:r>
        <w:rPr>
          <w:sz w:val="20"/>
          <w:szCs w:val="20"/>
          <w:color w:val="auto"/>
        </w:rPr>
        <w:tab/>
      </w:r>
      <w:r>
        <w:rPr>
          <w:rFonts w:ascii="Courier New" w:cs="Courier New" w:eastAsia="Courier New" w:hAnsi="Courier New"/>
          <w:sz w:val="12"/>
          <w:szCs w:val="12"/>
          <w:color w:val="auto"/>
        </w:rPr>
        <w:t>Indebtedness</w:t>
      </w:r>
      <w:r>
        <w:rPr>
          <w:sz w:val="20"/>
          <w:szCs w:val="20"/>
          <w:color w:val="auto"/>
        </w:rPr>
        <w:tab/>
      </w:r>
      <w:r>
        <w:rPr>
          <w:rFonts w:ascii="Courier New" w:cs="Courier New" w:eastAsia="Courier New" w:hAnsi="Courier New"/>
          <w:sz w:val="12"/>
          <w:szCs w:val="12"/>
          <w:color w:val="auto"/>
        </w:rPr>
        <w:t>under</w:t>
      </w:r>
      <w:r>
        <w:rPr>
          <w:sz w:val="20"/>
          <w:szCs w:val="20"/>
          <w:color w:val="auto"/>
        </w:rPr>
        <w:tab/>
      </w:r>
      <w:r>
        <w:rPr>
          <w:rFonts w:ascii="Courier New" w:cs="Courier New" w:eastAsia="Courier New" w:hAnsi="Courier New"/>
          <w:sz w:val="12"/>
          <w:szCs w:val="12"/>
          <w:color w:val="auto"/>
        </w:rPr>
        <w:t>standby</w:t>
      </w:r>
      <w:r>
        <w:rPr>
          <w:sz w:val="20"/>
          <w:szCs w:val="20"/>
          <w:color w:val="auto"/>
        </w:rPr>
        <w:tab/>
      </w:r>
      <w:r>
        <w:rPr>
          <w:rFonts w:ascii="Courier New" w:cs="Courier New" w:eastAsia="Courier New" w:hAnsi="Courier New"/>
          <w:sz w:val="12"/>
          <w:szCs w:val="12"/>
          <w:color w:val="auto"/>
        </w:rPr>
        <w:t>or</w:t>
      </w:r>
    </w:p>
    <w:p>
      <w:pPr>
        <w:spacing w:after="0" w:line="6" w:lineRule="exact"/>
        <w:rPr>
          <w:sz w:val="20"/>
          <w:szCs w:val="20"/>
          <w:color w:val="auto"/>
        </w:rPr>
      </w:pPr>
    </w:p>
    <w:p>
      <w:pPr>
        <w:ind w:left="3640"/>
        <w:spacing w:after="0"/>
        <w:tabs>
          <w:tab w:leader="none" w:pos="4580" w:val="left"/>
        </w:tabs>
        <w:rPr>
          <w:sz w:val="20"/>
          <w:szCs w:val="20"/>
          <w:color w:val="auto"/>
        </w:rPr>
      </w:pPr>
      <w:r>
        <w:rPr>
          <w:rFonts w:ascii="Courier New" w:cs="Courier New" w:eastAsia="Courier New" w:hAnsi="Courier New"/>
          <w:sz w:val="12"/>
          <w:szCs w:val="12"/>
          <w:color w:val="auto"/>
        </w:rPr>
        <w:t>documentary</w:t>
        <w:tab/>
        <w:t>letters of credit or bank</w:t>
      </w:r>
    </w:p>
    <w:p>
      <w:pPr>
        <w:spacing w:after="0" w:line="6" w:lineRule="exact"/>
        <w:rPr>
          <w:sz w:val="20"/>
          <w:szCs w:val="20"/>
          <w:color w:val="auto"/>
        </w:rPr>
      </w:pPr>
    </w:p>
    <w:p>
      <w:pPr>
        <w:ind w:left="3640"/>
        <w:spacing w:after="0"/>
        <w:tabs>
          <w:tab w:leader="none" w:pos="4580" w:val="left"/>
          <w:tab w:leader="none" w:pos="5900" w:val="left"/>
        </w:tabs>
        <w:rPr>
          <w:sz w:val="20"/>
          <w:szCs w:val="20"/>
          <w:color w:val="auto"/>
        </w:rPr>
      </w:pPr>
      <w:r>
        <w:rPr>
          <w:rFonts w:ascii="Courier New" w:cs="Courier New" w:eastAsia="Courier New" w:hAnsi="Courier New"/>
          <w:sz w:val="12"/>
          <w:szCs w:val="12"/>
          <w:color w:val="auto"/>
        </w:rPr>
        <w:t>guarantees</w:t>
        <w:tab/>
        <w:t>(collectively,</w:t>
      </w:r>
      <w:r>
        <w:rPr>
          <w:sz w:val="20"/>
          <w:szCs w:val="20"/>
          <w:color w:val="auto"/>
        </w:rPr>
        <w:tab/>
      </w:r>
      <w:r>
        <w:rPr>
          <w:rFonts w:ascii="Courier New" w:cs="Courier New" w:eastAsia="Courier New" w:hAnsi="Courier New"/>
          <w:sz w:val="12"/>
          <w:szCs w:val="12"/>
          <w:color w:val="auto"/>
        </w:rPr>
        <w:t>"L/CS")</w:t>
      </w:r>
    </w:p>
    <w:p>
      <w:pPr>
        <w:spacing w:after="0" w:line="6" w:lineRule="exact"/>
        <w:rPr>
          <w:sz w:val="20"/>
          <w:szCs w:val="20"/>
          <w:color w:val="auto"/>
        </w:rPr>
      </w:pPr>
    </w:p>
    <w:p>
      <w:pPr>
        <w:ind w:left="3640"/>
        <w:spacing w:after="0"/>
        <w:tabs>
          <w:tab w:leader="none" w:pos="4280" w:val="left"/>
          <w:tab w:leader="none" w:pos="4720" w:val="left"/>
          <w:tab w:leader="none" w:pos="5160" w:val="left"/>
          <w:tab w:leader="none" w:pos="5900" w:val="left"/>
          <w:tab w:leader="none" w:pos="6200" w:val="left"/>
        </w:tabs>
        <w:rPr>
          <w:sz w:val="20"/>
          <w:szCs w:val="20"/>
          <w:color w:val="auto"/>
        </w:rPr>
      </w:pPr>
      <w:r>
        <w:rPr>
          <w:rFonts w:ascii="Courier New" w:cs="Courier New" w:eastAsia="Courier New" w:hAnsi="Courier New"/>
          <w:sz w:val="12"/>
          <w:szCs w:val="12"/>
          <w:color w:val="auto"/>
        </w:rPr>
        <w:t>issued</w:t>
        <w:tab/>
        <w:t>for</w:t>
        <w:tab/>
        <w:t>the</w:t>
        <w:tab/>
        <w:t>account</w:t>
        <w:tab/>
        <w:t>of</w:t>
        <w:tab/>
        <w:t>the</w:t>
      </w:r>
    </w:p>
    <w:p>
      <w:pPr>
        <w:spacing w:after="0" w:line="6" w:lineRule="exact"/>
        <w:rPr>
          <w:sz w:val="20"/>
          <w:szCs w:val="20"/>
          <w:color w:val="auto"/>
        </w:rPr>
      </w:pPr>
    </w:p>
    <w:p>
      <w:pPr>
        <w:ind w:left="3640"/>
        <w:spacing w:after="0"/>
        <w:tabs>
          <w:tab w:leader="none" w:pos="4420" w:val="left"/>
        </w:tabs>
        <w:rPr>
          <w:sz w:val="20"/>
          <w:szCs w:val="20"/>
          <w:color w:val="auto"/>
        </w:rPr>
      </w:pPr>
      <w:r>
        <w:rPr>
          <w:rFonts w:ascii="Courier New" w:cs="Courier New" w:eastAsia="Courier New" w:hAnsi="Courier New"/>
          <w:sz w:val="12"/>
          <w:szCs w:val="12"/>
          <w:color w:val="auto"/>
        </w:rPr>
        <w:t>Borrower,</w:t>
        <w:tab/>
        <w:t>provided that the aggregate</w:t>
      </w:r>
    </w:p>
    <w:p>
      <w:pPr>
        <w:spacing w:after="0" w:line="6" w:lineRule="exact"/>
        <w:rPr>
          <w:sz w:val="20"/>
          <w:szCs w:val="20"/>
          <w:color w:val="auto"/>
        </w:rPr>
      </w:pPr>
    </w:p>
    <w:p>
      <w:pPr>
        <w:ind w:left="3640"/>
        <w:spacing w:after="0"/>
        <w:tabs>
          <w:tab w:leader="none" w:pos="4640" w:val="left"/>
          <w:tab w:leader="none" w:pos="4940" w:val="left"/>
          <w:tab w:leader="none" w:pos="5600" w:val="left"/>
        </w:tabs>
        <w:rPr>
          <w:sz w:val="20"/>
          <w:szCs w:val="20"/>
          <w:color w:val="auto"/>
        </w:rPr>
      </w:pPr>
      <w:r>
        <w:rPr>
          <w:rFonts w:ascii="Courier New" w:cs="Courier New" w:eastAsia="Courier New" w:hAnsi="Courier New"/>
          <w:sz w:val="12"/>
          <w:szCs w:val="12"/>
          <w:color w:val="auto"/>
        </w:rPr>
        <w:t>Indebtedness</w:t>
        <w:tab/>
        <w:t>in</w:t>
        <w:tab/>
        <w:t>respect</w:t>
        <w:tab/>
        <w:t>of all such</w:t>
      </w:r>
    </w:p>
    <w:p>
      <w:pPr>
        <w:spacing w:after="0" w:line="6" w:lineRule="exact"/>
        <w:rPr>
          <w:sz w:val="20"/>
          <w:szCs w:val="20"/>
          <w:color w:val="auto"/>
        </w:rPr>
      </w:pPr>
    </w:p>
    <w:p>
      <w:pPr>
        <w:ind w:left="3640"/>
        <w:spacing w:after="0"/>
        <w:tabs>
          <w:tab w:leader="none" w:pos="4120" w:val="left"/>
          <w:tab w:leader="none" w:pos="4720" w:val="left"/>
          <w:tab w:leader="none" w:pos="5080" w:val="left"/>
          <w:tab w:leader="none" w:pos="5460" w:val="left"/>
          <w:tab w:leader="none" w:pos="5980" w:val="left"/>
        </w:tabs>
        <w:rPr>
          <w:sz w:val="20"/>
          <w:szCs w:val="20"/>
          <w:color w:val="auto"/>
        </w:rPr>
      </w:pPr>
      <w:r>
        <w:rPr>
          <w:rFonts w:ascii="Courier New" w:cs="Courier New" w:eastAsia="Courier New" w:hAnsi="Courier New"/>
          <w:sz w:val="12"/>
          <w:szCs w:val="12"/>
          <w:color w:val="auto"/>
        </w:rPr>
        <w:t>L/Cs</w:t>
        <w:tab/>
        <w:t>shall</w:t>
        <w:tab/>
        <w:t>at</w:t>
        <w:tab/>
        <w:t>no</w:t>
        <w:tab/>
        <w:t>time</w:t>
      </w:r>
      <w:r>
        <w:rPr>
          <w:sz w:val="20"/>
          <w:szCs w:val="20"/>
          <w:color w:val="auto"/>
        </w:rPr>
        <w:tab/>
      </w:r>
      <w:r>
        <w:rPr>
          <w:rFonts w:ascii="Courier New" w:cs="Courier New" w:eastAsia="Courier New" w:hAnsi="Courier New"/>
          <w:sz w:val="12"/>
          <w:szCs w:val="12"/>
          <w:color w:val="auto"/>
        </w:rPr>
        <w:t>exceed</w:t>
      </w:r>
    </w:p>
    <w:p>
      <w:pPr>
        <w:spacing w:after="0" w:line="6" w:lineRule="exact"/>
        <w:rPr>
          <w:sz w:val="20"/>
          <w:szCs w:val="20"/>
          <w:color w:val="auto"/>
        </w:rPr>
      </w:pPr>
    </w:p>
    <w:p>
      <w:pPr>
        <w:ind w:left="3640"/>
        <w:spacing w:after="0"/>
        <w:tabs>
          <w:tab w:leader="none" w:pos="4860" w:val="left"/>
          <w:tab w:leader="none" w:pos="5300" w:val="left"/>
          <w:tab w:leader="none" w:pos="5980" w:val="left"/>
        </w:tabs>
        <w:rPr>
          <w:sz w:val="20"/>
          <w:szCs w:val="20"/>
          <w:color w:val="auto"/>
        </w:rPr>
      </w:pPr>
      <w:r>
        <w:rPr>
          <w:rFonts w:ascii="Courier New" w:cs="Courier New" w:eastAsia="Courier New" w:hAnsi="Courier New"/>
          <w:sz w:val="12"/>
          <w:szCs w:val="12"/>
          <w:color w:val="auto"/>
        </w:rPr>
        <w:t>US $10,000,000</w:t>
        <w:tab/>
        <w:t>(ten</w:t>
        <w:tab/>
        <w:t>million</w:t>
        <w:tab/>
        <w:t>United</w:t>
      </w:r>
    </w:p>
    <w:p>
      <w:pPr>
        <w:spacing w:after="0" w:line="6" w:lineRule="exact"/>
        <w:rPr>
          <w:sz w:val="20"/>
          <w:szCs w:val="20"/>
          <w:color w:val="auto"/>
        </w:rPr>
      </w:pPr>
    </w:p>
    <w:p>
      <w:pPr>
        <w:ind w:left="3640"/>
        <w:spacing w:after="0"/>
        <w:tabs>
          <w:tab w:leader="none" w:pos="4200" w:val="left"/>
          <w:tab w:leader="none" w:pos="5020" w:val="left"/>
          <w:tab w:leader="none" w:pos="5680" w:val="left"/>
        </w:tabs>
        <w:rPr>
          <w:sz w:val="20"/>
          <w:szCs w:val="20"/>
          <w:color w:val="auto"/>
        </w:rPr>
      </w:pPr>
      <w:r>
        <w:rPr>
          <w:rFonts w:ascii="Courier New" w:cs="Courier New" w:eastAsia="Courier New" w:hAnsi="Courier New"/>
          <w:sz w:val="12"/>
          <w:szCs w:val="12"/>
          <w:color w:val="auto"/>
        </w:rPr>
        <w:t>States</w:t>
        <w:tab/>
        <w:t>Dollars).</w:t>
        <w:tab/>
        <w:t>For the</w:t>
        <w:tab/>
        <w:t>removal of</w:t>
      </w:r>
    </w:p>
    <w:p>
      <w:pPr>
        <w:spacing w:after="0" w:line="6" w:lineRule="exact"/>
        <w:rPr>
          <w:sz w:val="20"/>
          <w:szCs w:val="20"/>
          <w:color w:val="auto"/>
        </w:rPr>
      </w:pPr>
    </w:p>
    <w:p>
      <w:pPr>
        <w:ind w:left="3640"/>
        <w:spacing w:after="0"/>
        <w:tabs>
          <w:tab w:leader="none" w:pos="4200" w:val="left"/>
          <w:tab w:leader="none" w:pos="5520" w:val="left"/>
        </w:tabs>
        <w:rPr>
          <w:sz w:val="20"/>
          <w:szCs w:val="20"/>
          <w:color w:val="auto"/>
        </w:rPr>
      </w:pPr>
      <w:r>
        <w:rPr>
          <w:rFonts w:ascii="Courier New" w:cs="Courier New" w:eastAsia="Courier New" w:hAnsi="Courier New"/>
          <w:sz w:val="12"/>
          <w:szCs w:val="12"/>
          <w:color w:val="auto"/>
        </w:rPr>
        <w:t>doubt,</w:t>
        <w:tab/>
        <w:t>no Bank shall be</w:t>
        <w:tab/>
        <w:t>obligated to</w:t>
      </w:r>
    </w:p>
    <w:p>
      <w:pPr>
        <w:spacing w:after="0" w:line="6" w:lineRule="exact"/>
        <w:rPr>
          <w:sz w:val="20"/>
          <w:szCs w:val="20"/>
          <w:color w:val="auto"/>
        </w:rPr>
      </w:pPr>
    </w:p>
    <w:p>
      <w:pPr>
        <w:ind w:left="3640"/>
        <w:spacing w:after="0"/>
        <w:tabs>
          <w:tab w:leader="none" w:pos="5300" w:val="left"/>
          <w:tab w:leader="none" w:pos="5980" w:val="left"/>
        </w:tabs>
        <w:rPr>
          <w:sz w:val="20"/>
          <w:szCs w:val="20"/>
          <w:color w:val="auto"/>
        </w:rPr>
      </w:pPr>
      <w:r>
        <w:rPr>
          <w:rFonts w:ascii="Courier New" w:cs="Courier New" w:eastAsia="Courier New" w:hAnsi="Courier New"/>
          <w:sz w:val="12"/>
          <w:szCs w:val="12"/>
          <w:color w:val="auto"/>
        </w:rPr>
        <w:t>issue any L/C for the</w:t>
        <w:tab/>
        <w:t>account</w:t>
        <w:tab/>
        <w:t>of the</w:t>
      </w:r>
    </w:p>
    <w:p>
      <w:pPr>
        <w:spacing w:after="0" w:line="6" w:lineRule="exact"/>
        <w:rPr>
          <w:sz w:val="20"/>
          <w:szCs w:val="20"/>
          <w:color w:val="auto"/>
        </w:rPr>
      </w:pPr>
    </w:p>
    <w:p>
      <w:pPr>
        <w:ind w:left="3640"/>
        <w:spacing w:after="0"/>
        <w:rPr>
          <w:sz w:val="20"/>
          <w:szCs w:val="20"/>
          <w:color w:val="auto"/>
        </w:rPr>
      </w:pPr>
      <w:r>
        <w:rPr>
          <w:rFonts w:ascii="Courier New" w:cs="Courier New" w:eastAsia="Courier New" w:hAnsi="Courier New"/>
          <w:sz w:val="12"/>
          <w:szCs w:val="12"/>
          <w:color w:val="auto"/>
        </w:rPr>
        <w:t>Borrower; and</w:t>
      </w:r>
    </w:p>
    <w:p>
      <w:pPr>
        <w:spacing w:after="0" w:line="289"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- 40 -</w:t>
      </w:r>
    </w:p>
    <w:p>
      <w:pPr>
        <w:spacing w:after="0" w:line="200" w:lineRule="exact"/>
        <w:rPr>
          <w:sz w:val="20"/>
          <w:szCs w:val="20"/>
          <w:color w:val="auto"/>
        </w:rPr>
      </w:pPr>
    </w:p>
    <w:p>
      <w:pPr>
        <w:spacing w:after="0" w:line="353" w:lineRule="exact"/>
        <w:rPr>
          <w:sz w:val="20"/>
          <w:szCs w:val="20"/>
          <w:color w:val="auto"/>
        </w:rPr>
      </w:pPr>
    </w:p>
    <w:p>
      <w:pPr>
        <w:ind w:left="3480" w:hanging="361"/>
        <w:spacing w:after="0"/>
        <w:tabs>
          <w:tab w:leader="none" w:pos="3480" w:val="left"/>
        </w:tabs>
        <w:numPr>
          <w:ilvl w:val="0"/>
          <w:numId w:val="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Financial   Indebtedness   otherwise  as</w:t>
      </w:r>
    </w:p>
    <w:p>
      <w:pPr>
        <w:spacing w:after="0" w:line="5" w:lineRule="exact"/>
        <w:rPr>
          <w:rFonts w:ascii="Courier New" w:cs="Courier New" w:eastAsia="Courier New" w:hAnsi="Courier New"/>
          <w:sz w:val="12"/>
          <w:szCs w:val="12"/>
          <w:color w:val="auto"/>
        </w:rPr>
      </w:pPr>
    </w:p>
    <w:p>
      <w:pPr>
        <w:ind w:left="348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permittedpursuantto</w:t>
      </w:r>
    </w:p>
    <w:p>
      <w:pPr>
        <w:spacing w:after="0" w:line="6" w:lineRule="exact"/>
        <w:rPr>
          <w:sz w:val="20"/>
          <w:szCs w:val="20"/>
          <w:color w:val="auto"/>
        </w:rPr>
      </w:pPr>
    </w:p>
    <w:p>
      <w:pPr>
        <w:ind w:left="3480"/>
        <w:spacing w:after="0"/>
        <w:tabs>
          <w:tab w:leader="none" w:pos="5020" w:val="left"/>
          <w:tab w:leader="none" w:pos="6040" w:val="left"/>
        </w:tabs>
        <w:rPr>
          <w:sz w:val="20"/>
          <w:szCs w:val="20"/>
          <w:color w:val="auto"/>
        </w:rPr>
      </w:pPr>
      <w:r>
        <w:rPr>
          <w:rFonts w:ascii="Courier New" w:cs="Courier New" w:eastAsia="Courier New" w:hAnsi="Courier New"/>
          <w:sz w:val="12"/>
          <w:szCs w:val="12"/>
          <w:color w:val="auto"/>
        </w:rPr>
        <w:t>paragraphs (a)-(j)</w:t>
        <w:tab/>
        <w:t>(inclusive)</w:t>
        <w:tab/>
        <w:t>above</w:t>
      </w:r>
    </w:p>
    <w:p>
      <w:pPr>
        <w:spacing w:after="0" w:line="6" w:lineRule="exact"/>
        <w:rPr>
          <w:sz w:val="20"/>
          <w:szCs w:val="20"/>
          <w:color w:val="auto"/>
        </w:rPr>
      </w:pPr>
    </w:p>
    <w:p>
      <w:pPr>
        <w:ind w:left="3480"/>
        <w:spacing w:after="0"/>
        <w:tabs>
          <w:tab w:leader="none" w:pos="4120" w:val="left"/>
          <w:tab w:leader="none" w:pos="4420" w:val="left"/>
          <w:tab w:leader="none" w:pos="5300" w:val="left"/>
        </w:tabs>
        <w:rPr>
          <w:sz w:val="20"/>
          <w:szCs w:val="20"/>
          <w:color w:val="auto"/>
        </w:rPr>
      </w:pPr>
      <w:r>
        <w:rPr>
          <w:rFonts w:ascii="Courier New" w:cs="Courier New" w:eastAsia="Courier New" w:hAnsi="Courier New"/>
          <w:sz w:val="12"/>
          <w:szCs w:val="12"/>
          <w:color w:val="auto"/>
        </w:rPr>
        <w:t>created</w:t>
        <w:tab/>
        <w:t>or</w:t>
        <w:tab/>
        <w:t>subsisting</w:t>
        <w:tab/>
        <w:t>as set forth in</w:t>
      </w:r>
    </w:p>
    <w:p>
      <w:pPr>
        <w:spacing w:after="0" w:line="6" w:lineRule="exact"/>
        <w:rPr>
          <w:sz w:val="20"/>
          <w:szCs w:val="20"/>
          <w:color w:val="auto"/>
        </w:rPr>
      </w:pPr>
    </w:p>
    <w:p>
      <w:pPr>
        <w:ind w:left="3480"/>
        <w:spacing w:after="0"/>
        <w:tabs>
          <w:tab w:leader="none" w:pos="5160" w:val="left"/>
          <w:tab w:leader="none" w:pos="5820" w:val="left"/>
          <w:tab w:leader="none" w:pos="6200" w:val="left"/>
        </w:tabs>
        <w:rPr>
          <w:sz w:val="20"/>
          <w:szCs w:val="20"/>
          <w:color w:val="auto"/>
        </w:rPr>
      </w:pPr>
      <w:r>
        <w:rPr>
          <w:rFonts w:ascii="Courier New" w:cs="Courier New" w:eastAsia="Courier New" w:hAnsi="Courier New"/>
          <w:sz w:val="12"/>
          <w:szCs w:val="12"/>
          <w:color w:val="auto"/>
        </w:rPr>
        <w:t>SCHEDULE 1.1.115(K)</w:t>
      </w:r>
      <w:r>
        <w:rPr>
          <w:sz w:val="20"/>
          <w:szCs w:val="20"/>
          <w:color w:val="auto"/>
        </w:rPr>
        <w:tab/>
      </w:r>
      <w:r>
        <w:rPr>
          <w:rFonts w:ascii="Courier New" w:cs="Courier New" w:eastAsia="Courier New" w:hAnsi="Courier New"/>
          <w:sz w:val="12"/>
          <w:szCs w:val="12"/>
          <w:color w:val="auto"/>
        </w:rPr>
        <w:t>hereto</w:t>
        <w:tab/>
        <w:t>or</w:t>
        <w:tab/>
        <w:t>set</w:t>
      </w:r>
    </w:p>
    <w:p>
      <w:pPr>
        <w:spacing w:after="0" w:line="6" w:lineRule="exact"/>
        <w:rPr>
          <w:sz w:val="20"/>
          <w:szCs w:val="20"/>
          <w:color w:val="auto"/>
        </w:rPr>
      </w:pPr>
    </w:p>
    <w:p>
      <w:pPr>
        <w:ind w:left="3480"/>
        <w:spacing w:after="0"/>
        <w:tabs>
          <w:tab w:leader="none" w:pos="4200" w:val="left"/>
          <w:tab w:leader="none" w:pos="5740" w:val="left"/>
        </w:tabs>
        <w:rPr>
          <w:sz w:val="20"/>
          <w:szCs w:val="20"/>
          <w:color w:val="auto"/>
        </w:rPr>
      </w:pPr>
      <w:r>
        <w:rPr>
          <w:rFonts w:ascii="Courier New" w:cs="Courier New" w:eastAsia="Courier New" w:hAnsi="Courier New"/>
          <w:sz w:val="12"/>
          <w:szCs w:val="12"/>
          <w:color w:val="auto"/>
        </w:rPr>
        <w:t>forth on</w:t>
        <w:tab/>
        <w:t>SCHEDULE 1.1.115(C)</w:t>
        <w:tab/>
        <w:t>hereto or</w:t>
      </w:r>
    </w:p>
    <w:p>
      <w:pPr>
        <w:spacing w:after="0" w:line="6" w:lineRule="exact"/>
        <w:rPr>
          <w:sz w:val="20"/>
          <w:szCs w:val="20"/>
          <w:color w:val="auto"/>
        </w:rPr>
      </w:pPr>
    </w:p>
    <w:p>
      <w:pPr>
        <w:ind w:left="3480"/>
        <w:spacing w:after="0"/>
        <w:tabs>
          <w:tab w:leader="none" w:pos="4360" w:val="left"/>
          <w:tab w:leader="none" w:pos="4860" w:val="left"/>
          <w:tab w:leader="none" w:pos="5300" w:val="left"/>
          <w:tab w:leader="none" w:pos="5900" w:val="left"/>
        </w:tabs>
        <w:rPr>
          <w:sz w:val="20"/>
          <w:szCs w:val="20"/>
          <w:color w:val="auto"/>
        </w:rPr>
      </w:pPr>
      <w:r>
        <w:rPr>
          <w:rFonts w:ascii="Courier New" w:cs="Courier New" w:eastAsia="Courier New" w:hAnsi="Courier New"/>
          <w:sz w:val="12"/>
          <w:szCs w:val="12"/>
          <w:color w:val="auto"/>
        </w:rPr>
        <w:t>otherwise</w:t>
      </w:r>
      <w:r>
        <w:rPr>
          <w:sz w:val="20"/>
          <w:szCs w:val="20"/>
          <w:color w:val="auto"/>
        </w:rPr>
        <w:tab/>
      </w:r>
      <w:r>
        <w:rPr>
          <w:rFonts w:ascii="Courier New" w:cs="Courier New" w:eastAsia="Courier New" w:hAnsi="Courier New"/>
          <w:sz w:val="12"/>
          <w:szCs w:val="12"/>
          <w:color w:val="auto"/>
        </w:rPr>
        <w:t>with</w:t>
        <w:tab/>
        <w:t>the</w:t>
        <w:tab/>
        <w:t>prior</w:t>
        <w:tab/>
        <w:t>written</w:t>
      </w:r>
    </w:p>
    <w:p>
      <w:pPr>
        <w:sectPr>
          <w:pgSz w:w="11900" w:h="16844" w:orient="portrait"/>
          <w:cols w:equalWidth="0" w:num="1">
            <w:col w:w="9019"/>
          </w:cols>
          <w:pgMar w:left="1440" w:top="141" w:right="1440" w:bottom="0" w:gutter="0" w:footer="0" w:header="0"/>
        </w:sectPr>
      </w:pPr>
    </w:p>
    <w:bookmarkStart w:id="90" w:name="page91"/>
    <w:bookmarkEnd w:id="90"/>
    <w:p>
      <w:pPr>
        <w:spacing w:after="0" w:line="24" w:lineRule="exact"/>
        <w:rPr>
          <w:sz w:val="20"/>
          <w:szCs w:val="20"/>
          <w:color w:val="auto"/>
        </w:rPr>
      </w:pPr>
    </w:p>
    <w:p>
      <w:pPr>
        <w:ind w:left="4700"/>
        <w:spacing w:after="0"/>
        <w:rPr>
          <w:sz w:val="20"/>
          <w:szCs w:val="20"/>
          <w:color w:val="auto"/>
        </w:rPr>
      </w:pPr>
      <w:r>
        <w:rPr>
          <w:rFonts w:ascii="Courier New" w:cs="Courier New" w:eastAsia="Courier New" w:hAnsi="Courier New"/>
          <w:sz w:val="12"/>
          <w:szCs w:val="12"/>
          <w:color w:val="auto"/>
        </w:rPr>
        <w:t>consent of the Banks;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1.1.116.</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11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1.1.116A.</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11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1.1.117.</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11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1.1.118.</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"PERMITTED</w:t>
            </w:r>
          </w:p>
        </w:tc>
        <w:tc>
          <w:tcPr>
            <w:tcW w:w="1100" w:type="dxa"/>
            <w:vAlign w:val="bottom"/>
          </w:tcPr>
          <w:p>
            <w:pPr>
              <w:spacing w:after="0"/>
              <w:rPr>
                <w:sz w:val="24"/>
                <w:szCs w:val="24"/>
                <w:color w:val="auto"/>
              </w:rPr>
            </w:pPr>
          </w:p>
        </w:tc>
      </w:tr>
      <w:tr>
        <w:trPr>
          <w:trHeight w:val="142"/>
        </w:trPr>
        <w:tc>
          <w:tcPr>
            <w:tcW w:w="1100" w:type="dxa"/>
            <w:vAlign w:val="bottom"/>
          </w:tcPr>
          <w:p>
            <w:pPr>
              <w:spacing w:after="0"/>
              <w:rPr>
                <w:sz w:val="12"/>
                <w:szCs w:val="12"/>
                <w:color w:val="auto"/>
              </w:rPr>
            </w:pP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SUBORDINATED DEBT"</w:t>
            </w:r>
          </w:p>
        </w:tc>
        <w:tc>
          <w:tcPr>
            <w:tcW w:w="1100" w:type="dxa"/>
            <w:vAlign w:val="bottom"/>
          </w:tcPr>
          <w:p>
            <w:pPr>
              <w:ind w:left="440"/>
              <w:spacing w:after="0"/>
              <w:rPr>
                <w:sz w:val="20"/>
                <w:szCs w:val="20"/>
                <w:color w:val="auto"/>
              </w:rPr>
            </w:pPr>
            <w:r>
              <w:rPr>
                <w:rFonts w:ascii="Courier New" w:cs="Courier New" w:eastAsia="Courier New" w:hAnsi="Courier New"/>
                <w:sz w:val="12"/>
                <w:szCs w:val="12"/>
                <w:color w:val="auto"/>
                <w:w w:val="98"/>
              </w:rPr>
              <w:t>-  means:</w:t>
            </w:r>
          </w:p>
        </w:tc>
      </w:tr>
    </w:tbl>
    <w:p>
      <w:pPr>
        <w:spacing w:after="0" w:line="145" w:lineRule="exact"/>
        <w:rPr>
          <w:sz w:val="20"/>
          <w:szCs w:val="20"/>
          <w:color w:val="auto"/>
        </w:rPr>
      </w:pPr>
    </w:p>
    <w:tbl>
      <w:tblPr>
        <w:tblLayout w:type="fixed"/>
        <w:tblInd w:w="4340" w:type="dxa"/>
        <w:tblCellMar>
          <w:top w:w="0" w:type="dxa"/>
          <w:left w:w="0" w:type="dxa"/>
          <w:bottom w:w="0" w:type="dxa"/>
          <w:right w:w="0" w:type="dxa"/>
        </w:tblCellMar>
      </w:tblPr>
      <w:tr>
        <w:trPr>
          <w:trHeight w:val="138"/>
        </w:trPr>
        <w:tc>
          <w:tcPr>
            <w:tcW w:w="1000" w:type="dxa"/>
            <w:vAlign w:val="bottom"/>
            <w:gridSpan w:val="2"/>
          </w:tcPr>
          <w:p>
            <w:pPr>
              <w:spacing w:after="0"/>
              <w:rPr>
                <w:sz w:val="20"/>
                <w:szCs w:val="20"/>
                <w:color w:val="auto"/>
              </w:rPr>
            </w:pPr>
            <w:r>
              <w:rPr>
                <w:rFonts w:ascii="Courier New" w:cs="Courier New" w:eastAsia="Courier New" w:hAnsi="Courier New"/>
                <w:sz w:val="12"/>
                <w:szCs w:val="12"/>
                <w:color w:val="auto"/>
              </w:rPr>
              <w:t>Indebtedness</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of the</w:t>
            </w: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Borrower  in</w:t>
            </w:r>
          </w:p>
        </w:tc>
        <w:tc>
          <w:tcPr>
            <w:tcW w:w="7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respect of</w:t>
            </w:r>
          </w:p>
        </w:tc>
      </w:tr>
      <w:tr>
        <w:trPr>
          <w:trHeight w:val="142"/>
        </w:trPr>
        <w:tc>
          <w:tcPr>
            <w:tcW w:w="1000" w:type="dxa"/>
            <w:vAlign w:val="bottom"/>
            <w:gridSpan w:val="2"/>
          </w:tcPr>
          <w:p>
            <w:pPr>
              <w:spacing w:after="0"/>
              <w:rPr>
                <w:sz w:val="20"/>
                <w:szCs w:val="20"/>
                <w:color w:val="auto"/>
              </w:rPr>
            </w:pPr>
            <w:r>
              <w:rPr>
                <w:rFonts w:ascii="Courier New" w:cs="Courier New" w:eastAsia="Courier New" w:hAnsi="Courier New"/>
                <w:sz w:val="12"/>
                <w:szCs w:val="12"/>
                <w:color w:val="auto"/>
              </w:rPr>
              <w:t>convertible</w:t>
            </w:r>
          </w:p>
        </w:tc>
        <w:tc>
          <w:tcPr>
            <w:tcW w:w="84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debentures</w:t>
            </w: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(bonds)</w:t>
            </w:r>
          </w:p>
        </w:tc>
        <w:tc>
          <w:tcPr>
            <w:tcW w:w="5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issued</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by</w:t>
            </w:r>
          </w:p>
        </w:tc>
      </w:tr>
      <w:tr>
        <w:trPr>
          <w:trHeight w:val="142"/>
        </w:trPr>
        <w:tc>
          <w:tcPr>
            <w:tcW w:w="1000" w:type="dxa"/>
            <w:vAlign w:val="bottom"/>
            <w:gridSpan w:val="2"/>
          </w:tcPr>
          <w:p>
            <w:pPr>
              <w:spacing w:after="0"/>
              <w:rPr>
                <w:sz w:val="20"/>
                <w:szCs w:val="20"/>
                <w:color w:val="auto"/>
              </w:rPr>
            </w:pPr>
            <w:r>
              <w:rPr>
                <w:rFonts w:ascii="Courier New" w:cs="Courier New" w:eastAsia="Courier New" w:hAnsi="Courier New"/>
                <w:sz w:val="12"/>
                <w:szCs w:val="12"/>
                <w:color w:val="auto"/>
              </w:rPr>
              <w:t>the  Borrower</w:t>
            </w:r>
          </w:p>
        </w:tc>
        <w:tc>
          <w:tcPr>
            <w:tcW w:w="5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for</w:t>
            </w:r>
          </w:p>
        </w:tc>
        <w:tc>
          <w:tcPr>
            <w:tcW w:w="300" w:type="dxa"/>
            <w:vAlign w:val="bottom"/>
          </w:tcPr>
          <w:p>
            <w:pPr>
              <w:spacing w:after="0"/>
              <w:rPr>
                <w:sz w:val="20"/>
                <w:szCs w:val="20"/>
                <w:color w:val="auto"/>
              </w:rPr>
            </w:pPr>
            <w:r>
              <w:rPr>
                <w:rFonts w:ascii="Courier New" w:cs="Courier New" w:eastAsia="Courier New" w:hAnsi="Courier New"/>
                <w:sz w:val="12"/>
                <w:szCs w:val="12"/>
                <w:color w:val="auto"/>
              </w:rPr>
              <w:t>the</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purposes</w:t>
            </w:r>
          </w:p>
        </w:tc>
        <w:tc>
          <w:tcPr>
            <w:tcW w:w="5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only</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780" w:type="dxa"/>
            <w:vAlign w:val="bottom"/>
          </w:tcPr>
          <w:p>
            <w:pPr>
              <w:spacing w:after="0"/>
              <w:rPr>
                <w:sz w:val="20"/>
                <w:szCs w:val="20"/>
                <w:color w:val="auto"/>
              </w:rPr>
            </w:pPr>
            <w:r>
              <w:rPr>
                <w:rFonts w:ascii="Courier New" w:cs="Courier New" w:eastAsia="Courier New" w:hAnsi="Courier New"/>
                <w:sz w:val="12"/>
                <w:szCs w:val="12"/>
                <w:color w:val="auto"/>
              </w:rPr>
              <w:t>additional</w:t>
            </w:r>
          </w:p>
        </w:tc>
        <w:tc>
          <w:tcPr>
            <w:tcW w:w="7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financing</w:t>
            </w:r>
          </w:p>
        </w:tc>
        <w:tc>
          <w:tcPr>
            <w:tcW w:w="100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for Fab 2,</w:t>
            </w:r>
          </w:p>
        </w:tc>
        <w:tc>
          <w:tcPr>
            <w:tcW w:w="7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subject to</w:t>
            </w:r>
          </w:p>
        </w:tc>
      </w:tr>
      <w:tr>
        <w:trPr>
          <w:trHeight w:val="142"/>
        </w:trPr>
        <w:tc>
          <w:tcPr>
            <w:tcW w:w="780" w:type="dxa"/>
            <w:vAlign w:val="bottom"/>
          </w:tcPr>
          <w:p>
            <w:pPr>
              <w:spacing w:after="0"/>
              <w:rPr>
                <w:sz w:val="20"/>
                <w:szCs w:val="20"/>
                <w:color w:val="auto"/>
              </w:rPr>
            </w:pPr>
            <w:r>
              <w:rPr>
                <w:rFonts w:ascii="Courier New" w:cs="Courier New" w:eastAsia="Courier New" w:hAnsi="Courier New"/>
                <w:sz w:val="12"/>
                <w:szCs w:val="12"/>
                <w:color w:val="auto"/>
              </w:rPr>
              <w:t>all of the</w:t>
            </w:r>
          </w:p>
        </w:tc>
        <w:tc>
          <w:tcPr>
            <w:tcW w:w="7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following</w:t>
            </w:r>
          </w:p>
        </w:tc>
        <w:tc>
          <w:tcPr>
            <w:tcW w:w="1000" w:type="dxa"/>
            <w:vAlign w:val="bottom"/>
            <w:gridSpan w:val="2"/>
          </w:tcPr>
          <w:p>
            <w:pPr>
              <w:spacing w:after="0"/>
              <w:rPr>
                <w:sz w:val="20"/>
                <w:szCs w:val="20"/>
                <w:color w:val="auto"/>
              </w:rPr>
            </w:pPr>
            <w:r>
              <w:rPr>
                <w:rFonts w:ascii="Courier New" w:cs="Courier New" w:eastAsia="Courier New" w:hAnsi="Courier New"/>
                <w:sz w:val="12"/>
                <w:szCs w:val="12"/>
                <w:color w:val="auto"/>
              </w:rPr>
              <w:t>conditions: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r>
    </w:tbl>
    <w:p>
      <w:pPr>
        <w:spacing w:after="0" w:line="145" w:lineRule="exact"/>
        <w:rPr>
          <w:sz w:val="20"/>
          <w:szCs w:val="20"/>
          <w:color w:val="auto"/>
        </w:rPr>
      </w:pPr>
    </w:p>
    <w:p>
      <w:pPr>
        <w:ind w:left="4340"/>
        <w:spacing w:after="0"/>
        <w:tabs>
          <w:tab w:leader="none" w:pos="4840" w:val="left"/>
          <w:tab w:leader="none" w:pos="5940" w:val="left"/>
          <w:tab w:leader="none" w:pos="6740" w:val="left"/>
        </w:tabs>
        <w:rPr>
          <w:sz w:val="20"/>
          <w:szCs w:val="20"/>
          <w:color w:val="auto"/>
        </w:rPr>
      </w:pPr>
      <w:r>
        <w:rPr>
          <w:rFonts w:ascii="Courier New" w:cs="Courier New" w:eastAsia="Courier New" w:hAnsi="Courier New"/>
          <w:sz w:val="12"/>
          <w:szCs w:val="12"/>
          <w:color w:val="auto"/>
        </w:rPr>
        <w:t>(a)</w:t>
      </w:r>
      <w:r>
        <w:rPr>
          <w:sz w:val="20"/>
          <w:szCs w:val="20"/>
          <w:color w:val="auto"/>
        </w:rPr>
        <w:tab/>
      </w:r>
      <w:r>
        <w:rPr>
          <w:rFonts w:ascii="Courier New" w:cs="Courier New" w:eastAsia="Courier New" w:hAnsi="Courier New"/>
          <w:sz w:val="12"/>
          <w:szCs w:val="12"/>
          <w:color w:val="auto"/>
        </w:rPr>
        <w:t>the principal</w:t>
        <w:tab/>
        <w:t>amount of</w:t>
        <w:tab/>
        <w:t>Indebtedness</w:t>
      </w:r>
    </w:p>
    <w:p>
      <w:pPr>
        <w:spacing w:after="0" w:line="6" w:lineRule="exact"/>
        <w:rPr>
          <w:sz w:val="20"/>
          <w:szCs w:val="20"/>
          <w:color w:val="auto"/>
        </w:rPr>
      </w:pPr>
    </w:p>
    <w:p>
      <w:pPr>
        <w:ind w:left="4860"/>
        <w:spacing w:after="0"/>
        <w:tabs>
          <w:tab w:leader="none" w:pos="5200" w:val="left"/>
          <w:tab w:leader="none" w:pos="5940" w:val="left"/>
          <w:tab w:leader="none" w:pos="6300" w:val="left"/>
          <w:tab w:leader="none" w:pos="6820" w:val="left"/>
        </w:tabs>
        <w:rPr>
          <w:sz w:val="20"/>
          <w:szCs w:val="20"/>
          <w:color w:val="auto"/>
        </w:rPr>
      </w:pPr>
      <w:r>
        <w:rPr>
          <w:rFonts w:ascii="Courier New" w:cs="Courier New" w:eastAsia="Courier New" w:hAnsi="Courier New"/>
          <w:sz w:val="12"/>
          <w:szCs w:val="12"/>
          <w:color w:val="auto"/>
        </w:rPr>
        <w:t>in</w:t>
        <w:tab/>
        <w:t>respect</w:t>
        <w:tab/>
        <w:t>of</w:t>
        <w:tab/>
        <w:t>such</w:t>
        <w:tab/>
        <w:t>convertible</w:t>
      </w:r>
    </w:p>
    <w:p>
      <w:pPr>
        <w:spacing w:after="0" w:line="6" w:lineRule="exact"/>
        <w:rPr>
          <w:sz w:val="20"/>
          <w:szCs w:val="20"/>
          <w:color w:val="auto"/>
        </w:rPr>
      </w:pPr>
    </w:p>
    <w:p>
      <w:pPr>
        <w:ind w:left="4860"/>
        <w:spacing w:after="0"/>
        <w:tabs>
          <w:tab w:leader="none" w:pos="5720" w:val="left"/>
          <w:tab w:leader="none" w:pos="6240" w:val="left"/>
          <w:tab w:leader="none" w:pos="6740" w:val="left"/>
          <w:tab w:leader="none" w:pos="7200" w:val="left"/>
        </w:tabs>
        <w:rPr>
          <w:sz w:val="20"/>
          <w:szCs w:val="20"/>
          <w:color w:val="auto"/>
        </w:rPr>
      </w:pPr>
      <w:r>
        <w:rPr>
          <w:rFonts w:ascii="Courier New" w:cs="Courier New" w:eastAsia="Courier New" w:hAnsi="Courier New"/>
          <w:sz w:val="12"/>
          <w:szCs w:val="12"/>
          <w:color w:val="auto"/>
        </w:rPr>
        <w:t>debentures</w:t>
        <w:tab/>
        <w:t>shall</w:t>
        <w:tab/>
        <w:t>at no</w:t>
        <w:tab/>
        <w:t>time</w:t>
        <w:tab/>
        <w:t>exceed</w:t>
      </w:r>
    </w:p>
    <w:p>
      <w:pPr>
        <w:spacing w:after="0" w:line="6" w:lineRule="exact"/>
        <w:rPr>
          <w:sz w:val="20"/>
          <w:szCs w:val="20"/>
          <w:color w:val="auto"/>
        </w:rPr>
      </w:pPr>
    </w:p>
    <w:p>
      <w:pPr>
        <w:ind w:left="4860"/>
        <w:spacing w:after="0"/>
        <w:tabs>
          <w:tab w:leader="none" w:pos="6160" w:val="left"/>
          <w:tab w:leader="none" w:pos="6680" w:val="left"/>
          <w:tab w:leader="none" w:pos="7420" w:val="left"/>
        </w:tabs>
        <w:rPr>
          <w:sz w:val="20"/>
          <w:szCs w:val="20"/>
          <w:color w:val="auto"/>
        </w:rPr>
      </w:pPr>
      <w:r>
        <w:rPr>
          <w:rFonts w:ascii="Courier New" w:cs="Courier New" w:eastAsia="Courier New" w:hAnsi="Courier New"/>
          <w:sz w:val="12"/>
          <w:szCs w:val="12"/>
          <w:color w:val="auto"/>
        </w:rPr>
        <w:t>US $150,000,000</w:t>
        <w:tab/>
        <w:t>(one</w:t>
        <w:tab/>
        <w:t>hundred</w:t>
        <w:tab/>
        <w:t>and</w:t>
      </w:r>
    </w:p>
    <w:p>
      <w:pPr>
        <w:spacing w:after="0" w:line="6" w:lineRule="exact"/>
        <w:rPr>
          <w:sz w:val="20"/>
          <w:szCs w:val="20"/>
          <w:color w:val="auto"/>
        </w:rPr>
      </w:pPr>
    </w:p>
    <w:p>
      <w:pPr>
        <w:ind w:left="4860"/>
        <w:spacing w:after="0"/>
        <w:tabs>
          <w:tab w:leader="none" w:pos="5940" w:val="left"/>
          <w:tab w:leader="none" w:pos="7040" w:val="left"/>
        </w:tabs>
        <w:rPr>
          <w:sz w:val="20"/>
          <w:szCs w:val="20"/>
          <w:color w:val="auto"/>
        </w:rPr>
      </w:pPr>
      <w:r>
        <w:rPr>
          <w:rFonts w:ascii="Courier New" w:cs="Courier New" w:eastAsia="Courier New" w:hAnsi="Courier New"/>
          <w:sz w:val="12"/>
          <w:szCs w:val="12"/>
          <w:color w:val="auto"/>
        </w:rPr>
        <w:t>fifty million</w:t>
        <w:tab/>
        <w:t>United States</w:t>
        <w:tab/>
        <w:t>Dollars)</w:t>
      </w:r>
    </w:p>
    <w:p>
      <w:pPr>
        <w:spacing w:after="0" w:line="6" w:lineRule="exact"/>
        <w:rPr>
          <w:sz w:val="20"/>
          <w:szCs w:val="20"/>
          <w:color w:val="auto"/>
        </w:rPr>
      </w:pPr>
    </w:p>
    <w:p>
      <w:pPr>
        <w:ind w:left="4860"/>
        <w:spacing w:after="0"/>
        <w:tabs>
          <w:tab w:leader="none" w:pos="5120" w:val="left"/>
          <w:tab w:leader="none" w:pos="6020" w:val="left"/>
          <w:tab w:leader="none" w:pos="6740" w:val="left"/>
        </w:tabs>
        <w:rPr>
          <w:sz w:val="20"/>
          <w:szCs w:val="20"/>
          <w:color w:val="auto"/>
        </w:rPr>
      </w:pPr>
      <w:r>
        <w:rPr>
          <w:rFonts w:ascii="Courier New" w:cs="Courier New" w:eastAsia="Courier New" w:hAnsi="Courier New"/>
          <w:sz w:val="12"/>
          <w:szCs w:val="12"/>
          <w:color w:val="auto"/>
        </w:rPr>
        <w:t>in</w:t>
        <w:tab/>
        <w:t>aggregate;</w:t>
        <w:tab/>
        <w:t>provided</w:t>
        <w:tab/>
        <w:t>that the net</w:t>
      </w:r>
    </w:p>
    <w:p>
      <w:pPr>
        <w:spacing w:after="0" w:line="6" w:lineRule="exact"/>
        <w:rPr>
          <w:sz w:val="20"/>
          <w:szCs w:val="20"/>
          <w:color w:val="auto"/>
        </w:rPr>
      </w:pPr>
    </w:p>
    <w:p>
      <w:pPr>
        <w:ind w:left="4860"/>
        <w:spacing w:after="0"/>
        <w:tabs>
          <w:tab w:leader="none" w:pos="5420" w:val="left"/>
          <w:tab w:leader="none" w:pos="6080" w:val="left"/>
          <w:tab w:leader="none" w:pos="6820" w:val="left"/>
        </w:tabs>
        <w:rPr>
          <w:sz w:val="20"/>
          <w:szCs w:val="20"/>
          <w:color w:val="auto"/>
        </w:rPr>
      </w:pPr>
      <w:r>
        <w:rPr>
          <w:rFonts w:ascii="Courier New" w:cs="Courier New" w:eastAsia="Courier New" w:hAnsi="Courier New"/>
          <w:sz w:val="12"/>
          <w:szCs w:val="12"/>
          <w:color w:val="auto"/>
        </w:rPr>
        <w:t>amount</w:t>
        <w:tab/>
        <w:t>that is</w:t>
        <w:tab/>
        <w:t>actually</w:t>
        <w:tab/>
        <w:t>received by</w:t>
      </w:r>
    </w:p>
    <w:p>
      <w:pPr>
        <w:spacing w:after="0" w:line="6" w:lineRule="exact"/>
        <w:rPr>
          <w:sz w:val="20"/>
          <w:szCs w:val="20"/>
          <w:color w:val="auto"/>
        </w:rPr>
      </w:pPr>
    </w:p>
    <w:p>
      <w:pPr>
        <w:ind w:left="4860"/>
        <w:spacing w:after="0"/>
        <w:tabs>
          <w:tab w:leader="none" w:pos="5280" w:val="left"/>
          <w:tab w:leader="none" w:pos="6080" w:val="left"/>
          <w:tab w:leader="none" w:pos="6380" w:val="left"/>
          <w:tab w:leader="none" w:pos="7040" w:val="left"/>
          <w:tab w:leader="none" w:pos="7340" w:val="left"/>
        </w:tabs>
        <w:rPr>
          <w:sz w:val="20"/>
          <w:szCs w:val="20"/>
          <w:color w:val="auto"/>
        </w:rPr>
      </w:pPr>
      <w:r>
        <w:rPr>
          <w:rFonts w:ascii="Courier New" w:cs="Courier New" w:eastAsia="Courier New" w:hAnsi="Courier New"/>
          <w:sz w:val="12"/>
          <w:szCs w:val="12"/>
          <w:color w:val="auto"/>
        </w:rPr>
        <w:t>the</w:t>
        <w:tab/>
        <w:t>Borrower</w:t>
        <w:tab/>
        <w:t>in</w:t>
        <w:tab/>
        <w:t>respect</w:t>
        <w:tab/>
        <w:t>of</w:t>
        <w:tab/>
        <w:t>such</w:t>
      </w:r>
    </w:p>
    <w:p>
      <w:pPr>
        <w:spacing w:after="0" w:line="6" w:lineRule="exact"/>
        <w:rPr>
          <w:sz w:val="20"/>
          <w:szCs w:val="20"/>
          <w:color w:val="auto"/>
        </w:rPr>
      </w:pPr>
    </w:p>
    <w:p>
      <w:pPr>
        <w:jc w:val="both"/>
        <w:ind w:left="4860"/>
        <w:spacing w:after="0"/>
        <w:tabs>
          <w:tab w:leader="none" w:pos="6080" w:val="left"/>
          <w:tab w:leader="none" w:pos="7200" w:val="left"/>
        </w:tabs>
        <w:rPr>
          <w:sz w:val="20"/>
          <w:szCs w:val="20"/>
          <w:color w:val="auto"/>
        </w:rPr>
      </w:pPr>
      <w:r>
        <w:rPr>
          <w:rFonts w:ascii="Courier New" w:cs="Courier New" w:eastAsia="Courier New" w:hAnsi="Courier New"/>
          <w:sz w:val="12"/>
          <w:szCs w:val="12"/>
          <w:color w:val="auto"/>
        </w:rPr>
        <w:t>convertible</w:t>
      </w:r>
      <w:r>
        <w:rPr>
          <w:sz w:val="20"/>
          <w:szCs w:val="20"/>
          <w:color w:val="auto"/>
        </w:rPr>
        <w:tab/>
      </w:r>
      <w:r>
        <w:rPr>
          <w:rFonts w:ascii="Courier New" w:cs="Courier New" w:eastAsia="Courier New" w:hAnsi="Courier New"/>
          <w:sz w:val="12"/>
          <w:szCs w:val="12"/>
          <w:color w:val="auto"/>
        </w:rPr>
        <w:t>debentures</w:t>
      </w:r>
      <w:r>
        <w:rPr>
          <w:sz w:val="20"/>
          <w:szCs w:val="20"/>
          <w:color w:val="auto"/>
        </w:rPr>
        <w:tab/>
      </w:r>
      <w:r>
        <w:rPr>
          <w:rFonts w:ascii="Courier New" w:cs="Courier New" w:eastAsia="Courier New" w:hAnsi="Courier New"/>
          <w:sz w:val="12"/>
          <w:szCs w:val="12"/>
          <w:color w:val="auto"/>
        </w:rPr>
        <w:t>(after</w:t>
      </w:r>
    </w:p>
    <w:p>
      <w:pPr>
        <w:spacing w:after="0" w:line="6" w:lineRule="exact"/>
        <w:rPr>
          <w:sz w:val="20"/>
          <w:szCs w:val="20"/>
          <w:color w:val="auto"/>
        </w:rPr>
      </w:pPr>
    </w:p>
    <w:p>
      <w:pPr>
        <w:ind w:left="4860"/>
        <w:spacing w:after="0"/>
        <w:tabs>
          <w:tab w:leader="none" w:pos="5720" w:val="left"/>
          <w:tab w:leader="none" w:pos="6160" w:val="left"/>
          <w:tab w:leader="none" w:pos="7200" w:val="left"/>
        </w:tabs>
        <w:rPr>
          <w:sz w:val="20"/>
          <w:szCs w:val="20"/>
          <w:color w:val="auto"/>
        </w:rPr>
      </w:pPr>
      <w:r>
        <w:rPr>
          <w:rFonts w:ascii="Courier New" w:cs="Courier New" w:eastAsia="Courier New" w:hAnsi="Courier New"/>
          <w:sz w:val="12"/>
          <w:szCs w:val="12"/>
          <w:color w:val="auto"/>
        </w:rPr>
        <w:t>deducting</w:t>
        <w:tab/>
        <w:t>all</w:t>
        <w:tab/>
        <w:t>discounts,</w:t>
      </w:r>
      <w:r>
        <w:rPr>
          <w:sz w:val="20"/>
          <w:szCs w:val="20"/>
          <w:color w:val="auto"/>
        </w:rPr>
        <w:tab/>
      </w:r>
      <w:r>
        <w:rPr>
          <w:rFonts w:ascii="Courier New" w:cs="Courier New" w:eastAsia="Courier New" w:hAnsi="Courier New"/>
          <w:sz w:val="12"/>
          <w:szCs w:val="12"/>
          <w:color w:val="auto"/>
        </w:rPr>
        <w:t>costs,</w:t>
      </w:r>
    </w:p>
    <w:p>
      <w:pPr>
        <w:spacing w:after="0" w:line="6" w:lineRule="exact"/>
        <w:rPr>
          <w:sz w:val="20"/>
          <w:szCs w:val="20"/>
          <w:color w:val="auto"/>
        </w:rPr>
      </w:pPr>
    </w:p>
    <w:p>
      <w:pPr>
        <w:ind w:left="4860"/>
        <w:spacing w:after="0"/>
        <w:tabs>
          <w:tab w:leader="none" w:pos="5860" w:val="left"/>
        </w:tabs>
        <w:rPr>
          <w:sz w:val="20"/>
          <w:szCs w:val="20"/>
          <w:color w:val="auto"/>
        </w:rPr>
      </w:pPr>
      <w:r>
        <w:rPr>
          <w:rFonts w:ascii="Courier New" w:cs="Courier New" w:eastAsia="Courier New" w:hAnsi="Courier New"/>
          <w:sz w:val="12"/>
          <w:szCs w:val="12"/>
          <w:color w:val="auto"/>
        </w:rPr>
        <w:t>commissions,</w:t>
        <w:tab/>
        <w:t>fees, expenses and other</w:t>
      </w:r>
    </w:p>
    <w:p>
      <w:pPr>
        <w:spacing w:after="0" w:line="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2"/>
          <w:szCs w:val="12"/>
          <w:color w:val="auto"/>
        </w:rPr>
        <w:t>issuance</w:t>
        <w:tab/>
        <w:t>costs) shall be no less than</w:t>
      </w:r>
    </w:p>
    <w:p>
      <w:pPr>
        <w:spacing w:after="0" w:line="6" w:lineRule="exact"/>
        <w:rPr>
          <w:sz w:val="20"/>
          <w:szCs w:val="20"/>
          <w:color w:val="auto"/>
        </w:rPr>
      </w:pPr>
    </w:p>
    <w:p>
      <w:pPr>
        <w:ind w:left="4860"/>
        <w:spacing w:after="0"/>
        <w:tabs>
          <w:tab w:leader="none" w:pos="5280" w:val="left"/>
          <w:tab w:leader="none" w:pos="6380" w:val="left"/>
          <w:tab w:leader="none" w:pos="7120" w:val="left"/>
          <w:tab w:leader="none" w:pos="7420" w:val="left"/>
        </w:tabs>
        <w:rPr>
          <w:sz w:val="20"/>
          <w:szCs w:val="20"/>
          <w:color w:val="auto"/>
        </w:rPr>
      </w:pPr>
      <w:r>
        <w:rPr>
          <w:rFonts w:ascii="Courier New" w:cs="Courier New" w:eastAsia="Courier New" w:hAnsi="Courier New"/>
          <w:sz w:val="12"/>
          <w:szCs w:val="12"/>
          <w:color w:val="auto"/>
        </w:rPr>
        <w:t>85%</w:t>
        <w:tab/>
        <w:t>(eighty-five</w:t>
        <w:tab/>
        <w:t>percent)</w:t>
        <w:tab/>
        <w:t>of</w:t>
        <w:tab/>
        <w:t>the</w:t>
      </w:r>
    </w:p>
    <w:p>
      <w:pPr>
        <w:spacing w:after="0" w:line="6" w:lineRule="exact"/>
        <w:rPr>
          <w:sz w:val="20"/>
          <w:szCs w:val="20"/>
          <w:color w:val="auto"/>
        </w:rPr>
      </w:pPr>
    </w:p>
    <w:p>
      <w:pPr>
        <w:ind w:left="4860"/>
        <w:spacing w:after="0"/>
        <w:tabs>
          <w:tab w:leader="none" w:pos="5640" w:val="left"/>
          <w:tab w:leader="none" w:pos="6240" w:val="left"/>
          <w:tab w:leader="none" w:pos="6820" w:val="left"/>
        </w:tabs>
        <w:rPr>
          <w:sz w:val="20"/>
          <w:szCs w:val="20"/>
          <w:color w:val="auto"/>
        </w:rPr>
      </w:pPr>
      <w:r>
        <w:rPr>
          <w:rFonts w:ascii="Courier New" w:cs="Courier New" w:eastAsia="Courier New" w:hAnsi="Courier New"/>
          <w:sz w:val="12"/>
          <w:szCs w:val="12"/>
          <w:color w:val="auto"/>
        </w:rPr>
        <w:t>principal</w:t>
        <w:tab/>
        <w:t>amount</w:t>
        <w:tab/>
        <w:t>of the</w:t>
        <w:tab/>
        <w:t>convertible</w:t>
      </w:r>
    </w:p>
    <w:p>
      <w:pPr>
        <w:spacing w:after="0" w:line="6" w:lineRule="exact"/>
        <w:rPr>
          <w:sz w:val="20"/>
          <w:szCs w:val="20"/>
          <w:color w:val="auto"/>
        </w:rPr>
      </w:pPr>
    </w:p>
    <w:p>
      <w:pPr>
        <w:ind w:left="4860"/>
        <w:spacing w:after="0"/>
        <w:rPr>
          <w:sz w:val="20"/>
          <w:szCs w:val="20"/>
          <w:color w:val="auto"/>
        </w:rPr>
      </w:pPr>
      <w:r>
        <w:rPr>
          <w:rFonts w:ascii="Courier New" w:cs="Courier New" w:eastAsia="Courier New" w:hAnsi="Courier New"/>
          <w:sz w:val="12"/>
          <w:szCs w:val="12"/>
          <w:color w:val="auto"/>
        </w:rPr>
        <w:t>debentures;</w:t>
      </w:r>
    </w:p>
    <w:p>
      <w:pPr>
        <w:spacing w:after="0" w:line="289"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- 41 -</w:t>
      </w:r>
    </w:p>
    <w:p>
      <w:pPr>
        <w:spacing w:after="0" w:line="200" w:lineRule="exact"/>
        <w:rPr>
          <w:sz w:val="20"/>
          <w:szCs w:val="20"/>
          <w:color w:val="auto"/>
        </w:rPr>
      </w:pPr>
    </w:p>
    <w:p>
      <w:pPr>
        <w:spacing w:after="0" w:line="353" w:lineRule="exact"/>
        <w:rPr>
          <w:sz w:val="20"/>
          <w:szCs w:val="20"/>
          <w:color w:val="auto"/>
        </w:rPr>
      </w:pPr>
    </w:p>
    <w:p>
      <w:pPr>
        <w:jc w:val="both"/>
        <w:ind w:left="4340"/>
        <w:spacing w:after="0"/>
        <w:tabs>
          <w:tab w:leader="none" w:pos="4840" w:val="left"/>
          <w:tab w:leader="none" w:pos="5200" w:val="left"/>
          <w:tab w:leader="none" w:pos="6240" w:val="left"/>
          <w:tab w:leader="none" w:pos="6520" w:val="left"/>
        </w:tabs>
        <w:rPr>
          <w:sz w:val="20"/>
          <w:szCs w:val="20"/>
          <w:color w:val="auto"/>
        </w:rPr>
      </w:pPr>
      <w:r>
        <w:rPr>
          <w:rFonts w:ascii="Courier New" w:cs="Courier New" w:eastAsia="Courier New" w:hAnsi="Courier New"/>
          <w:sz w:val="12"/>
          <w:szCs w:val="12"/>
          <w:color w:val="auto"/>
        </w:rPr>
        <w:t>(b)</w:t>
      </w:r>
      <w:r>
        <w:rPr>
          <w:sz w:val="20"/>
          <w:szCs w:val="20"/>
          <w:color w:val="auto"/>
        </w:rPr>
        <w:tab/>
      </w:r>
      <w:r>
        <w:rPr>
          <w:rFonts w:ascii="Courier New" w:cs="Courier New" w:eastAsia="Courier New" w:hAnsi="Courier New"/>
          <w:sz w:val="12"/>
          <w:szCs w:val="12"/>
          <w:color w:val="auto"/>
        </w:rPr>
        <w:t>the</w:t>
        <w:tab/>
        <w:t>Indebtedness</w:t>
        <w:tab/>
        <w:t>in</w:t>
        <w:tab/>
        <w:t>respect of such</w:t>
      </w:r>
    </w:p>
    <w:p>
      <w:pPr>
        <w:spacing w:after="0" w:line="6" w:lineRule="exact"/>
        <w:rPr>
          <w:sz w:val="20"/>
          <w:szCs w:val="20"/>
          <w:color w:val="auto"/>
        </w:rPr>
      </w:pPr>
    </w:p>
    <w:p>
      <w:pPr>
        <w:ind w:left="4860"/>
        <w:spacing w:after="0"/>
        <w:tabs>
          <w:tab w:leader="none" w:pos="6240" w:val="left"/>
          <w:tab w:leader="none" w:pos="7480" w:val="left"/>
        </w:tabs>
        <w:rPr>
          <w:sz w:val="20"/>
          <w:szCs w:val="20"/>
          <w:color w:val="auto"/>
        </w:rPr>
      </w:pPr>
      <w:r>
        <w:rPr>
          <w:rFonts w:ascii="Courier New" w:cs="Courier New" w:eastAsia="Courier New" w:hAnsi="Courier New"/>
          <w:sz w:val="12"/>
          <w:szCs w:val="12"/>
          <w:color w:val="auto"/>
        </w:rPr>
        <w:t>convertible</w:t>
      </w:r>
      <w:r>
        <w:rPr>
          <w:sz w:val="20"/>
          <w:szCs w:val="20"/>
          <w:color w:val="auto"/>
        </w:rPr>
        <w:tab/>
      </w:r>
      <w:r>
        <w:rPr>
          <w:rFonts w:ascii="Courier New" w:cs="Courier New" w:eastAsia="Courier New" w:hAnsi="Courier New"/>
          <w:sz w:val="12"/>
          <w:szCs w:val="12"/>
          <w:color w:val="auto"/>
        </w:rPr>
        <w:t>debentures</w:t>
      </w:r>
      <w:r>
        <w:rPr>
          <w:sz w:val="20"/>
          <w:szCs w:val="20"/>
          <w:color w:val="auto"/>
        </w:rPr>
        <w:tab/>
      </w:r>
      <w:r>
        <w:rPr>
          <w:rFonts w:ascii="Courier New" w:cs="Courier New" w:eastAsia="Courier New" w:hAnsi="Courier New"/>
          <w:sz w:val="12"/>
          <w:szCs w:val="12"/>
          <w:color w:val="auto"/>
        </w:rPr>
        <w:t>is</w:t>
      </w:r>
    </w:p>
    <w:p>
      <w:pPr>
        <w:spacing w:after="0" w:line="6" w:lineRule="exact"/>
        <w:rPr>
          <w:sz w:val="20"/>
          <w:szCs w:val="20"/>
          <w:color w:val="auto"/>
        </w:rPr>
      </w:pPr>
    </w:p>
    <w:p>
      <w:pPr>
        <w:ind w:left="4860"/>
        <w:spacing w:after="0"/>
        <w:tabs>
          <w:tab w:leader="none" w:pos="5860" w:val="left"/>
          <w:tab w:leader="none" w:pos="6160" w:val="left"/>
          <w:tab w:leader="none" w:pos="6520" w:val="left"/>
          <w:tab w:leader="none" w:pos="7120" w:val="left"/>
          <w:tab w:leader="none" w:pos="7420" w:val="left"/>
        </w:tabs>
        <w:rPr>
          <w:sz w:val="20"/>
          <w:szCs w:val="20"/>
          <w:color w:val="auto"/>
        </w:rPr>
      </w:pPr>
      <w:r>
        <w:rPr>
          <w:rFonts w:ascii="Courier New" w:cs="Courier New" w:eastAsia="Courier New" w:hAnsi="Courier New"/>
          <w:sz w:val="12"/>
          <w:szCs w:val="12"/>
          <w:color w:val="auto"/>
        </w:rPr>
        <w:t>subordinated</w:t>
        <w:tab/>
        <w:t>to</w:t>
        <w:tab/>
        <w:t>the</w:t>
        <w:tab/>
        <w:t>rights</w:t>
        <w:tab/>
        <w:t>of</w:t>
        <w:tab/>
        <w:t>the</w:t>
      </w:r>
    </w:p>
    <w:p>
      <w:pPr>
        <w:spacing w:after="0" w:line="6" w:lineRule="exact"/>
        <w:rPr>
          <w:sz w:val="20"/>
          <w:szCs w:val="20"/>
          <w:color w:val="auto"/>
        </w:rPr>
      </w:pPr>
    </w:p>
    <w:p>
      <w:pPr>
        <w:ind w:left="4860"/>
        <w:spacing w:after="0"/>
        <w:tabs>
          <w:tab w:leader="none" w:pos="6160" w:val="left"/>
          <w:tab w:leader="none" w:pos="6960" w:val="left"/>
        </w:tabs>
        <w:rPr>
          <w:sz w:val="20"/>
          <w:szCs w:val="20"/>
          <w:color w:val="auto"/>
        </w:rPr>
      </w:pPr>
      <w:r>
        <w:rPr>
          <w:rFonts w:ascii="Courier New" w:cs="Courier New" w:eastAsia="Courier New" w:hAnsi="Courier New"/>
          <w:sz w:val="12"/>
          <w:szCs w:val="12"/>
          <w:color w:val="auto"/>
        </w:rPr>
        <w:t>Banks under this</w:t>
        <w:tab/>
        <w:t>Agreement</w:t>
        <w:tab/>
        <w:t>and under</w:t>
      </w:r>
    </w:p>
    <w:p>
      <w:pPr>
        <w:spacing w:after="0" w:line="6" w:lineRule="exact"/>
        <w:rPr>
          <w:sz w:val="20"/>
          <w:szCs w:val="20"/>
          <w:color w:val="auto"/>
        </w:rPr>
      </w:pPr>
    </w:p>
    <w:p>
      <w:pPr>
        <w:ind w:left="4860"/>
        <w:spacing w:after="0"/>
        <w:tabs>
          <w:tab w:leader="none" w:pos="5200" w:val="left"/>
          <w:tab w:leader="none" w:pos="5720" w:val="left"/>
          <w:tab w:leader="none" w:pos="6380" w:val="left"/>
          <w:tab w:leader="none" w:pos="7200" w:val="left"/>
        </w:tabs>
        <w:rPr>
          <w:sz w:val="20"/>
          <w:szCs w:val="20"/>
          <w:color w:val="auto"/>
        </w:rPr>
      </w:pPr>
      <w:r>
        <w:rPr>
          <w:rFonts w:ascii="Courier New" w:cs="Courier New" w:eastAsia="Courier New" w:hAnsi="Courier New"/>
          <w:sz w:val="12"/>
          <w:szCs w:val="12"/>
          <w:color w:val="auto"/>
        </w:rPr>
        <w:t>all</w:t>
        <w:tab/>
        <w:t>other</w:t>
        <w:tab/>
        <w:t>Finance</w:t>
        <w:tab/>
        <w:t>Documents</w:t>
        <w:tab/>
        <w:t>in all</w:t>
      </w:r>
    </w:p>
    <w:p>
      <w:pPr>
        <w:spacing w:after="0" w:line="6" w:lineRule="exact"/>
        <w:rPr>
          <w:sz w:val="20"/>
          <w:szCs w:val="20"/>
          <w:color w:val="auto"/>
        </w:rPr>
      </w:pPr>
    </w:p>
    <w:p>
      <w:pPr>
        <w:ind w:left="4860"/>
        <w:spacing w:after="0"/>
        <w:tabs>
          <w:tab w:leader="none" w:pos="5640" w:val="left"/>
          <w:tab w:leader="none" w:pos="6460" w:val="left"/>
          <w:tab w:leader="none" w:pos="6900" w:val="left"/>
        </w:tabs>
        <w:rPr>
          <w:sz w:val="20"/>
          <w:szCs w:val="20"/>
          <w:color w:val="auto"/>
        </w:rPr>
      </w:pPr>
      <w:r>
        <w:rPr>
          <w:rFonts w:ascii="Courier New" w:cs="Courier New" w:eastAsia="Courier New" w:hAnsi="Courier New"/>
          <w:sz w:val="12"/>
          <w:szCs w:val="12"/>
          <w:color w:val="auto"/>
        </w:rPr>
        <w:t>respects,</w:t>
        <w:tab/>
        <w:t>including</w:t>
        <w:tab/>
        <w:t>with</w:t>
        <w:tab/>
        <w:t>respect to</w:t>
      </w:r>
    </w:p>
    <w:p>
      <w:pPr>
        <w:spacing w:after="0" w:line="6" w:lineRule="exact"/>
        <w:rPr>
          <w:sz w:val="20"/>
          <w:szCs w:val="20"/>
          <w:color w:val="auto"/>
        </w:rPr>
      </w:pPr>
    </w:p>
    <w:p>
      <w:pPr>
        <w:ind w:left="4860"/>
        <w:spacing w:after="0"/>
        <w:tabs>
          <w:tab w:leader="none" w:pos="5580" w:val="left"/>
          <w:tab w:leader="none" w:pos="5860" w:val="left"/>
          <w:tab w:leader="none" w:pos="6680" w:val="left"/>
          <w:tab w:leader="none" w:pos="7040" w:val="left"/>
        </w:tabs>
        <w:rPr>
          <w:sz w:val="20"/>
          <w:szCs w:val="20"/>
          <w:color w:val="auto"/>
        </w:rPr>
      </w:pPr>
      <w:r>
        <w:rPr>
          <w:rFonts w:ascii="Courier New" w:cs="Courier New" w:eastAsia="Courier New" w:hAnsi="Courier New"/>
          <w:sz w:val="12"/>
          <w:szCs w:val="12"/>
          <w:color w:val="auto"/>
        </w:rPr>
        <w:t>payments</w:t>
        <w:tab/>
        <w:t>of</w:t>
        <w:tab/>
        <w:t>principal</w:t>
        <w:tab/>
        <w:t>and</w:t>
        <w:tab/>
        <w:t>Interest</w:t>
      </w:r>
    </w:p>
    <w:p>
      <w:pPr>
        <w:spacing w:after="0" w:line="6" w:lineRule="exact"/>
        <w:rPr>
          <w:sz w:val="20"/>
          <w:szCs w:val="20"/>
          <w:color w:val="auto"/>
        </w:rPr>
      </w:pPr>
    </w:p>
    <w:p>
      <w:pPr>
        <w:ind w:left="4860"/>
        <w:spacing w:after="0"/>
        <w:tabs>
          <w:tab w:leader="none" w:pos="5940" w:val="left"/>
          <w:tab w:leader="none" w:pos="6600" w:val="left"/>
        </w:tabs>
        <w:rPr>
          <w:sz w:val="20"/>
          <w:szCs w:val="20"/>
          <w:color w:val="auto"/>
        </w:rPr>
      </w:pPr>
      <w:r>
        <w:rPr>
          <w:rFonts w:ascii="Courier New" w:cs="Courier New" w:eastAsia="Courier New" w:hAnsi="Courier New"/>
          <w:sz w:val="12"/>
          <w:szCs w:val="12"/>
          <w:color w:val="auto"/>
        </w:rPr>
        <w:t>and all other</w:t>
        <w:tab/>
        <w:t>amounts</w:t>
        <w:tab/>
        <w:t>payable to the</w:t>
      </w:r>
    </w:p>
    <w:p>
      <w:pPr>
        <w:spacing w:after="0" w:line="6" w:lineRule="exact"/>
        <w:rPr>
          <w:sz w:val="20"/>
          <w:szCs w:val="20"/>
          <w:color w:val="auto"/>
        </w:rPr>
      </w:pPr>
    </w:p>
    <w:p>
      <w:pPr>
        <w:ind w:left="4860"/>
        <w:spacing w:after="0"/>
        <w:tabs>
          <w:tab w:leader="none" w:pos="6160" w:val="left"/>
          <w:tab w:leader="none" w:pos="6960" w:val="left"/>
        </w:tabs>
        <w:rPr>
          <w:sz w:val="20"/>
          <w:szCs w:val="20"/>
          <w:color w:val="auto"/>
        </w:rPr>
      </w:pPr>
      <w:r>
        <w:rPr>
          <w:rFonts w:ascii="Courier New" w:cs="Courier New" w:eastAsia="Courier New" w:hAnsi="Courier New"/>
          <w:sz w:val="12"/>
          <w:szCs w:val="12"/>
          <w:color w:val="auto"/>
        </w:rPr>
        <w:t>Banks under this</w:t>
        <w:tab/>
        <w:t>Agreement</w:t>
        <w:tab/>
        <w:t>and under</w:t>
      </w:r>
    </w:p>
    <w:p>
      <w:pPr>
        <w:spacing w:after="0" w:line="6" w:lineRule="exact"/>
        <w:rPr>
          <w:sz w:val="20"/>
          <w:szCs w:val="20"/>
          <w:color w:val="auto"/>
        </w:rPr>
      </w:pPr>
    </w:p>
    <w:p>
      <w:pPr>
        <w:ind w:left="4860"/>
        <w:spacing w:after="0"/>
        <w:tabs>
          <w:tab w:leader="none" w:pos="6240" w:val="left"/>
        </w:tabs>
        <w:rPr>
          <w:sz w:val="20"/>
          <w:szCs w:val="20"/>
          <w:color w:val="auto"/>
        </w:rPr>
      </w:pPr>
      <w:r>
        <w:rPr>
          <w:rFonts w:ascii="Courier New" w:cs="Courier New" w:eastAsia="Courier New" w:hAnsi="Courier New"/>
          <w:sz w:val="12"/>
          <w:szCs w:val="12"/>
          <w:color w:val="auto"/>
        </w:rPr>
        <w:t>all other Finance</w:t>
        <w:tab/>
        <w:t>Documents and shall</w:t>
      </w:r>
    </w:p>
    <w:p>
      <w:pPr>
        <w:spacing w:after="0" w:line="6" w:lineRule="exact"/>
        <w:rPr>
          <w:sz w:val="20"/>
          <w:szCs w:val="20"/>
          <w:color w:val="auto"/>
        </w:rPr>
      </w:pPr>
    </w:p>
    <w:p>
      <w:pPr>
        <w:ind w:left="4860"/>
        <w:spacing w:after="0"/>
        <w:tabs>
          <w:tab w:leader="none" w:pos="5200" w:val="left"/>
          <w:tab w:leader="none" w:pos="5500" w:val="left"/>
          <w:tab w:leader="none" w:pos="6160" w:val="left"/>
          <w:tab w:leader="none" w:pos="6460" w:val="left"/>
          <w:tab w:leader="none" w:pos="6900" w:val="left"/>
        </w:tabs>
        <w:rPr>
          <w:sz w:val="20"/>
          <w:szCs w:val="20"/>
          <w:color w:val="auto"/>
        </w:rPr>
      </w:pPr>
      <w:r>
        <w:rPr>
          <w:rFonts w:ascii="Courier New" w:cs="Courier New" w:eastAsia="Courier New" w:hAnsi="Courier New"/>
          <w:sz w:val="12"/>
          <w:szCs w:val="12"/>
          <w:color w:val="auto"/>
        </w:rPr>
        <w:t>not</w:t>
        <w:tab/>
        <w:t>be</w:t>
        <w:tab/>
        <w:t>secured</w:t>
        <w:tab/>
        <w:t>by</w:t>
        <w:tab/>
        <w:t>any</w:t>
        <w:tab/>
        <w:t>collateral</w:t>
      </w:r>
    </w:p>
    <w:p>
      <w:pPr>
        <w:spacing w:after="0" w:line="6" w:lineRule="exact"/>
        <w:rPr>
          <w:sz w:val="20"/>
          <w:szCs w:val="20"/>
          <w:color w:val="auto"/>
        </w:rPr>
      </w:pPr>
    </w:p>
    <w:p>
      <w:pPr>
        <w:ind w:left="4860"/>
        <w:spacing w:after="0"/>
        <w:tabs>
          <w:tab w:leader="none" w:pos="5720" w:val="left"/>
          <w:tab w:leader="none" w:pos="6160" w:val="left"/>
          <w:tab w:leader="none" w:pos="6600" w:val="left"/>
          <w:tab w:leader="none" w:pos="6900" w:val="left"/>
        </w:tabs>
        <w:rPr>
          <w:sz w:val="20"/>
          <w:szCs w:val="20"/>
          <w:color w:val="auto"/>
        </w:rPr>
      </w:pPr>
      <w:r>
        <w:rPr>
          <w:rFonts w:ascii="Courier New" w:cs="Courier New" w:eastAsia="Courier New" w:hAnsi="Courier New"/>
          <w:sz w:val="12"/>
          <w:szCs w:val="12"/>
          <w:color w:val="auto"/>
        </w:rPr>
        <w:t>whatsoever</w:t>
        <w:tab/>
        <w:t>and,</w:t>
        <w:tab/>
        <w:t>save</w:t>
        <w:tab/>
        <w:t>in</w:t>
        <w:tab/>
        <w:t>accordance</w:t>
      </w:r>
    </w:p>
    <w:p>
      <w:pPr>
        <w:spacing w:after="0" w:line="6" w:lineRule="exact"/>
        <w:rPr>
          <w:sz w:val="20"/>
          <w:szCs w:val="20"/>
          <w:color w:val="auto"/>
        </w:rPr>
      </w:pPr>
    </w:p>
    <w:p>
      <w:pPr>
        <w:ind w:left="4860"/>
        <w:spacing w:after="0"/>
        <w:tabs>
          <w:tab w:leader="none" w:pos="5420" w:val="left"/>
          <w:tab w:leader="none" w:pos="5940" w:val="left"/>
          <w:tab w:leader="none" w:pos="6960" w:val="left"/>
          <w:tab w:leader="none" w:pos="7340" w:val="left"/>
        </w:tabs>
        <w:rPr>
          <w:sz w:val="20"/>
          <w:szCs w:val="20"/>
          <w:color w:val="auto"/>
        </w:rPr>
      </w:pPr>
      <w:r>
        <w:rPr>
          <w:rFonts w:ascii="Courier New" w:cs="Courier New" w:eastAsia="Courier New" w:hAnsi="Courier New"/>
          <w:sz w:val="12"/>
          <w:szCs w:val="12"/>
          <w:color w:val="auto"/>
        </w:rPr>
        <w:t>with</w:t>
      </w:r>
      <w:r>
        <w:rPr>
          <w:sz w:val="20"/>
          <w:szCs w:val="20"/>
          <w:color w:val="auto"/>
        </w:rPr>
        <w:tab/>
      </w:r>
      <w:r>
        <w:rPr>
          <w:rFonts w:ascii="Courier New" w:cs="Courier New" w:eastAsia="Courier New" w:hAnsi="Courier New"/>
          <w:sz w:val="12"/>
          <w:szCs w:val="12"/>
          <w:color w:val="auto"/>
        </w:rPr>
        <w:t>the</w:t>
      </w:r>
      <w:r>
        <w:rPr>
          <w:sz w:val="20"/>
          <w:szCs w:val="20"/>
          <w:color w:val="auto"/>
        </w:rPr>
        <w:tab/>
      </w:r>
      <w:r>
        <w:rPr>
          <w:rFonts w:ascii="Courier New" w:cs="Courier New" w:eastAsia="Courier New" w:hAnsi="Courier New"/>
          <w:sz w:val="12"/>
          <w:szCs w:val="12"/>
          <w:color w:val="auto"/>
        </w:rPr>
        <w:t>provisions</w:t>
      </w:r>
      <w:r>
        <w:rPr>
          <w:sz w:val="20"/>
          <w:szCs w:val="20"/>
          <w:color w:val="auto"/>
        </w:rPr>
        <w:tab/>
      </w:r>
      <w:r>
        <w:rPr>
          <w:rFonts w:ascii="Courier New" w:cs="Courier New" w:eastAsia="Courier New" w:hAnsi="Courier New"/>
          <w:sz w:val="12"/>
          <w:szCs w:val="12"/>
          <w:color w:val="auto"/>
        </w:rPr>
        <w:t>of</w:t>
        <w:tab/>
        <w:t>this</w:t>
      </w:r>
    </w:p>
    <w:p>
      <w:pPr>
        <w:spacing w:after="0" w:line="6" w:lineRule="exact"/>
        <w:rPr>
          <w:sz w:val="20"/>
          <w:szCs w:val="20"/>
          <w:color w:val="auto"/>
        </w:rPr>
      </w:pPr>
    </w:p>
    <w:p>
      <w:pPr>
        <w:ind w:left="4860"/>
        <w:spacing w:after="0"/>
        <w:tabs>
          <w:tab w:leader="none" w:pos="6080" w:val="left"/>
          <w:tab w:leader="none" w:pos="6740" w:val="left"/>
          <w:tab w:leader="none" w:pos="7120" w:val="left"/>
        </w:tabs>
        <w:rPr>
          <w:sz w:val="20"/>
          <w:szCs w:val="20"/>
          <w:color w:val="auto"/>
        </w:rPr>
      </w:pPr>
      <w:r>
        <w:rPr>
          <w:rFonts w:ascii="Courier New" w:cs="Courier New" w:eastAsia="Courier New" w:hAnsi="Courier New"/>
          <w:sz w:val="12"/>
          <w:szCs w:val="12"/>
          <w:color w:val="auto"/>
        </w:rPr>
        <w:t>clause 1.1.118</w:t>
        <w:tab/>
        <w:t>below,</w:t>
        <w:tab/>
        <w:t>no</w:t>
        <w:tab/>
        <w:t>amount,</w:t>
      </w:r>
    </w:p>
    <w:p>
      <w:pPr>
        <w:spacing w:after="0" w:line="6" w:lineRule="exact"/>
        <w:rPr>
          <w:sz w:val="20"/>
          <w:szCs w:val="20"/>
          <w:color w:val="auto"/>
        </w:rPr>
      </w:pPr>
    </w:p>
    <w:p>
      <w:pPr>
        <w:ind w:left="4860"/>
        <w:spacing w:after="0"/>
        <w:tabs>
          <w:tab w:leader="none" w:pos="5500" w:val="left"/>
          <w:tab w:leader="none" w:pos="5860" w:val="left"/>
          <w:tab w:leader="none" w:pos="6520" w:val="left"/>
          <w:tab w:leader="none" w:pos="6900" w:val="left"/>
        </w:tabs>
        <w:rPr>
          <w:sz w:val="20"/>
          <w:szCs w:val="20"/>
          <w:color w:val="auto"/>
        </w:rPr>
      </w:pPr>
      <w:r>
        <w:rPr>
          <w:rFonts w:ascii="Courier New" w:cs="Courier New" w:eastAsia="Courier New" w:hAnsi="Courier New"/>
          <w:sz w:val="12"/>
          <w:szCs w:val="12"/>
          <w:color w:val="auto"/>
        </w:rPr>
        <w:t>whether</w:t>
        <w:tab/>
        <w:t>in</w:t>
        <w:tab/>
        <w:t>respect</w:t>
        <w:tab/>
        <w:t>of</w:t>
        <w:tab/>
        <w:t>principal,</w:t>
      </w:r>
    </w:p>
    <w:p>
      <w:pPr>
        <w:spacing w:after="0" w:line="6" w:lineRule="exact"/>
        <w:rPr>
          <w:sz w:val="20"/>
          <w:szCs w:val="20"/>
          <w:color w:val="auto"/>
        </w:rPr>
      </w:pPr>
    </w:p>
    <w:p>
      <w:pPr>
        <w:ind w:left="4860"/>
        <w:spacing w:after="0"/>
        <w:tabs>
          <w:tab w:leader="none" w:pos="5580" w:val="left"/>
          <w:tab w:leader="none" w:pos="6600" w:val="left"/>
          <w:tab w:leader="none" w:pos="7260" w:val="left"/>
        </w:tabs>
        <w:rPr>
          <w:sz w:val="20"/>
          <w:szCs w:val="20"/>
          <w:color w:val="auto"/>
        </w:rPr>
      </w:pPr>
      <w:r>
        <w:rPr>
          <w:rFonts w:ascii="Courier New" w:cs="Courier New" w:eastAsia="Courier New" w:hAnsi="Courier New"/>
          <w:sz w:val="12"/>
          <w:szCs w:val="12"/>
          <w:color w:val="auto"/>
        </w:rPr>
        <w:t>Interest</w:t>
        <w:tab/>
        <w:t>or any other</w:t>
        <w:tab/>
        <w:t>amount,</w:t>
        <w:tab/>
        <w:t>shall</w:t>
      </w:r>
    </w:p>
    <w:p>
      <w:pPr>
        <w:spacing w:after="0" w:line="6" w:lineRule="exact"/>
        <w:rPr>
          <w:sz w:val="20"/>
          <w:szCs w:val="20"/>
          <w:color w:val="auto"/>
        </w:rPr>
      </w:pPr>
    </w:p>
    <w:p>
      <w:pPr>
        <w:ind w:left="4860"/>
        <w:spacing w:after="0"/>
        <w:tabs>
          <w:tab w:leader="none" w:pos="6240" w:val="left"/>
        </w:tabs>
        <w:rPr>
          <w:sz w:val="20"/>
          <w:szCs w:val="20"/>
          <w:color w:val="auto"/>
        </w:rPr>
      </w:pPr>
      <w:r>
        <w:rPr>
          <w:rFonts w:ascii="Courier New" w:cs="Courier New" w:eastAsia="Courier New" w:hAnsi="Courier New"/>
          <w:sz w:val="12"/>
          <w:szCs w:val="12"/>
          <w:color w:val="auto"/>
        </w:rPr>
        <w:t>be payable by the</w:t>
        <w:tab/>
        <w:t>Borrower on account</w:t>
      </w:r>
    </w:p>
    <w:p>
      <w:pPr>
        <w:spacing w:after="0" w:line="6" w:lineRule="exact"/>
        <w:rPr>
          <w:sz w:val="20"/>
          <w:szCs w:val="20"/>
          <w:color w:val="auto"/>
        </w:rPr>
      </w:pPr>
    </w:p>
    <w:p>
      <w:pPr>
        <w:ind w:left="4860"/>
        <w:spacing w:after="0"/>
        <w:tabs>
          <w:tab w:leader="none" w:pos="5120" w:val="left"/>
          <w:tab w:leader="none" w:pos="5580" w:val="left"/>
          <w:tab w:leader="none" w:pos="6680" w:val="left"/>
          <w:tab w:leader="none" w:pos="7200" w:val="left"/>
        </w:tabs>
        <w:rPr>
          <w:sz w:val="20"/>
          <w:szCs w:val="20"/>
          <w:color w:val="auto"/>
        </w:rPr>
      </w:pPr>
      <w:r>
        <w:rPr>
          <w:rFonts w:ascii="Courier New" w:cs="Courier New" w:eastAsia="Courier New" w:hAnsi="Courier New"/>
          <w:sz w:val="12"/>
          <w:szCs w:val="12"/>
          <w:color w:val="auto"/>
        </w:rPr>
        <w:t>of</w:t>
        <w:tab/>
        <w:t>such</w:t>
        <w:tab/>
        <w:t>Indebtedness,</w:t>
        <w:tab/>
        <w:t>prior</w:t>
        <w:tab/>
        <w:t>to the</w:t>
      </w:r>
    </w:p>
    <w:p>
      <w:pPr>
        <w:spacing w:after="0" w:line="6" w:lineRule="exact"/>
        <w:rPr>
          <w:sz w:val="20"/>
          <w:szCs w:val="20"/>
          <w:color w:val="auto"/>
        </w:rPr>
      </w:pPr>
    </w:p>
    <w:p>
      <w:pPr>
        <w:ind w:left="4860"/>
        <w:spacing w:after="0"/>
        <w:tabs>
          <w:tab w:leader="none" w:pos="5340" w:val="left"/>
          <w:tab w:leader="none" w:pos="5720" w:val="left"/>
          <w:tab w:leader="none" w:pos="6380" w:val="left"/>
          <w:tab w:leader="none" w:pos="7120" w:val="left"/>
        </w:tabs>
        <w:rPr>
          <w:sz w:val="20"/>
          <w:szCs w:val="20"/>
          <w:color w:val="auto"/>
        </w:rPr>
      </w:pPr>
      <w:r>
        <w:rPr>
          <w:rFonts w:ascii="Courier New" w:cs="Courier New" w:eastAsia="Courier New" w:hAnsi="Courier New"/>
          <w:sz w:val="12"/>
          <w:szCs w:val="12"/>
          <w:color w:val="auto"/>
        </w:rPr>
        <w:t>date</w:t>
        <w:tab/>
        <w:t>on</w:t>
        <w:tab/>
        <w:t>which:</w:t>
        <w:tab/>
        <w:t>(i) all</w:t>
        <w:tab/>
        <w:t>amounts</w:t>
      </w:r>
    </w:p>
    <w:p>
      <w:pPr>
        <w:spacing w:after="0" w:line="6" w:lineRule="exact"/>
        <w:rPr>
          <w:sz w:val="20"/>
          <w:szCs w:val="20"/>
          <w:color w:val="auto"/>
        </w:rPr>
      </w:pPr>
    </w:p>
    <w:p>
      <w:pPr>
        <w:ind w:left="4860"/>
        <w:spacing w:after="0"/>
        <w:tabs>
          <w:tab w:leader="none" w:pos="5500" w:val="left"/>
          <w:tab w:leader="none" w:pos="5800" w:val="left"/>
          <w:tab w:leader="none" w:pos="6160" w:val="left"/>
          <w:tab w:leader="none" w:pos="6900" w:val="left"/>
          <w:tab w:leader="none" w:pos="7420" w:val="left"/>
        </w:tabs>
        <w:rPr>
          <w:sz w:val="20"/>
          <w:szCs w:val="20"/>
          <w:color w:val="auto"/>
        </w:rPr>
      </w:pPr>
      <w:r>
        <w:rPr>
          <w:rFonts w:ascii="Courier New" w:cs="Courier New" w:eastAsia="Courier New" w:hAnsi="Courier New"/>
          <w:sz w:val="12"/>
          <w:szCs w:val="12"/>
          <w:color w:val="auto"/>
        </w:rPr>
        <w:t>payable</w:t>
        <w:tab/>
        <w:t>by</w:t>
        <w:tab/>
        <w:t>the</w:t>
        <w:tab/>
        <w:t>Borrower</w:t>
        <w:tab/>
        <w:t>under</w:t>
        <w:tab/>
        <w:t>the</w:t>
      </w:r>
    </w:p>
    <w:p>
      <w:pPr>
        <w:spacing w:after="0" w:line="6" w:lineRule="exact"/>
        <w:rPr>
          <w:sz w:val="20"/>
          <w:szCs w:val="20"/>
          <w:color w:val="auto"/>
        </w:rPr>
      </w:pPr>
    </w:p>
    <w:p>
      <w:pPr>
        <w:ind w:left="4860"/>
        <w:spacing w:after="0"/>
        <w:tabs>
          <w:tab w:leader="none" w:pos="5580" w:val="left"/>
          <w:tab w:leader="none" w:pos="6380" w:val="left"/>
          <w:tab w:leader="none" w:pos="6900" w:val="left"/>
          <w:tab w:leader="none" w:pos="7340" w:val="left"/>
        </w:tabs>
        <w:rPr>
          <w:sz w:val="20"/>
          <w:szCs w:val="20"/>
          <w:color w:val="auto"/>
        </w:rPr>
      </w:pPr>
      <w:r>
        <w:rPr>
          <w:rFonts w:ascii="Courier New" w:cs="Courier New" w:eastAsia="Courier New" w:hAnsi="Courier New"/>
          <w:sz w:val="12"/>
          <w:szCs w:val="12"/>
          <w:color w:val="auto"/>
        </w:rPr>
        <w:t>Finance</w:t>
      </w:r>
      <w:r>
        <w:rPr>
          <w:sz w:val="20"/>
          <w:szCs w:val="20"/>
          <w:color w:val="auto"/>
        </w:rPr>
        <w:tab/>
      </w:r>
      <w:r>
        <w:rPr>
          <w:rFonts w:ascii="Courier New" w:cs="Courier New" w:eastAsia="Courier New" w:hAnsi="Courier New"/>
          <w:sz w:val="12"/>
          <w:szCs w:val="12"/>
          <w:color w:val="auto"/>
        </w:rPr>
        <w:t>Documents</w:t>
        <w:tab/>
        <w:t>shall</w:t>
        <w:tab/>
        <w:t>have</w:t>
        <w:tab/>
        <w:t>been</w:t>
      </w:r>
    </w:p>
    <w:p>
      <w:pPr>
        <w:spacing w:after="0" w:line="6" w:lineRule="exact"/>
        <w:rPr>
          <w:sz w:val="20"/>
          <w:szCs w:val="20"/>
          <w:color w:val="auto"/>
        </w:rPr>
      </w:pPr>
    </w:p>
    <w:p>
      <w:pPr>
        <w:ind w:left="4860"/>
        <w:spacing w:after="0"/>
        <w:tabs>
          <w:tab w:leader="none" w:pos="5940" w:val="left"/>
          <w:tab w:leader="none" w:pos="6900" w:val="left"/>
        </w:tabs>
        <w:rPr>
          <w:sz w:val="20"/>
          <w:szCs w:val="20"/>
          <w:color w:val="auto"/>
        </w:rPr>
      </w:pPr>
      <w:r>
        <w:rPr>
          <w:rFonts w:ascii="Courier New" w:cs="Courier New" w:eastAsia="Courier New" w:hAnsi="Courier New"/>
          <w:sz w:val="12"/>
          <w:szCs w:val="12"/>
          <w:color w:val="auto"/>
        </w:rPr>
        <w:t>paid in full;</w:t>
        <w:tab/>
        <w:t>and (ii) no</w:t>
        <w:tab/>
        <w:t>Bank shall</w:t>
      </w:r>
    </w:p>
    <w:p>
      <w:pPr>
        <w:spacing w:after="0" w:line="6" w:lineRule="exact"/>
        <w:rPr>
          <w:sz w:val="20"/>
          <w:szCs w:val="20"/>
          <w:color w:val="auto"/>
        </w:rPr>
      </w:pPr>
    </w:p>
    <w:p>
      <w:pPr>
        <w:ind w:left="4860"/>
        <w:spacing w:after="0"/>
        <w:tabs>
          <w:tab w:leader="none" w:pos="5120" w:val="left"/>
          <w:tab w:leader="none" w:pos="5640" w:val="left"/>
          <w:tab w:leader="none" w:pos="6020" w:val="left"/>
          <w:tab w:leader="none" w:pos="6900" w:val="left"/>
          <w:tab w:leader="none" w:pos="7420" w:val="left"/>
        </w:tabs>
        <w:rPr>
          <w:sz w:val="20"/>
          <w:szCs w:val="20"/>
          <w:color w:val="auto"/>
        </w:rPr>
      </w:pPr>
      <w:r>
        <w:rPr>
          <w:rFonts w:ascii="Courier New" w:cs="Courier New" w:eastAsia="Courier New" w:hAnsi="Courier New"/>
          <w:sz w:val="12"/>
          <w:szCs w:val="12"/>
          <w:color w:val="auto"/>
        </w:rPr>
        <w:t>be</w:t>
        <w:tab/>
        <w:t>under</w:t>
        <w:tab/>
        <w:t>any</w:t>
        <w:tab/>
        <w:t>obligation</w:t>
        <w:tab/>
        <w:t>under</w:t>
        <w:tab/>
        <w:t>any</w:t>
      </w:r>
    </w:p>
    <w:p>
      <w:pPr>
        <w:spacing w:after="0" w:line="6" w:lineRule="exact"/>
        <w:rPr>
          <w:sz w:val="20"/>
          <w:szCs w:val="20"/>
          <w:color w:val="auto"/>
        </w:rPr>
      </w:pPr>
    </w:p>
    <w:p>
      <w:pPr>
        <w:ind w:left="4860"/>
        <w:spacing w:after="0"/>
        <w:tabs>
          <w:tab w:leader="none" w:pos="5580" w:val="left"/>
          <w:tab w:leader="none" w:pos="6380" w:val="left"/>
          <w:tab w:leader="none" w:pos="6680" w:val="left"/>
          <w:tab w:leader="none" w:pos="7420" w:val="left"/>
        </w:tabs>
        <w:rPr>
          <w:sz w:val="20"/>
          <w:szCs w:val="20"/>
          <w:color w:val="auto"/>
        </w:rPr>
      </w:pPr>
      <w:r>
        <w:rPr>
          <w:rFonts w:ascii="Courier New" w:cs="Courier New" w:eastAsia="Courier New" w:hAnsi="Courier New"/>
          <w:sz w:val="12"/>
          <w:szCs w:val="12"/>
          <w:color w:val="auto"/>
        </w:rPr>
        <w:t>Finance</w:t>
      </w:r>
      <w:r>
        <w:rPr>
          <w:sz w:val="20"/>
          <w:szCs w:val="20"/>
          <w:color w:val="auto"/>
        </w:rPr>
        <w:tab/>
      </w:r>
      <w:r>
        <w:rPr>
          <w:rFonts w:ascii="Courier New" w:cs="Courier New" w:eastAsia="Courier New" w:hAnsi="Courier New"/>
          <w:sz w:val="12"/>
          <w:szCs w:val="12"/>
          <w:color w:val="auto"/>
        </w:rPr>
        <w:t>Document</w:t>
        <w:tab/>
        <w:t>to</w:t>
        <w:tab/>
        <w:t>provide</w:t>
        <w:tab/>
        <w:t>any</w:t>
      </w:r>
    </w:p>
    <w:p>
      <w:pPr>
        <w:spacing w:after="0" w:line="6" w:lineRule="exact"/>
        <w:rPr>
          <w:sz w:val="20"/>
          <w:szCs w:val="20"/>
          <w:color w:val="auto"/>
        </w:rPr>
      </w:pPr>
    </w:p>
    <w:p>
      <w:pPr>
        <w:ind w:left="4860"/>
        <w:spacing w:after="0"/>
        <w:tabs>
          <w:tab w:leader="none" w:pos="5800" w:val="left"/>
          <w:tab w:leader="none" w:pos="6960" w:val="left"/>
          <w:tab w:leader="none" w:pos="7420" w:val="left"/>
        </w:tabs>
        <w:rPr>
          <w:sz w:val="20"/>
          <w:szCs w:val="20"/>
          <w:color w:val="auto"/>
        </w:rPr>
      </w:pPr>
      <w:r>
        <w:rPr>
          <w:rFonts w:ascii="Courier New" w:cs="Courier New" w:eastAsia="Courier New" w:hAnsi="Courier New"/>
          <w:sz w:val="12"/>
          <w:szCs w:val="12"/>
          <w:color w:val="auto"/>
        </w:rPr>
        <w:t>Financial</w:t>
      </w:r>
      <w:r>
        <w:rPr>
          <w:sz w:val="20"/>
          <w:szCs w:val="20"/>
          <w:color w:val="auto"/>
        </w:rPr>
        <w:tab/>
      </w:r>
      <w:r>
        <w:rPr>
          <w:rFonts w:ascii="Courier New" w:cs="Courier New" w:eastAsia="Courier New" w:hAnsi="Courier New"/>
          <w:sz w:val="12"/>
          <w:szCs w:val="12"/>
          <w:color w:val="auto"/>
        </w:rPr>
        <w:t>Indebtedness</w:t>
      </w:r>
      <w:r>
        <w:rPr>
          <w:sz w:val="20"/>
          <w:szCs w:val="20"/>
          <w:color w:val="auto"/>
        </w:rPr>
        <w:tab/>
      </w:r>
      <w:r>
        <w:rPr>
          <w:rFonts w:ascii="Courier New" w:cs="Courier New" w:eastAsia="Courier New" w:hAnsi="Courier New"/>
          <w:sz w:val="12"/>
          <w:szCs w:val="12"/>
          <w:color w:val="auto"/>
        </w:rPr>
        <w:t>to</w:t>
      </w:r>
      <w:r>
        <w:rPr>
          <w:sz w:val="20"/>
          <w:szCs w:val="20"/>
          <w:color w:val="auto"/>
        </w:rPr>
        <w:tab/>
      </w:r>
      <w:r>
        <w:rPr>
          <w:rFonts w:ascii="Courier New" w:cs="Courier New" w:eastAsia="Courier New" w:hAnsi="Courier New"/>
          <w:sz w:val="12"/>
          <w:szCs w:val="12"/>
          <w:color w:val="auto"/>
        </w:rPr>
        <w:t>the</w:t>
      </w:r>
    </w:p>
    <w:p>
      <w:pPr>
        <w:spacing w:after="0" w:line="6" w:lineRule="exact"/>
        <w:rPr>
          <w:sz w:val="20"/>
          <w:szCs w:val="20"/>
          <w:color w:val="auto"/>
        </w:rPr>
      </w:pPr>
    </w:p>
    <w:p>
      <w:pPr>
        <w:ind w:left="4860"/>
        <w:spacing w:after="0"/>
        <w:rPr>
          <w:sz w:val="20"/>
          <w:szCs w:val="20"/>
          <w:color w:val="auto"/>
        </w:rPr>
      </w:pPr>
      <w:r>
        <w:rPr>
          <w:rFonts w:ascii="Courier New" w:cs="Courier New" w:eastAsia="Courier New" w:hAnsi="Courier New"/>
          <w:sz w:val="12"/>
          <w:szCs w:val="12"/>
          <w:color w:val="auto"/>
        </w:rPr>
        <w:t>Borrower;</w:t>
      </w:r>
    </w:p>
    <w:p>
      <w:pPr>
        <w:spacing w:after="0" w:line="147" w:lineRule="exact"/>
        <w:rPr>
          <w:sz w:val="20"/>
          <w:szCs w:val="20"/>
          <w:color w:val="auto"/>
        </w:rPr>
      </w:pPr>
    </w:p>
    <w:p>
      <w:pPr>
        <w:ind w:left="4340"/>
        <w:spacing w:after="0"/>
        <w:tabs>
          <w:tab w:leader="none" w:pos="4840" w:val="left"/>
          <w:tab w:leader="none" w:pos="5200" w:val="left"/>
          <w:tab w:leader="none" w:pos="6020" w:val="left"/>
          <w:tab w:leader="none" w:pos="6900" w:val="left"/>
        </w:tabs>
        <w:rPr>
          <w:sz w:val="20"/>
          <w:szCs w:val="20"/>
          <w:color w:val="auto"/>
        </w:rPr>
      </w:pPr>
      <w:r>
        <w:rPr>
          <w:rFonts w:ascii="Courier New" w:cs="Courier New" w:eastAsia="Courier New" w:hAnsi="Courier New"/>
          <w:sz w:val="12"/>
          <w:szCs w:val="12"/>
          <w:color w:val="auto"/>
        </w:rPr>
        <w:t>(c)</w:t>
      </w:r>
      <w:r>
        <w:rPr>
          <w:sz w:val="20"/>
          <w:szCs w:val="20"/>
          <w:color w:val="auto"/>
        </w:rPr>
        <w:tab/>
      </w:r>
      <w:r>
        <w:rPr>
          <w:rFonts w:ascii="Courier New" w:cs="Courier New" w:eastAsia="Courier New" w:hAnsi="Courier New"/>
          <w:sz w:val="12"/>
          <w:szCs w:val="12"/>
          <w:color w:val="auto"/>
        </w:rPr>
        <w:t>the</w:t>
        <w:tab/>
        <w:t>terms and</w:t>
        <w:tab/>
        <w:t>conditions</w:t>
        <w:tab/>
        <w:t>(including</w:t>
      </w:r>
    </w:p>
    <w:p>
      <w:pPr>
        <w:spacing w:after="0" w:line="6" w:lineRule="exact"/>
        <w:rPr>
          <w:sz w:val="20"/>
          <w:szCs w:val="20"/>
          <w:color w:val="auto"/>
        </w:rPr>
      </w:pPr>
    </w:p>
    <w:p>
      <w:pPr>
        <w:ind w:left="4860"/>
        <w:spacing w:after="0"/>
        <w:tabs>
          <w:tab w:leader="none" w:pos="5640" w:val="left"/>
          <w:tab w:leader="none" w:pos="6520" w:val="left"/>
        </w:tabs>
        <w:rPr>
          <w:sz w:val="20"/>
          <w:szCs w:val="20"/>
          <w:color w:val="auto"/>
        </w:rPr>
      </w:pPr>
      <w:r>
        <w:rPr>
          <w:rFonts w:ascii="Courier New" w:cs="Courier New" w:eastAsia="Courier New" w:hAnsi="Courier New"/>
          <w:sz w:val="12"/>
          <w:szCs w:val="12"/>
          <w:color w:val="auto"/>
        </w:rPr>
        <w:t>financial</w:t>
        <w:tab/>
        <w:t>covenants,</w:t>
        <w:tab/>
        <w:t>if any) of such</w:t>
      </w:r>
    </w:p>
    <w:p>
      <w:pPr>
        <w:spacing w:after="0" w:line="6" w:lineRule="exact"/>
        <w:rPr>
          <w:sz w:val="20"/>
          <w:szCs w:val="20"/>
          <w:color w:val="auto"/>
        </w:rPr>
      </w:pPr>
    </w:p>
    <w:p>
      <w:pPr>
        <w:ind w:left="4860"/>
        <w:spacing w:after="0"/>
        <w:tabs>
          <w:tab w:leader="none" w:pos="5860" w:val="left"/>
          <w:tab w:leader="none" w:pos="6740" w:val="left"/>
          <w:tab w:leader="none" w:pos="7120" w:val="left"/>
          <w:tab w:leader="none" w:pos="7420" w:val="left"/>
        </w:tabs>
        <w:rPr>
          <w:sz w:val="20"/>
          <w:szCs w:val="20"/>
          <w:color w:val="auto"/>
        </w:rPr>
      </w:pPr>
      <w:r>
        <w:rPr>
          <w:rFonts w:ascii="Courier New" w:cs="Courier New" w:eastAsia="Courier New" w:hAnsi="Courier New"/>
          <w:sz w:val="12"/>
          <w:szCs w:val="12"/>
          <w:color w:val="auto"/>
        </w:rPr>
        <w:t>convertible</w:t>
        <w:tab/>
        <w:t>debentures</w:t>
        <w:tab/>
        <w:t>and</w:t>
        <w:tab/>
        <w:t>of</w:t>
        <w:tab/>
        <w:t>all</w:t>
      </w:r>
    </w:p>
    <w:p>
      <w:pPr>
        <w:spacing w:after="0" w:line="6" w:lineRule="exact"/>
        <w:rPr>
          <w:sz w:val="20"/>
          <w:szCs w:val="20"/>
          <w:color w:val="auto"/>
        </w:rPr>
      </w:pPr>
    </w:p>
    <w:p>
      <w:pPr>
        <w:ind w:left="4860"/>
        <w:spacing w:after="0"/>
        <w:tabs>
          <w:tab w:leader="none" w:pos="6160" w:val="left"/>
          <w:tab w:leader="none" w:pos="7340" w:val="left"/>
        </w:tabs>
        <w:rPr>
          <w:sz w:val="20"/>
          <w:szCs w:val="20"/>
          <w:color w:val="auto"/>
        </w:rPr>
      </w:pPr>
      <w:r>
        <w:rPr>
          <w:rFonts w:ascii="Courier New" w:cs="Courier New" w:eastAsia="Courier New" w:hAnsi="Courier New"/>
          <w:sz w:val="12"/>
          <w:szCs w:val="12"/>
          <w:color w:val="auto"/>
        </w:rPr>
        <w:t>instruments</w:t>
      </w:r>
      <w:r>
        <w:rPr>
          <w:sz w:val="20"/>
          <w:szCs w:val="20"/>
          <w:color w:val="auto"/>
        </w:rPr>
        <w:tab/>
      </w:r>
      <w:r>
        <w:rPr>
          <w:rFonts w:ascii="Courier New" w:cs="Courier New" w:eastAsia="Courier New" w:hAnsi="Courier New"/>
          <w:sz w:val="12"/>
          <w:szCs w:val="12"/>
          <w:color w:val="auto"/>
        </w:rPr>
        <w:t>governing</w:t>
      </w:r>
      <w:r>
        <w:rPr>
          <w:sz w:val="20"/>
          <w:szCs w:val="20"/>
          <w:color w:val="auto"/>
        </w:rPr>
        <w:tab/>
      </w:r>
      <w:r>
        <w:rPr>
          <w:rFonts w:ascii="Courier New" w:cs="Courier New" w:eastAsia="Courier New" w:hAnsi="Courier New"/>
          <w:sz w:val="12"/>
          <w:szCs w:val="12"/>
          <w:color w:val="auto"/>
        </w:rPr>
        <w:t>such</w:t>
      </w:r>
    </w:p>
    <w:p>
      <w:pPr>
        <w:spacing w:after="0" w:line="6" w:lineRule="exact"/>
        <w:rPr>
          <w:sz w:val="20"/>
          <w:szCs w:val="20"/>
          <w:color w:val="auto"/>
        </w:rPr>
      </w:pPr>
    </w:p>
    <w:p>
      <w:pPr>
        <w:ind w:left="4860"/>
        <w:spacing w:after="0"/>
        <w:tabs>
          <w:tab w:leader="none" w:pos="5860" w:val="left"/>
          <w:tab w:leader="none" w:pos="6740" w:val="left"/>
          <w:tab w:leader="none" w:pos="7340" w:val="left"/>
        </w:tabs>
        <w:rPr>
          <w:sz w:val="20"/>
          <w:szCs w:val="20"/>
          <w:color w:val="auto"/>
        </w:rPr>
      </w:pPr>
      <w:r>
        <w:rPr>
          <w:rFonts w:ascii="Courier New" w:cs="Courier New" w:eastAsia="Courier New" w:hAnsi="Courier New"/>
          <w:sz w:val="12"/>
          <w:szCs w:val="12"/>
          <w:color w:val="auto"/>
        </w:rPr>
        <w:t>convertible</w:t>
        <w:tab/>
        <w:t>debentures</w:t>
        <w:tab/>
        <w:t>(other</w:t>
        <w:tab/>
        <w:t>than</w:t>
      </w:r>
    </w:p>
    <w:p>
      <w:pPr>
        <w:spacing w:after="0" w:line="6" w:lineRule="exact"/>
        <w:rPr>
          <w:sz w:val="20"/>
          <w:szCs w:val="20"/>
          <w:color w:val="auto"/>
        </w:rPr>
      </w:pPr>
    </w:p>
    <w:p>
      <w:pPr>
        <w:ind w:left="4860"/>
        <w:spacing w:after="0"/>
        <w:tabs>
          <w:tab w:leader="none" w:pos="5340" w:val="left"/>
          <w:tab w:leader="none" w:pos="5940" w:val="left"/>
          <w:tab w:leader="none" w:pos="6740" w:val="left"/>
          <w:tab w:leader="none" w:pos="7120" w:val="left"/>
          <w:tab w:leader="none" w:pos="7480" w:val="left"/>
        </w:tabs>
        <w:rPr>
          <w:sz w:val="20"/>
          <w:szCs w:val="20"/>
          <w:color w:val="auto"/>
        </w:rPr>
      </w:pPr>
      <w:r>
        <w:rPr>
          <w:rFonts w:ascii="Courier New" w:cs="Courier New" w:eastAsia="Courier New" w:hAnsi="Courier New"/>
          <w:sz w:val="12"/>
          <w:szCs w:val="12"/>
          <w:color w:val="auto"/>
        </w:rPr>
        <w:t>those</w:t>
        <w:tab/>
        <w:t>terms</w:t>
        <w:tab/>
        <w:t>expressly</w:t>
        <w:tab/>
        <w:t>set</w:t>
        <w:tab/>
        <w:t>out</w:t>
        <w:tab/>
        <w:t>in</w:t>
      </w:r>
    </w:p>
    <w:p>
      <w:pPr>
        <w:spacing w:after="0" w:line="6" w:lineRule="exact"/>
        <w:rPr>
          <w:sz w:val="20"/>
          <w:szCs w:val="20"/>
          <w:color w:val="auto"/>
        </w:rPr>
      </w:pPr>
    </w:p>
    <w:p>
      <w:pPr>
        <w:ind w:left="4860"/>
        <w:spacing w:after="0"/>
        <w:tabs>
          <w:tab w:leader="none" w:pos="6380" w:val="left"/>
          <w:tab w:leader="none" w:pos="6960" w:val="left"/>
          <w:tab w:leader="none" w:pos="7480" w:val="left"/>
        </w:tabs>
        <w:rPr>
          <w:sz w:val="20"/>
          <w:szCs w:val="20"/>
          <w:color w:val="auto"/>
        </w:rPr>
      </w:pPr>
      <w:r>
        <w:rPr>
          <w:rFonts w:ascii="Courier New" w:cs="Courier New" w:eastAsia="Courier New" w:hAnsi="Courier New"/>
          <w:sz w:val="12"/>
          <w:szCs w:val="12"/>
          <w:color w:val="auto"/>
        </w:rPr>
        <w:t>paragraphs (d)-(i)</w:t>
        <w:tab/>
        <w:t>below)</w:t>
        <w:tab/>
        <w:t>shall</w:t>
        <w:tab/>
        <w:t>be</w:t>
      </w:r>
    </w:p>
    <w:p>
      <w:pPr>
        <w:spacing w:after="0" w:line="6" w:lineRule="exact"/>
        <w:rPr>
          <w:sz w:val="20"/>
          <w:szCs w:val="20"/>
          <w:color w:val="auto"/>
        </w:rPr>
      </w:pPr>
    </w:p>
    <w:p>
      <w:pPr>
        <w:ind w:left="4860"/>
        <w:spacing w:after="0"/>
        <w:tabs>
          <w:tab w:leader="none" w:pos="7040" w:val="left"/>
        </w:tabs>
        <w:rPr>
          <w:sz w:val="20"/>
          <w:szCs w:val="20"/>
          <w:color w:val="auto"/>
        </w:rPr>
      </w:pPr>
      <w:r>
        <w:rPr>
          <w:rFonts w:ascii="Courier New" w:cs="Courier New" w:eastAsia="Courier New" w:hAnsi="Courier New"/>
          <w:sz w:val="12"/>
          <w:szCs w:val="12"/>
          <w:color w:val="auto"/>
        </w:rPr>
        <w:t>subject to the prior written</w:t>
        <w:tab/>
        <w:t>approval</w:t>
      </w:r>
    </w:p>
    <w:p>
      <w:pPr>
        <w:spacing w:after="0" w:line="6" w:lineRule="exact"/>
        <w:rPr>
          <w:sz w:val="20"/>
          <w:szCs w:val="20"/>
          <w:color w:val="auto"/>
        </w:rPr>
      </w:pPr>
    </w:p>
    <w:p>
      <w:pPr>
        <w:ind w:left="4860"/>
        <w:spacing w:after="0"/>
        <w:tabs>
          <w:tab w:leader="none" w:pos="5120" w:val="left"/>
          <w:tab w:leader="none" w:pos="5500" w:val="left"/>
          <w:tab w:leader="none" w:pos="6160" w:val="left"/>
          <w:tab w:leader="none" w:pos="6960" w:val="left"/>
          <w:tab w:leader="none" w:pos="7420" w:val="left"/>
        </w:tabs>
        <w:rPr>
          <w:sz w:val="20"/>
          <w:szCs w:val="20"/>
          <w:color w:val="auto"/>
        </w:rPr>
      </w:pPr>
      <w:r>
        <w:rPr>
          <w:rFonts w:ascii="Courier New" w:cs="Courier New" w:eastAsia="Courier New" w:hAnsi="Courier New"/>
          <w:sz w:val="12"/>
          <w:szCs w:val="12"/>
          <w:color w:val="auto"/>
        </w:rPr>
        <w:t>of</w:t>
        <w:tab/>
        <w:t>the</w:t>
        <w:tab/>
        <w:t>Banks,</w:t>
        <w:tab/>
        <w:t>provided</w:t>
        <w:tab/>
        <w:t>that</w:t>
        <w:tab/>
        <w:t>the</w:t>
      </w:r>
    </w:p>
    <w:p>
      <w:pPr>
        <w:spacing w:after="0" w:line="6" w:lineRule="exact"/>
        <w:rPr>
          <w:sz w:val="20"/>
          <w:szCs w:val="20"/>
          <w:color w:val="auto"/>
        </w:rPr>
      </w:pPr>
    </w:p>
    <w:p>
      <w:pPr>
        <w:ind w:left="4860"/>
        <w:spacing w:after="0"/>
        <w:tabs>
          <w:tab w:leader="none" w:pos="5580" w:val="left"/>
          <w:tab w:leader="none" w:pos="6160" w:val="left"/>
          <w:tab w:leader="none" w:pos="6680" w:val="left"/>
          <w:tab w:leader="none" w:pos="7200" w:val="left"/>
        </w:tabs>
        <w:rPr>
          <w:sz w:val="20"/>
          <w:szCs w:val="20"/>
          <w:color w:val="auto"/>
        </w:rPr>
      </w:pPr>
      <w:r>
        <w:rPr>
          <w:rFonts w:ascii="Courier New" w:cs="Courier New" w:eastAsia="Courier New" w:hAnsi="Courier New"/>
          <w:sz w:val="12"/>
          <w:szCs w:val="12"/>
          <w:color w:val="auto"/>
        </w:rPr>
        <w:t>approval</w:t>
        <w:tab/>
        <w:t>of the</w:t>
        <w:tab/>
        <w:t>Banks</w:t>
        <w:tab/>
        <w:t>shall</w:t>
        <w:tab/>
        <w:t>not be</w:t>
      </w:r>
    </w:p>
    <w:p>
      <w:pPr>
        <w:spacing w:after="0" w:line="6" w:lineRule="exact"/>
        <w:rPr>
          <w:sz w:val="20"/>
          <w:szCs w:val="20"/>
          <w:color w:val="auto"/>
        </w:rPr>
      </w:pPr>
    </w:p>
    <w:p>
      <w:pPr>
        <w:ind w:left="4860"/>
        <w:spacing w:after="0"/>
        <w:tabs>
          <w:tab w:leader="none" w:pos="5640" w:val="left"/>
          <w:tab w:leader="none" w:pos="6160" w:val="left"/>
          <w:tab w:leader="none" w:pos="6900" w:val="left"/>
          <w:tab w:leader="none" w:pos="7260" w:val="left"/>
        </w:tabs>
        <w:rPr>
          <w:sz w:val="20"/>
          <w:szCs w:val="20"/>
          <w:color w:val="auto"/>
        </w:rPr>
      </w:pPr>
      <w:r>
        <w:rPr>
          <w:rFonts w:ascii="Courier New" w:cs="Courier New" w:eastAsia="Courier New" w:hAnsi="Courier New"/>
          <w:sz w:val="12"/>
          <w:szCs w:val="12"/>
          <w:color w:val="auto"/>
        </w:rPr>
        <w:t>required</w:t>
        <w:tab/>
        <w:t>with</w:t>
        <w:tab/>
        <w:t>respect</w:t>
        <w:tab/>
        <w:t>to</w:t>
        <w:tab/>
        <w:t>those</w:t>
      </w:r>
    </w:p>
    <w:p>
      <w:pPr>
        <w:spacing w:after="0" w:line="6" w:lineRule="exact"/>
        <w:rPr>
          <w:sz w:val="20"/>
          <w:szCs w:val="20"/>
          <w:color w:val="auto"/>
        </w:rPr>
      </w:pPr>
    </w:p>
    <w:p>
      <w:pPr>
        <w:ind w:left="4860"/>
        <w:spacing w:after="0"/>
        <w:tabs>
          <w:tab w:leader="none" w:pos="5800" w:val="left"/>
          <w:tab w:leader="none" w:pos="6680" w:val="left"/>
        </w:tabs>
        <w:rPr>
          <w:sz w:val="20"/>
          <w:szCs w:val="20"/>
          <w:color w:val="auto"/>
        </w:rPr>
      </w:pPr>
      <w:r>
        <w:rPr>
          <w:rFonts w:ascii="Courier New" w:cs="Courier New" w:eastAsia="Courier New" w:hAnsi="Courier New"/>
          <w:sz w:val="12"/>
          <w:szCs w:val="12"/>
          <w:color w:val="auto"/>
        </w:rPr>
        <w:t>convertible</w:t>
        <w:tab/>
        <w:t>debentures</w:t>
        <w:tab/>
        <w:t>that meet the</w:t>
      </w:r>
    </w:p>
    <w:p>
      <w:pPr>
        <w:spacing w:after="0" w:line="6" w:lineRule="exact"/>
        <w:rPr>
          <w:sz w:val="20"/>
          <w:szCs w:val="20"/>
          <w:color w:val="auto"/>
        </w:rPr>
      </w:pPr>
    </w:p>
    <w:p>
      <w:pPr>
        <w:ind w:left="4860"/>
        <w:spacing w:after="0"/>
        <w:tabs>
          <w:tab w:leader="none" w:pos="5800" w:val="left"/>
          <w:tab w:leader="none" w:pos="6160" w:val="left"/>
          <w:tab w:leader="none" w:pos="6680" w:val="left"/>
          <w:tab w:leader="none" w:pos="6960" w:val="left"/>
        </w:tabs>
        <w:rPr>
          <w:sz w:val="20"/>
          <w:szCs w:val="20"/>
          <w:color w:val="auto"/>
        </w:rPr>
      </w:pPr>
      <w:r>
        <w:rPr>
          <w:rFonts w:ascii="Courier New" w:cs="Courier New" w:eastAsia="Courier New" w:hAnsi="Courier New"/>
          <w:sz w:val="12"/>
          <w:szCs w:val="12"/>
          <w:color w:val="auto"/>
        </w:rPr>
        <w:t>conditions</w:t>
        <w:tab/>
        <w:t>set</w:t>
        <w:tab/>
        <w:t>forth</w:t>
        <w:tab/>
        <w:t>in</w:t>
        <w:tab/>
        <w:t>paragraph</w:t>
      </w:r>
    </w:p>
    <w:p>
      <w:pPr>
        <w:spacing w:after="0" w:line="6" w:lineRule="exact"/>
        <w:rPr>
          <w:sz w:val="20"/>
          <w:szCs w:val="20"/>
          <w:color w:val="auto"/>
        </w:rPr>
      </w:pPr>
    </w:p>
    <w:p>
      <w:pPr>
        <w:ind w:left="4860"/>
        <w:spacing w:after="0"/>
        <w:rPr>
          <w:sz w:val="20"/>
          <w:szCs w:val="20"/>
          <w:color w:val="auto"/>
        </w:rPr>
      </w:pPr>
      <w:r>
        <w:rPr>
          <w:rFonts w:ascii="Courier New" w:cs="Courier New" w:eastAsia="Courier New" w:hAnsi="Courier New"/>
          <w:sz w:val="12"/>
          <w:szCs w:val="12"/>
          <w:color w:val="auto"/>
        </w:rPr>
        <w:t>(g)(ii) and paragraph (g)(iii) below;</w:t>
      </w:r>
    </w:p>
    <w:p>
      <w:pPr>
        <w:spacing w:after="0" w:line="289"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- 42 -</w:t>
      </w:r>
    </w:p>
    <w:p>
      <w:pPr>
        <w:spacing w:after="0" w:line="200" w:lineRule="exact"/>
        <w:rPr>
          <w:sz w:val="20"/>
          <w:szCs w:val="20"/>
          <w:color w:val="auto"/>
        </w:rPr>
      </w:pPr>
    </w:p>
    <w:p>
      <w:pPr>
        <w:spacing w:after="0" w:line="353" w:lineRule="exact"/>
        <w:rPr>
          <w:sz w:val="20"/>
          <w:szCs w:val="20"/>
          <w:color w:val="auto"/>
        </w:rPr>
      </w:pPr>
    </w:p>
    <w:p>
      <w:pPr>
        <w:jc w:val="both"/>
        <w:ind w:left="4340"/>
        <w:spacing w:after="0"/>
        <w:tabs>
          <w:tab w:leader="none" w:pos="4840" w:val="left"/>
          <w:tab w:leader="none" w:pos="5200" w:val="left"/>
          <w:tab w:leader="none" w:pos="5720" w:val="left"/>
          <w:tab w:leader="none" w:pos="6160" w:val="left"/>
          <w:tab w:leader="none" w:pos="7040" w:val="left"/>
          <w:tab w:leader="none" w:pos="7340" w:val="left"/>
        </w:tabs>
        <w:rPr>
          <w:sz w:val="20"/>
          <w:szCs w:val="20"/>
          <w:color w:val="auto"/>
        </w:rPr>
      </w:pPr>
      <w:r>
        <w:rPr>
          <w:rFonts w:ascii="Courier New" w:cs="Courier New" w:eastAsia="Courier New" w:hAnsi="Courier New"/>
          <w:sz w:val="12"/>
          <w:szCs w:val="12"/>
          <w:color w:val="auto"/>
        </w:rPr>
        <w:t>(d)</w:t>
      </w:r>
      <w:r>
        <w:rPr>
          <w:sz w:val="20"/>
          <w:szCs w:val="20"/>
          <w:color w:val="auto"/>
        </w:rPr>
        <w:tab/>
      </w:r>
      <w:r>
        <w:rPr>
          <w:rFonts w:ascii="Courier New" w:cs="Courier New" w:eastAsia="Courier New" w:hAnsi="Courier New"/>
          <w:sz w:val="12"/>
          <w:szCs w:val="12"/>
          <w:color w:val="auto"/>
        </w:rPr>
        <w:t>the</w:t>
        <w:tab/>
        <w:t>terms</w:t>
        <w:tab/>
        <w:t>and</w:t>
        <w:tab/>
        <w:t>conditions</w:t>
        <w:tab/>
        <w:t>of</w:t>
        <w:tab/>
        <w:t>such</w:t>
      </w:r>
    </w:p>
    <w:p>
      <w:pPr>
        <w:spacing w:after="0" w:line="6" w:lineRule="exact"/>
        <w:rPr>
          <w:sz w:val="20"/>
          <w:szCs w:val="20"/>
          <w:color w:val="auto"/>
        </w:rPr>
      </w:pPr>
    </w:p>
    <w:p>
      <w:pPr>
        <w:jc w:val="both"/>
        <w:ind w:left="4860"/>
        <w:spacing w:after="0"/>
        <w:tabs>
          <w:tab w:leader="none" w:pos="5940" w:val="left"/>
          <w:tab w:leader="none" w:pos="6900" w:val="left"/>
          <w:tab w:leader="none" w:pos="7420" w:val="left"/>
        </w:tabs>
        <w:rPr>
          <w:sz w:val="20"/>
          <w:szCs w:val="20"/>
          <w:color w:val="auto"/>
        </w:rPr>
      </w:pPr>
      <w:r>
        <w:rPr>
          <w:rFonts w:ascii="Courier New" w:cs="Courier New" w:eastAsia="Courier New" w:hAnsi="Courier New"/>
          <w:sz w:val="12"/>
          <w:szCs w:val="12"/>
          <w:color w:val="auto"/>
        </w:rPr>
        <w:t>convertible</w:t>
      </w:r>
      <w:r>
        <w:rPr>
          <w:sz w:val="20"/>
          <w:szCs w:val="20"/>
          <w:color w:val="auto"/>
        </w:rPr>
        <w:tab/>
      </w:r>
      <w:r>
        <w:rPr>
          <w:rFonts w:ascii="Courier New" w:cs="Courier New" w:eastAsia="Courier New" w:hAnsi="Courier New"/>
          <w:sz w:val="12"/>
          <w:szCs w:val="12"/>
          <w:color w:val="auto"/>
        </w:rPr>
        <w:t>debentures</w:t>
        <w:tab/>
        <w:t>(and</w:t>
        <w:tab/>
        <w:t>all</w:t>
      </w:r>
    </w:p>
    <w:p>
      <w:pPr>
        <w:spacing w:after="0" w:line="6" w:lineRule="exact"/>
        <w:rPr>
          <w:sz w:val="20"/>
          <w:szCs w:val="20"/>
          <w:color w:val="auto"/>
        </w:rPr>
      </w:pPr>
    </w:p>
    <w:p>
      <w:pPr>
        <w:ind w:left="4860"/>
        <w:spacing w:after="0"/>
        <w:tabs>
          <w:tab w:leader="none" w:pos="6160" w:val="left"/>
          <w:tab w:leader="none" w:pos="7340" w:val="left"/>
        </w:tabs>
        <w:rPr>
          <w:sz w:val="20"/>
          <w:szCs w:val="20"/>
          <w:color w:val="auto"/>
        </w:rPr>
      </w:pPr>
      <w:r>
        <w:rPr>
          <w:rFonts w:ascii="Courier New" w:cs="Courier New" w:eastAsia="Courier New" w:hAnsi="Courier New"/>
          <w:sz w:val="12"/>
          <w:szCs w:val="12"/>
          <w:color w:val="auto"/>
        </w:rPr>
        <w:t>instruments</w:t>
      </w:r>
      <w:r>
        <w:rPr>
          <w:sz w:val="20"/>
          <w:szCs w:val="20"/>
          <w:color w:val="auto"/>
        </w:rPr>
        <w:tab/>
      </w:r>
      <w:r>
        <w:rPr>
          <w:rFonts w:ascii="Courier New" w:cs="Courier New" w:eastAsia="Courier New" w:hAnsi="Courier New"/>
          <w:sz w:val="12"/>
          <w:szCs w:val="12"/>
          <w:color w:val="auto"/>
        </w:rPr>
        <w:t>governing</w:t>
      </w:r>
      <w:r>
        <w:rPr>
          <w:sz w:val="20"/>
          <w:szCs w:val="20"/>
          <w:color w:val="auto"/>
        </w:rPr>
        <w:tab/>
      </w:r>
      <w:r>
        <w:rPr>
          <w:rFonts w:ascii="Courier New" w:cs="Courier New" w:eastAsia="Courier New" w:hAnsi="Courier New"/>
          <w:sz w:val="12"/>
          <w:szCs w:val="12"/>
          <w:color w:val="auto"/>
        </w:rPr>
        <w:t>such</w:t>
      </w:r>
    </w:p>
    <w:p>
      <w:pPr>
        <w:spacing w:after="0" w:line="6" w:lineRule="exact"/>
        <w:rPr>
          <w:sz w:val="20"/>
          <w:szCs w:val="20"/>
          <w:color w:val="auto"/>
        </w:rPr>
      </w:pPr>
    </w:p>
    <w:p>
      <w:pPr>
        <w:ind w:left="4860"/>
        <w:spacing w:after="0"/>
        <w:rPr>
          <w:sz w:val="20"/>
          <w:szCs w:val="20"/>
          <w:color w:val="auto"/>
        </w:rPr>
      </w:pPr>
      <w:r>
        <w:rPr>
          <w:rFonts w:ascii="Courier New" w:cs="Courier New" w:eastAsia="Courier New" w:hAnsi="Courier New"/>
          <w:sz w:val="12"/>
          <w:szCs w:val="12"/>
          <w:color w:val="auto"/>
        </w:rPr>
        <w:t>convertible debentures) shall:</w:t>
      </w:r>
    </w:p>
    <w:p>
      <w:pPr>
        <w:spacing w:after="0" w:line="147" w:lineRule="exact"/>
        <w:rPr>
          <w:sz w:val="20"/>
          <w:szCs w:val="20"/>
          <w:color w:val="auto"/>
        </w:rPr>
      </w:pPr>
    </w:p>
    <w:p>
      <w:pPr>
        <w:ind w:left="4860"/>
        <w:spacing w:after="0"/>
        <w:tabs>
          <w:tab w:leader="none" w:pos="5340" w:val="left"/>
          <w:tab w:leader="none" w:pos="6080" w:val="left"/>
          <w:tab w:leader="none" w:pos="6520" w:val="left"/>
          <w:tab w:leader="none" w:pos="6900" w:val="left"/>
          <w:tab w:leader="none" w:pos="7480" w:val="left"/>
        </w:tabs>
        <w:rPr>
          <w:sz w:val="20"/>
          <w:szCs w:val="20"/>
          <w:color w:val="auto"/>
        </w:rPr>
      </w:pPr>
      <w:r>
        <w:rPr>
          <w:rFonts w:ascii="Courier New" w:cs="Courier New" w:eastAsia="Courier New" w:hAnsi="Courier New"/>
          <w:sz w:val="12"/>
          <w:szCs w:val="12"/>
          <w:color w:val="auto"/>
        </w:rPr>
        <w:t>(i)</w:t>
      </w:r>
      <w:r>
        <w:rPr>
          <w:sz w:val="20"/>
          <w:szCs w:val="20"/>
          <w:color w:val="auto"/>
        </w:rPr>
        <w:tab/>
      </w:r>
      <w:r>
        <w:rPr>
          <w:rFonts w:ascii="Courier New" w:cs="Courier New" w:eastAsia="Courier New" w:hAnsi="Courier New"/>
          <w:sz w:val="12"/>
          <w:szCs w:val="12"/>
          <w:color w:val="auto"/>
        </w:rPr>
        <w:t>provide</w:t>
        <w:tab/>
        <w:t>that</w:t>
        <w:tab/>
        <w:t>an</w:t>
        <w:tab/>
        <w:t>event</w:t>
        <w:tab/>
        <w:t>of</w:t>
      </w:r>
    </w:p>
    <w:p>
      <w:pPr>
        <w:spacing w:after="0" w:line="6" w:lineRule="exact"/>
        <w:rPr>
          <w:sz w:val="20"/>
          <w:szCs w:val="20"/>
          <w:color w:val="auto"/>
        </w:rPr>
      </w:pPr>
    </w:p>
    <w:p>
      <w:pPr>
        <w:ind w:left="5360"/>
        <w:spacing w:after="0"/>
        <w:tabs>
          <w:tab w:leader="none" w:pos="6820" w:val="left"/>
        </w:tabs>
        <w:rPr>
          <w:sz w:val="20"/>
          <w:szCs w:val="20"/>
          <w:color w:val="auto"/>
        </w:rPr>
      </w:pPr>
      <w:r>
        <w:rPr>
          <w:rFonts w:ascii="Courier New" w:cs="Courier New" w:eastAsia="Courier New" w:hAnsi="Courier New"/>
          <w:sz w:val="12"/>
          <w:szCs w:val="12"/>
          <w:color w:val="auto"/>
        </w:rPr>
        <w:t>default under such</w:t>
        <w:tab/>
        <w:t>convertible</w:t>
      </w:r>
    </w:p>
    <w:p>
      <w:pPr>
        <w:spacing w:after="0" w:line="6" w:lineRule="exact"/>
        <w:rPr>
          <w:sz w:val="20"/>
          <w:szCs w:val="20"/>
          <w:color w:val="auto"/>
        </w:rPr>
      </w:pPr>
    </w:p>
    <w:p>
      <w:pPr>
        <w:ind w:left="5360"/>
        <w:spacing w:after="0"/>
        <w:tabs>
          <w:tab w:leader="none" w:pos="6240" w:val="left"/>
        </w:tabs>
        <w:rPr>
          <w:sz w:val="20"/>
          <w:szCs w:val="20"/>
          <w:color w:val="auto"/>
        </w:rPr>
      </w:pPr>
      <w:r>
        <w:rPr>
          <w:rFonts w:ascii="Courier New" w:cs="Courier New" w:eastAsia="Courier New" w:hAnsi="Courier New"/>
          <w:sz w:val="12"/>
          <w:szCs w:val="12"/>
          <w:color w:val="auto"/>
        </w:rPr>
        <w:t>debentures</w:t>
        <w:tab/>
        <w:t>shall occur only in</w:t>
      </w:r>
    </w:p>
    <w:p>
      <w:pPr>
        <w:spacing w:after="0" w:line="6" w:lineRule="exact"/>
        <w:rPr>
          <w:sz w:val="20"/>
          <w:szCs w:val="20"/>
          <w:color w:val="auto"/>
        </w:rPr>
      </w:pPr>
    </w:p>
    <w:p>
      <w:pPr>
        <w:ind w:left="5360"/>
        <w:spacing w:after="0"/>
        <w:rPr>
          <w:sz w:val="20"/>
          <w:szCs w:val="20"/>
          <w:color w:val="auto"/>
        </w:rPr>
      </w:pPr>
      <w:r>
        <w:rPr>
          <w:rFonts w:ascii="Courier New" w:cs="Courier New" w:eastAsia="Courier New" w:hAnsi="Courier New"/>
          <w:sz w:val="12"/>
          <w:szCs w:val="12"/>
          <w:color w:val="auto"/>
        </w:rPr>
        <w:t>the event that:</w:t>
      </w:r>
    </w:p>
    <w:p>
      <w:pPr>
        <w:spacing w:after="0" w:line="147" w:lineRule="exact"/>
        <w:rPr>
          <w:sz w:val="20"/>
          <w:szCs w:val="20"/>
          <w:color w:val="auto"/>
        </w:rPr>
      </w:pPr>
    </w:p>
    <w:p>
      <w:pPr>
        <w:ind w:left="5360"/>
        <w:spacing w:after="0"/>
        <w:tabs>
          <w:tab w:leader="none" w:pos="5860" w:val="left"/>
          <w:tab w:leader="none" w:pos="6460" w:val="left"/>
          <w:tab w:leader="none" w:pos="6960" w:val="left"/>
          <w:tab w:leader="none" w:pos="7480" w:val="left"/>
        </w:tabs>
        <w:rPr>
          <w:sz w:val="20"/>
          <w:szCs w:val="20"/>
          <w:color w:val="auto"/>
        </w:rPr>
      </w:pPr>
      <w:r>
        <w:rPr>
          <w:rFonts w:ascii="Courier New" w:cs="Courier New" w:eastAsia="Courier New" w:hAnsi="Courier New"/>
          <w:sz w:val="12"/>
          <w:szCs w:val="12"/>
          <w:color w:val="auto"/>
        </w:rPr>
        <w:t>(1)</w:t>
      </w:r>
      <w:r>
        <w:rPr>
          <w:sz w:val="20"/>
          <w:szCs w:val="20"/>
          <w:color w:val="auto"/>
        </w:rPr>
        <w:tab/>
      </w:r>
      <w:r>
        <w:rPr>
          <w:rFonts w:ascii="Courier New" w:cs="Courier New" w:eastAsia="Courier New" w:hAnsi="Courier New"/>
          <w:sz w:val="12"/>
          <w:szCs w:val="12"/>
          <w:color w:val="auto"/>
        </w:rPr>
        <w:t>there</w:t>
        <w:tab/>
        <w:t>shall</w:t>
        <w:tab/>
        <w:t>occur</w:t>
        <w:tab/>
        <w:t>in</w:t>
      </w:r>
    </w:p>
    <w:p>
      <w:pPr>
        <w:spacing w:after="0" w:line="6" w:lineRule="exact"/>
        <w:rPr>
          <w:sz w:val="20"/>
          <w:szCs w:val="20"/>
          <w:color w:val="auto"/>
        </w:rPr>
      </w:pPr>
    </w:p>
    <w:p>
      <w:pPr>
        <w:ind w:left="5880"/>
        <w:spacing w:after="0"/>
        <w:tabs>
          <w:tab w:leader="none" w:pos="7040" w:val="left"/>
        </w:tabs>
        <w:rPr>
          <w:sz w:val="20"/>
          <w:szCs w:val="20"/>
          <w:color w:val="auto"/>
        </w:rPr>
      </w:pPr>
      <w:r>
        <w:rPr>
          <w:rFonts w:ascii="Courier New" w:cs="Courier New" w:eastAsia="Courier New" w:hAnsi="Courier New"/>
          <w:sz w:val="12"/>
          <w:szCs w:val="12"/>
          <w:color w:val="auto"/>
        </w:rPr>
        <w:t>respect of the</w:t>
        <w:tab/>
        <w:t>Borrower</w:t>
      </w:r>
    </w:p>
    <w:p>
      <w:pPr>
        <w:spacing w:after="0" w:line="6" w:lineRule="exact"/>
        <w:rPr>
          <w:sz w:val="20"/>
          <w:szCs w:val="20"/>
          <w:color w:val="auto"/>
        </w:rPr>
      </w:pPr>
    </w:p>
    <w:p>
      <w:pPr>
        <w:ind w:left="5880"/>
        <w:spacing w:after="0"/>
        <w:tabs>
          <w:tab w:leader="none" w:pos="6820" w:val="left"/>
          <w:tab w:leader="none" w:pos="7480" w:val="left"/>
        </w:tabs>
        <w:rPr>
          <w:sz w:val="20"/>
          <w:szCs w:val="20"/>
          <w:color w:val="auto"/>
        </w:rPr>
      </w:pPr>
      <w:r>
        <w:rPr>
          <w:rFonts w:ascii="Courier New" w:cs="Courier New" w:eastAsia="Courier New" w:hAnsi="Courier New"/>
          <w:sz w:val="12"/>
          <w:szCs w:val="12"/>
          <w:color w:val="auto"/>
        </w:rPr>
        <w:t>an Event of</w:t>
        <w:tab/>
        <w:t>Default</w:t>
        <w:tab/>
        <w:t>as</w:t>
      </w:r>
    </w:p>
    <w:p>
      <w:pPr>
        <w:spacing w:after="0" w:line="6" w:lineRule="exact"/>
        <w:rPr>
          <w:sz w:val="20"/>
          <w:szCs w:val="20"/>
          <w:color w:val="auto"/>
        </w:rPr>
      </w:pPr>
    </w:p>
    <w:p>
      <w:pPr>
        <w:ind w:left="5880"/>
        <w:spacing w:after="0"/>
        <w:tabs>
          <w:tab w:leader="none" w:pos="6900" w:val="left"/>
          <w:tab w:leader="none" w:pos="7480" w:val="left"/>
        </w:tabs>
        <w:rPr>
          <w:sz w:val="20"/>
          <w:szCs w:val="20"/>
          <w:color w:val="auto"/>
        </w:rPr>
      </w:pPr>
      <w:r>
        <w:rPr>
          <w:rFonts w:ascii="Courier New" w:cs="Courier New" w:eastAsia="Courier New" w:hAnsi="Courier New"/>
          <w:sz w:val="12"/>
          <w:szCs w:val="12"/>
          <w:color w:val="auto"/>
        </w:rPr>
        <w:t>referred</w:t>
      </w:r>
      <w:r>
        <w:rPr>
          <w:sz w:val="20"/>
          <w:szCs w:val="20"/>
          <w:color w:val="auto"/>
        </w:rPr>
        <w:tab/>
      </w:r>
      <w:r>
        <w:rPr>
          <w:rFonts w:ascii="Courier New" w:cs="Courier New" w:eastAsia="Courier New" w:hAnsi="Courier New"/>
          <w:sz w:val="12"/>
          <w:szCs w:val="12"/>
          <w:color w:val="auto"/>
        </w:rPr>
        <w:t>to</w:t>
      </w:r>
      <w:r>
        <w:rPr>
          <w:sz w:val="20"/>
          <w:szCs w:val="20"/>
          <w:color w:val="auto"/>
        </w:rPr>
        <w:tab/>
      </w:r>
      <w:r>
        <w:rPr>
          <w:rFonts w:ascii="Courier New" w:cs="Courier New" w:eastAsia="Courier New" w:hAnsi="Courier New"/>
          <w:sz w:val="12"/>
          <w:szCs w:val="12"/>
          <w:color w:val="auto"/>
        </w:rPr>
        <w:t>in</w:t>
      </w:r>
    </w:p>
    <w:p>
      <w:pPr>
        <w:spacing w:after="0" w:line="6" w:lineRule="exact"/>
        <w:rPr>
          <w:sz w:val="20"/>
          <w:szCs w:val="20"/>
          <w:color w:val="auto"/>
        </w:rPr>
      </w:pPr>
    </w:p>
    <w:p>
      <w:pPr>
        <w:ind w:left="5880"/>
        <w:spacing w:after="0"/>
        <w:rPr>
          <w:sz w:val="20"/>
          <w:szCs w:val="20"/>
          <w:color w:val="auto"/>
        </w:rPr>
      </w:pPr>
      <w:r>
        <w:rPr>
          <w:rFonts w:ascii="Courier New" w:cs="Courier New" w:eastAsia="Courier New" w:hAnsi="Courier New"/>
          <w:sz w:val="12"/>
          <w:szCs w:val="12"/>
          <w:color w:val="auto"/>
        </w:rPr>
        <w:t>clause 17.8 below; or</w:t>
      </w:r>
    </w:p>
    <w:p>
      <w:pPr>
        <w:spacing w:after="0" w:line="147" w:lineRule="exact"/>
        <w:rPr>
          <w:sz w:val="20"/>
          <w:szCs w:val="20"/>
          <w:color w:val="auto"/>
        </w:rPr>
      </w:pPr>
    </w:p>
    <w:p>
      <w:pPr>
        <w:ind w:left="5360"/>
        <w:spacing w:after="0"/>
        <w:tabs>
          <w:tab w:leader="none" w:pos="5860" w:val="left"/>
          <w:tab w:leader="none" w:pos="6900" w:val="left"/>
        </w:tabs>
        <w:rPr>
          <w:sz w:val="20"/>
          <w:szCs w:val="20"/>
          <w:color w:val="auto"/>
        </w:rPr>
      </w:pPr>
      <w:r>
        <w:rPr>
          <w:rFonts w:ascii="Courier New" w:cs="Courier New" w:eastAsia="Courier New" w:hAnsi="Courier New"/>
          <w:sz w:val="12"/>
          <w:szCs w:val="12"/>
          <w:color w:val="auto"/>
        </w:rPr>
        <w:t>(2)</w:t>
      </w:r>
      <w:r>
        <w:rPr>
          <w:sz w:val="20"/>
          <w:szCs w:val="20"/>
          <w:color w:val="auto"/>
        </w:rPr>
        <w:tab/>
      </w:r>
      <w:r>
        <w:rPr>
          <w:rFonts w:ascii="Courier New" w:cs="Courier New" w:eastAsia="Courier New" w:hAnsi="Courier New"/>
          <w:sz w:val="12"/>
          <w:szCs w:val="12"/>
          <w:color w:val="auto"/>
        </w:rPr>
        <w:t>the Borrower</w:t>
        <w:tab/>
        <w:t>shall fail</w:t>
      </w:r>
    </w:p>
    <w:p>
      <w:pPr>
        <w:spacing w:after="0" w:line="6" w:lineRule="exact"/>
        <w:rPr>
          <w:sz w:val="20"/>
          <w:szCs w:val="20"/>
          <w:color w:val="auto"/>
        </w:rPr>
      </w:pPr>
    </w:p>
    <w:p>
      <w:pPr>
        <w:ind w:left="5880"/>
        <w:spacing w:after="0"/>
        <w:tabs>
          <w:tab w:leader="none" w:pos="6160" w:val="left"/>
          <w:tab w:leader="none" w:pos="6520" w:val="left"/>
          <w:tab w:leader="none" w:pos="6900" w:val="left"/>
          <w:tab w:leader="none" w:pos="7480" w:val="left"/>
        </w:tabs>
        <w:rPr>
          <w:sz w:val="20"/>
          <w:szCs w:val="20"/>
          <w:color w:val="auto"/>
        </w:rPr>
      </w:pPr>
      <w:r>
        <w:rPr>
          <w:rFonts w:ascii="Courier New" w:cs="Courier New" w:eastAsia="Courier New" w:hAnsi="Courier New"/>
          <w:sz w:val="12"/>
          <w:szCs w:val="12"/>
          <w:color w:val="auto"/>
        </w:rPr>
        <w:t>to</w:t>
        <w:tab/>
        <w:t>pay</w:t>
        <w:tab/>
        <w:t>an</w:t>
        <w:tab/>
        <w:t>amount</w:t>
        <w:tab/>
        <w:t>of</w:t>
      </w:r>
    </w:p>
    <w:p>
      <w:pPr>
        <w:spacing w:after="0" w:line="6" w:lineRule="exact"/>
        <w:rPr>
          <w:sz w:val="20"/>
          <w:szCs w:val="20"/>
          <w:color w:val="auto"/>
        </w:rPr>
      </w:pPr>
    </w:p>
    <w:p>
      <w:pPr>
        <w:ind w:left="5880"/>
        <w:spacing w:after="0"/>
        <w:tabs>
          <w:tab w:leader="none" w:pos="6740" w:val="left"/>
          <w:tab w:leader="none" w:pos="7040" w:val="left"/>
        </w:tabs>
        <w:rPr>
          <w:sz w:val="20"/>
          <w:szCs w:val="20"/>
          <w:color w:val="auto"/>
        </w:rPr>
      </w:pPr>
      <w:r>
        <w:rPr>
          <w:rFonts w:ascii="Courier New" w:cs="Courier New" w:eastAsia="Courier New" w:hAnsi="Courier New"/>
          <w:sz w:val="12"/>
          <w:szCs w:val="12"/>
          <w:color w:val="auto"/>
        </w:rPr>
        <w:t>principal</w:t>
        <w:tab/>
        <w:t>or</w:t>
        <w:tab/>
        <w:t>Interest</w:t>
      </w:r>
    </w:p>
    <w:p>
      <w:pPr>
        <w:spacing w:after="0" w:line="6" w:lineRule="exact"/>
        <w:rPr>
          <w:sz w:val="20"/>
          <w:szCs w:val="20"/>
          <w:color w:val="auto"/>
        </w:rPr>
      </w:pPr>
    </w:p>
    <w:p>
      <w:pPr>
        <w:ind w:left="5880"/>
        <w:spacing w:after="0"/>
        <w:tabs>
          <w:tab w:leader="none" w:pos="6300" w:val="left"/>
          <w:tab w:leader="none" w:pos="7040" w:val="left"/>
          <w:tab w:leader="none" w:pos="7420" w:val="left"/>
        </w:tabs>
        <w:rPr>
          <w:sz w:val="20"/>
          <w:szCs w:val="20"/>
          <w:color w:val="auto"/>
        </w:rPr>
      </w:pPr>
      <w:r>
        <w:rPr>
          <w:rFonts w:ascii="Courier New" w:cs="Courier New" w:eastAsia="Courier New" w:hAnsi="Courier New"/>
          <w:sz w:val="12"/>
          <w:szCs w:val="12"/>
          <w:color w:val="auto"/>
        </w:rPr>
        <w:t>in</w:t>
      </w:r>
      <w:r>
        <w:rPr>
          <w:sz w:val="20"/>
          <w:szCs w:val="20"/>
          <w:color w:val="auto"/>
        </w:rPr>
        <w:tab/>
      </w:r>
      <w:r>
        <w:rPr>
          <w:rFonts w:ascii="Courier New" w:cs="Courier New" w:eastAsia="Courier New" w:hAnsi="Courier New"/>
          <w:sz w:val="12"/>
          <w:szCs w:val="12"/>
          <w:color w:val="auto"/>
        </w:rPr>
        <w:t>respect</w:t>
        <w:tab/>
        <w:t>of</w:t>
        <w:tab/>
        <w:t>the</w:t>
      </w:r>
    </w:p>
    <w:p>
      <w:pPr>
        <w:spacing w:after="0" w:line="6" w:lineRule="exact"/>
        <w:rPr>
          <w:sz w:val="20"/>
          <w:szCs w:val="20"/>
          <w:color w:val="auto"/>
        </w:rPr>
      </w:pPr>
    </w:p>
    <w:p>
      <w:pPr>
        <w:ind w:left="5880"/>
        <w:spacing w:after="0"/>
        <w:tabs>
          <w:tab w:leader="none" w:pos="6900" w:val="left"/>
        </w:tabs>
        <w:rPr>
          <w:sz w:val="20"/>
          <w:szCs w:val="20"/>
          <w:color w:val="auto"/>
        </w:rPr>
      </w:pPr>
      <w:r>
        <w:rPr>
          <w:rFonts w:ascii="Courier New" w:cs="Courier New" w:eastAsia="Courier New" w:hAnsi="Courier New"/>
          <w:sz w:val="12"/>
          <w:szCs w:val="12"/>
          <w:color w:val="auto"/>
        </w:rPr>
        <w:t>convertible</w:t>
        <w:tab/>
        <w:t>debentures</w:t>
      </w:r>
    </w:p>
    <w:p>
      <w:pPr>
        <w:spacing w:after="0" w:line="6" w:lineRule="exact"/>
        <w:rPr>
          <w:sz w:val="20"/>
          <w:szCs w:val="20"/>
          <w:color w:val="auto"/>
        </w:rPr>
      </w:pPr>
    </w:p>
    <w:p>
      <w:pPr>
        <w:ind w:left="5880"/>
        <w:spacing w:after="0"/>
        <w:tabs>
          <w:tab w:leader="none" w:pos="6520" w:val="left"/>
          <w:tab w:leader="none" w:pos="6900" w:val="left"/>
        </w:tabs>
        <w:rPr>
          <w:sz w:val="20"/>
          <w:szCs w:val="20"/>
          <w:color w:val="auto"/>
        </w:rPr>
      </w:pPr>
      <w:r>
        <w:rPr>
          <w:rFonts w:ascii="Courier New" w:cs="Courier New" w:eastAsia="Courier New" w:hAnsi="Courier New"/>
          <w:sz w:val="12"/>
          <w:szCs w:val="12"/>
          <w:color w:val="auto"/>
        </w:rPr>
        <w:t>within</w:t>
        <w:tab/>
        <w:t>14</w:t>
        <w:tab/>
        <w:t>(fourteen)</w:t>
      </w:r>
    </w:p>
    <w:p>
      <w:pPr>
        <w:spacing w:after="0" w:line="6" w:lineRule="exact"/>
        <w:rPr>
          <w:sz w:val="20"/>
          <w:szCs w:val="20"/>
          <w:color w:val="auto"/>
        </w:rPr>
      </w:pPr>
    </w:p>
    <w:p>
      <w:pPr>
        <w:ind w:left="5880"/>
        <w:spacing w:after="0"/>
        <w:tabs>
          <w:tab w:leader="none" w:pos="6680" w:val="left"/>
          <w:tab w:leader="none" w:pos="7120" w:val="left"/>
          <w:tab w:leader="none" w:pos="7420" w:val="left"/>
        </w:tabs>
        <w:rPr>
          <w:sz w:val="20"/>
          <w:szCs w:val="20"/>
          <w:color w:val="auto"/>
        </w:rPr>
      </w:pPr>
      <w:r>
        <w:rPr>
          <w:rFonts w:ascii="Courier New" w:cs="Courier New" w:eastAsia="Courier New" w:hAnsi="Courier New"/>
          <w:sz w:val="12"/>
          <w:szCs w:val="12"/>
          <w:color w:val="auto"/>
        </w:rPr>
        <w:t>Business</w:t>
        <w:tab/>
        <w:t>Days</w:t>
        <w:tab/>
        <w:t>of</w:t>
        <w:tab/>
        <w:t>due</w:t>
      </w:r>
    </w:p>
    <w:p>
      <w:pPr>
        <w:spacing w:after="0" w:line="6" w:lineRule="exact"/>
        <w:rPr>
          <w:sz w:val="20"/>
          <w:szCs w:val="20"/>
          <w:color w:val="auto"/>
        </w:rPr>
      </w:pPr>
    </w:p>
    <w:p>
      <w:pPr>
        <w:ind w:left="5880"/>
        <w:spacing w:after="0"/>
        <w:rPr>
          <w:sz w:val="20"/>
          <w:szCs w:val="20"/>
          <w:color w:val="auto"/>
        </w:rPr>
      </w:pPr>
      <w:r>
        <w:rPr>
          <w:rFonts w:ascii="Courier New" w:cs="Courier New" w:eastAsia="Courier New" w:hAnsi="Courier New"/>
          <w:sz w:val="12"/>
          <w:szCs w:val="12"/>
          <w:color w:val="auto"/>
        </w:rPr>
        <w:t>date therefor; or</w:t>
      </w:r>
    </w:p>
    <w:p>
      <w:pPr>
        <w:spacing w:after="0" w:line="147" w:lineRule="exact"/>
        <w:rPr>
          <w:sz w:val="20"/>
          <w:szCs w:val="20"/>
          <w:color w:val="auto"/>
        </w:rPr>
      </w:pPr>
    </w:p>
    <w:p>
      <w:pPr>
        <w:ind w:left="5360"/>
        <w:spacing w:after="0"/>
        <w:tabs>
          <w:tab w:leader="none" w:pos="5860" w:val="left"/>
          <w:tab w:leader="none" w:pos="6300" w:val="left"/>
          <w:tab w:leader="none" w:pos="6900" w:val="left"/>
          <w:tab w:leader="none" w:pos="7480" w:val="left"/>
        </w:tabs>
        <w:rPr>
          <w:sz w:val="20"/>
          <w:szCs w:val="20"/>
          <w:color w:val="auto"/>
        </w:rPr>
      </w:pPr>
      <w:r>
        <w:rPr>
          <w:rFonts w:ascii="Courier New" w:cs="Courier New" w:eastAsia="Courier New" w:hAnsi="Courier New"/>
          <w:sz w:val="12"/>
          <w:szCs w:val="12"/>
          <w:color w:val="auto"/>
        </w:rPr>
        <w:t>(3)</w:t>
      </w:r>
      <w:r>
        <w:rPr>
          <w:sz w:val="20"/>
          <w:szCs w:val="20"/>
          <w:color w:val="auto"/>
        </w:rPr>
        <w:tab/>
      </w:r>
      <w:r>
        <w:rPr>
          <w:rFonts w:ascii="Courier New" w:cs="Courier New" w:eastAsia="Courier New" w:hAnsi="Courier New"/>
          <w:sz w:val="12"/>
          <w:szCs w:val="12"/>
          <w:color w:val="auto"/>
        </w:rPr>
        <w:t>such</w:t>
        <w:tab/>
        <w:t>other</w:t>
        <w:tab/>
        <w:t>events</w:t>
        <w:tab/>
        <w:t>of</w:t>
      </w:r>
    </w:p>
    <w:p>
      <w:pPr>
        <w:spacing w:after="0" w:line="6" w:lineRule="exact"/>
        <w:rPr>
          <w:sz w:val="20"/>
          <w:szCs w:val="20"/>
          <w:color w:val="auto"/>
        </w:rPr>
      </w:pPr>
    </w:p>
    <w:p>
      <w:pPr>
        <w:ind w:left="5880"/>
        <w:spacing w:after="0"/>
        <w:tabs>
          <w:tab w:leader="none" w:pos="6600" w:val="left"/>
        </w:tabs>
        <w:rPr>
          <w:sz w:val="20"/>
          <w:szCs w:val="20"/>
          <w:color w:val="auto"/>
        </w:rPr>
      </w:pPr>
      <w:r>
        <w:rPr>
          <w:rFonts w:ascii="Courier New" w:cs="Courier New" w:eastAsia="Courier New" w:hAnsi="Courier New"/>
          <w:sz w:val="12"/>
          <w:szCs w:val="12"/>
          <w:color w:val="auto"/>
        </w:rPr>
        <w:t>default,</w:t>
        <w:tab/>
        <w:t>if any, as the</w:t>
      </w:r>
    </w:p>
    <w:p>
      <w:pPr>
        <w:spacing w:after="0" w:line="6" w:lineRule="exact"/>
        <w:rPr>
          <w:sz w:val="20"/>
          <w:szCs w:val="20"/>
          <w:color w:val="auto"/>
        </w:rPr>
      </w:pPr>
    </w:p>
    <w:p>
      <w:pPr>
        <w:ind w:left="5880"/>
        <w:spacing w:after="0"/>
        <w:tabs>
          <w:tab w:leader="none" w:pos="6380" w:val="left"/>
          <w:tab w:leader="none" w:pos="6740" w:val="left"/>
          <w:tab w:leader="none" w:pos="7420" w:val="left"/>
        </w:tabs>
        <w:rPr>
          <w:sz w:val="20"/>
          <w:szCs w:val="20"/>
          <w:color w:val="auto"/>
        </w:rPr>
      </w:pPr>
      <w:r>
        <w:rPr>
          <w:rFonts w:ascii="Courier New" w:cs="Courier New" w:eastAsia="Courier New" w:hAnsi="Courier New"/>
          <w:sz w:val="12"/>
          <w:szCs w:val="12"/>
          <w:color w:val="auto"/>
        </w:rPr>
        <w:t>Banks</w:t>
        <w:tab/>
        <w:t>may</w:t>
        <w:tab/>
        <w:t>consent</w:t>
        <w:tab/>
        <w:t>to,</w:t>
      </w:r>
    </w:p>
    <w:p>
      <w:pPr>
        <w:spacing w:after="0" w:line="6" w:lineRule="exact"/>
        <w:rPr>
          <w:sz w:val="20"/>
          <w:szCs w:val="20"/>
          <w:color w:val="auto"/>
        </w:rPr>
      </w:pPr>
    </w:p>
    <w:p>
      <w:pPr>
        <w:ind w:left="5880"/>
        <w:spacing w:after="0"/>
        <w:tabs>
          <w:tab w:leader="none" w:pos="6460" w:val="left"/>
          <w:tab w:leader="none" w:pos="7340" w:val="left"/>
        </w:tabs>
        <w:rPr>
          <w:sz w:val="20"/>
          <w:szCs w:val="20"/>
          <w:color w:val="auto"/>
        </w:rPr>
      </w:pPr>
      <w:r>
        <w:rPr>
          <w:rFonts w:ascii="Courier New" w:cs="Courier New" w:eastAsia="Courier New" w:hAnsi="Courier New"/>
          <w:sz w:val="12"/>
          <w:szCs w:val="12"/>
          <w:color w:val="auto"/>
        </w:rPr>
        <w:t>in</w:t>
      </w:r>
      <w:r>
        <w:rPr>
          <w:sz w:val="20"/>
          <w:szCs w:val="20"/>
          <w:color w:val="auto"/>
        </w:rPr>
        <w:tab/>
      </w:r>
      <w:r>
        <w:rPr>
          <w:rFonts w:ascii="Courier New" w:cs="Courier New" w:eastAsia="Courier New" w:hAnsi="Courier New"/>
          <w:sz w:val="12"/>
          <w:szCs w:val="12"/>
          <w:color w:val="auto"/>
        </w:rPr>
        <w:t>their</w:t>
      </w:r>
      <w:r>
        <w:rPr>
          <w:sz w:val="20"/>
          <w:szCs w:val="20"/>
          <w:color w:val="auto"/>
        </w:rPr>
        <w:tab/>
      </w:r>
      <w:r>
        <w:rPr>
          <w:rFonts w:ascii="Courier New" w:cs="Courier New" w:eastAsia="Courier New" w:hAnsi="Courier New"/>
          <w:sz w:val="12"/>
          <w:szCs w:val="12"/>
          <w:color w:val="auto"/>
        </w:rPr>
        <w:t>sole</w:t>
      </w:r>
    </w:p>
    <w:p>
      <w:pPr>
        <w:spacing w:after="0" w:line="6" w:lineRule="exact"/>
        <w:rPr>
          <w:sz w:val="20"/>
          <w:szCs w:val="20"/>
          <w:color w:val="auto"/>
        </w:rPr>
      </w:pPr>
    </w:p>
    <w:p>
      <w:pPr>
        <w:ind w:left="5880"/>
        <w:spacing w:after="0"/>
        <w:rPr>
          <w:sz w:val="20"/>
          <w:szCs w:val="20"/>
          <w:color w:val="auto"/>
        </w:rPr>
      </w:pPr>
      <w:r>
        <w:rPr>
          <w:rFonts w:ascii="Courier New" w:cs="Courier New" w:eastAsia="Courier New" w:hAnsi="Courier New"/>
          <w:sz w:val="12"/>
          <w:szCs w:val="12"/>
          <w:color w:val="auto"/>
        </w:rPr>
        <w:t>discretion;</w:t>
      </w:r>
    </w:p>
    <w:p>
      <w:pPr>
        <w:sectPr>
          <w:pgSz w:w="11900" w:h="16862" w:orient="portrait"/>
          <w:cols w:equalWidth="0" w:num="1">
            <w:col w:w="10239"/>
          </w:cols>
          <w:pgMar w:left="220" w:top="141" w:right="1440" w:bottom="0" w:gutter="0" w:footer="0" w:header="0"/>
        </w:sectPr>
      </w:pPr>
    </w:p>
    <w:bookmarkStart w:id="91" w:name="page92"/>
    <w:bookmarkEnd w:id="91"/>
    <w:p>
      <w:pPr>
        <w:ind w:left="1500"/>
        <w:spacing w:after="0"/>
        <w:rPr>
          <w:sz w:val="20"/>
          <w:szCs w:val="20"/>
          <w:color w:val="auto"/>
        </w:rPr>
      </w:pPr>
      <w:r>
        <w:rPr>
          <w:rFonts w:ascii="Courier New" w:cs="Courier New" w:eastAsia="Courier New" w:hAnsi="Courier New"/>
          <w:sz w:val="12"/>
          <w:szCs w:val="12"/>
          <w:color w:val="auto"/>
        </w:rPr>
        <w:t>- 43 -</w:t>
      </w:r>
    </w:p>
    <w:p>
      <w:pPr>
        <w:spacing w:after="0" w:line="200" w:lineRule="exact"/>
        <w:rPr>
          <w:sz w:val="20"/>
          <w:szCs w:val="20"/>
          <w:color w:val="auto"/>
        </w:rPr>
      </w:pPr>
    </w:p>
    <w:p>
      <w:pPr>
        <w:spacing w:after="0" w:line="353" w:lineRule="exact"/>
        <w:rPr>
          <w:sz w:val="20"/>
          <w:szCs w:val="20"/>
          <w:color w:val="auto"/>
        </w:rPr>
      </w:pPr>
    </w:p>
    <w:p>
      <w:pPr>
        <w:ind w:left="4140"/>
        <w:spacing w:after="0"/>
        <w:tabs>
          <w:tab w:leader="none" w:pos="5300" w:val="left"/>
        </w:tabs>
        <w:rPr>
          <w:sz w:val="20"/>
          <w:szCs w:val="20"/>
          <w:color w:val="auto"/>
        </w:rPr>
      </w:pPr>
      <w:r>
        <w:rPr>
          <w:rFonts w:ascii="Courier New" w:cs="Courier New" w:eastAsia="Courier New" w:hAnsi="Courier New"/>
          <w:sz w:val="12"/>
          <w:szCs w:val="12"/>
          <w:color w:val="auto"/>
        </w:rPr>
        <w:t>provided that,</w:t>
        <w:tab/>
        <w:t>notwithstanding</w:t>
      </w:r>
    </w:p>
    <w:p>
      <w:pPr>
        <w:spacing w:after="0" w:line="6" w:lineRule="exact"/>
        <w:rPr>
          <w:sz w:val="20"/>
          <w:szCs w:val="20"/>
          <w:color w:val="auto"/>
        </w:rPr>
      </w:pPr>
    </w:p>
    <w:p>
      <w:pPr>
        <w:ind w:left="4140"/>
        <w:spacing w:after="0"/>
        <w:tabs>
          <w:tab w:leader="none" w:pos="5380" w:val="left"/>
        </w:tabs>
        <w:rPr>
          <w:sz w:val="20"/>
          <w:szCs w:val="20"/>
          <w:color w:val="auto"/>
        </w:rPr>
      </w:pPr>
      <w:r>
        <w:rPr>
          <w:rFonts w:ascii="Courier New" w:cs="Courier New" w:eastAsia="Courier New" w:hAnsi="Courier New"/>
          <w:sz w:val="12"/>
          <w:szCs w:val="12"/>
          <w:color w:val="auto"/>
        </w:rPr>
        <w:t>the aforegoing,</w:t>
        <w:tab/>
        <w:t>the holders of</w:t>
      </w:r>
    </w:p>
    <w:p>
      <w:pPr>
        <w:spacing w:after="0" w:line="6" w:lineRule="exact"/>
        <w:rPr>
          <w:sz w:val="20"/>
          <w:szCs w:val="20"/>
          <w:color w:val="auto"/>
        </w:rPr>
      </w:pPr>
    </w:p>
    <w:p>
      <w:pPr>
        <w:ind w:left="4140"/>
        <w:spacing w:after="0"/>
        <w:tabs>
          <w:tab w:leader="none" w:pos="5380" w:val="left"/>
        </w:tabs>
        <w:rPr>
          <w:sz w:val="20"/>
          <w:szCs w:val="20"/>
          <w:color w:val="auto"/>
        </w:rPr>
      </w:pPr>
      <w:r>
        <w:rPr>
          <w:rFonts w:ascii="Courier New" w:cs="Courier New" w:eastAsia="Courier New" w:hAnsi="Courier New"/>
          <w:sz w:val="12"/>
          <w:szCs w:val="12"/>
          <w:color w:val="auto"/>
        </w:rPr>
        <w:t>the convertible</w:t>
        <w:tab/>
        <w:t>debentures and</w:t>
      </w:r>
    </w:p>
    <w:p>
      <w:pPr>
        <w:spacing w:after="0" w:line="6" w:lineRule="exact"/>
        <w:rPr>
          <w:sz w:val="20"/>
          <w:szCs w:val="20"/>
          <w:color w:val="auto"/>
        </w:rPr>
      </w:pPr>
    </w:p>
    <w:p>
      <w:pPr>
        <w:ind w:left="4140"/>
        <w:spacing w:after="0"/>
        <w:tabs>
          <w:tab w:leader="none" w:pos="4800" w:val="left"/>
        </w:tabs>
        <w:rPr>
          <w:sz w:val="20"/>
          <w:szCs w:val="20"/>
          <w:color w:val="auto"/>
        </w:rPr>
      </w:pPr>
      <w:r>
        <w:rPr>
          <w:rFonts w:ascii="Courier New" w:cs="Courier New" w:eastAsia="Courier New" w:hAnsi="Courier New"/>
          <w:sz w:val="12"/>
          <w:szCs w:val="12"/>
          <w:color w:val="auto"/>
        </w:rPr>
        <w:t>anybody</w:t>
        <w:tab/>
        <w:t>acting on their behalf</w:t>
      </w:r>
    </w:p>
    <w:p>
      <w:pPr>
        <w:spacing w:after="0" w:line="6" w:lineRule="exact"/>
        <w:rPr>
          <w:sz w:val="20"/>
          <w:szCs w:val="20"/>
          <w:color w:val="auto"/>
        </w:rPr>
      </w:pPr>
    </w:p>
    <w:p>
      <w:pPr>
        <w:ind w:left="4140"/>
        <w:spacing w:after="0"/>
        <w:tabs>
          <w:tab w:leader="none" w:pos="5020" w:val="left"/>
          <w:tab w:leader="none" w:pos="6040" w:val="left"/>
        </w:tabs>
        <w:rPr>
          <w:sz w:val="20"/>
          <w:szCs w:val="20"/>
          <w:color w:val="auto"/>
        </w:rPr>
      </w:pPr>
      <w:r>
        <w:rPr>
          <w:rFonts w:ascii="Courier New" w:cs="Courier New" w:eastAsia="Courier New" w:hAnsi="Courier New"/>
          <w:sz w:val="12"/>
          <w:szCs w:val="12"/>
          <w:color w:val="auto"/>
        </w:rPr>
        <w:t>(including</w:t>
        <w:tab/>
        <w:t>any trustee)</w:t>
        <w:tab/>
        <w:t>shall</w:t>
      </w:r>
    </w:p>
    <w:p>
      <w:pPr>
        <w:spacing w:after="0" w:line="6" w:lineRule="exact"/>
        <w:rPr>
          <w:sz w:val="20"/>
          <w:szCs w:val="20"/>
          <w:color w:val="auto"/>
        </w:rPr>
      </w:pPr>
    </w:p>
    <w:p>
      <w:pPr>
        <w:ind w:left="4140"/>
        <w:spacing w:after="0"/>
        <w:tabs>
          <w:tab w:leader="none" w:pos="4720" w:val="left"/>
          <w:tab w:leader="none" w:pos="5460" w:val="left"/>
          <w:tab w:leader="none" w:pos="5740" w:val="left"/>
          <w:tab w:leader="none" w:pos="6200" w:val="left"/>
        </w:tabs>
        <w:rPr>
          <w:sz w:val="20"/>
          <w:szCs w:val="20"/>
          <w:color w:val="auto"/>
        </w:rPr>
      </w:pPr>
      <w:r>
        <w:rPr>
          <w:rFonts w:ascii="Courier New" w:cs="Courier New" w:eastAsia="Courier New" w:hAnsi="Courier New"/>
          <w:sz w:val="12"/>
          <w:szCs w:val="12"/>
          <w:color w:val="auto"/>
        </w:rPr>
        <w:t>not be</w:t>
        <w:tab/>
        <w:t>entitled</w:t>
        <w:tab/>
        <w:t>to</w:t>
        <w:tab/>
        <w:t>take</w:t>
        <w:tab/>
        <w:t>any</w:t>
      </w:r>
    </w:p>
    <w:p>
      <w:pPr>
        <w:spacing w:after="0" w:line="6" w:lineRule="exact"/>
        <w:rPr>
          <w:sz w:val="20"/>
          <w:szCs w:val="20"/>
          <w:color w:val="auto"/>
        </w:rPr>
      </w:pPr>
    </w:p>
    <w:p>
      <w:pPr>
        <w:ind w:left="4140"/>
        <w:spacing w:after="0"/>
        <w:tabs>
          <w:tab w:leader="none" w:pos="4720" w:val="left"/>
        </w:tabs>
        <w:rPr>
          <w:sz w:val="20"/>
          <w:szCs w:val="20"/>
          <w:color w:val="auto"/>
        </w:rPr>
      </w:pPr>
      <w:r>
        <w:rPr>
          <w:rFonts w:ascii="Courier New" w:cs="Courier New" w:eastAsia="Courier New" w:hAnsi="Courier New"/>
          <w:sz w:val="12"/>
          <w:szCs w:val="12"/>
          <w:color w:val="auto"/>
        </w:rPr>
        <w:t>action</w:t>
        <w:tab/>
        <w:t>against the Borrower in</w:t>
      </w:r>
    </w:p>
    <w:p>
      <w:pPr>
        <w:spacing w:after="0" w:line="6" w:lineRule="exact"/>
        <w:rPr>
          <w:sz w:val="20"/>
          <w:szCs w:val="20"/>
          <w:color w:val="auto"/>
        </w:rPr>
      </w:pPr>
    </w:p>
    <w:p>
      <w:pPr>
        <w:ind w:left="4140"/>
        <w:spacing w:after="0"/>
        <w:tabs>
          <w:tab w:leader="none" w:pos="4580" w:val="left"/>
          <w:tab w:leader="none" w:pos="5080" w:val="left"/>
          <w:tab w:leader="none" w:pos="5380" w:val="left"/>
          <w:tab w:leader="none" w:pos="5740" w:val="left"/>
          <w:tab w:leader="none" w:pos="6260" w:val="left"/>
        </w:tabs>
        <w:rPr>
          <w:sz w:val="20"/>
          <w:szCs w:val="20"/>
          <w:color w:val="auto"/>
        </w:rPr>
      </w:pPr>
      <w:r>
        <w:rPr>
          <w:rFonts w:ascii="Courier New" w:cs="Courier New" w:eastAsia="Courier New" w:hAnsi="Courier New"/>
          <w:sz w:val="12"/>
          <w:szCs w:val="12"/>
          <w:color w:val="auto"/>
        </w:rPr>
        <w:t>the</w:t>
        <w:tab/>
        <w:t>event</w:t>
        <w:tab/>
        <w:t>of</w:t>
        <w:tab/>
        <w:t>any</w:t>
        <w:tab/>
        <w:t>event</w:t>
        <w:tab/>
        <w:t>of</w:t>
      </w:r>
    </w:p>
    <w:p>
      <w:pPr>
        <w:spacing w:after="0" w:line="6" w:lineRule="exact"/>
        <w:rPr>
          <w:sz w:val="20"/>
          <w:szCs w:val="20"/>
          <w:color w:val="auto"/>
        </w:rPr>
      </w:pPr>
    </w:p>
    <w:p>
      <w:pPr>
        <w:ind w:left="4140"/>
        <w:spacing w:after="0"/>
        <w:tabs>
          <w:tab w:leader="none" w:pos="4800" w:val="left"/>
          <w:tab w:leader="none" w:pos="5080" w:val="left"/>
          <w:tab w:leader="none" w:pos="5980" w:val="left"/>
        </w:tabs>
        <w:rPr>
          <w:sz w:val="20"/>
          <w:szCs w:val="20"/>
          <w:color w:val="auto"/>
        </w:rPr>
      </w:pPr>
      <w:r>
        <w:rPr>
          <w:rFonts w:ascii="Courier New" w:cs="Courier New" w:eastAsia="Courier New" w:hAnsi="Courier New"/>
          <w:sz w:val="12"/>
          <w:szCs w:val="12"/>
          <w:color w:val="auto"/>
        </w:rPr>
        <w:t>default</w:t>
        <w:tab/>
        <w:t>as</w:t>
        <w:tab/>
        <w:t>aforesaid,</w:t>
        <w:tab/>
        <w:t>unless</w:t>
      </w:r>
    </w:p>
    <w:p>
      <w:pPr>
        <w:spacing w:after="0" w:line="6" w:lineRule="exact"/>
        <w:rPr>
          <w:sz w:val="20"/>
          <w:szCs w:val="20"/>
          <w:color w:val="auto"/>
        </w:rPr>
      </w:pPr>
    </w:p>
    <w:p>
      <w:pPr>
        <w:ind w:left="4140"/>
        <w:spacing w:after="0"/>
        <w:tabs>
          <w:tab w:leader="none" w:pos="4500" w:val="left"/>
          <w:tab w:leader="none" w:pos="5240" w:val="left"/>
          <w:tab w:leader="none" w:pos="5740" w:val="left"/>
          <w:tab w:leader="none" w:pos="6120" w:val="left"/>
        </w:tabs>
        <w:rPr>
          <w:sz w:val="20"/>
          <w:szCs w:val="20"/>
          <w:color w:val="auto"/>
        </w:rPr>
      </w:pPr>
      <w:r>
        <w:rPr>
          <w:rFonts w:ascii="Courier New" w:cs="Courier New" w:eastAsia="Courier New" w:hAnsi="Courier New"/>
          <w:sz w:val="12"/>
          <w:szCs w:val="12"/>
          <w:color w:val="auto"/>
        </w:rPr>
        <w:t>the</w:t>
        <w:tab/>
        <w:t>Borrower</w:t>
        <w:tab/>
        <w:t>shall</w:t>
        <w:tab/>
        <w:t>not</w:t>
        <w:tab/>
        <w:t>have</w:t>
      </w:r>
    </w:p>
    <w:p>
      <w:pPr>
        <w:spacing w:after="0" w:line="6" w:lineRule="exact"/>
        <w:rPr>
          <w:sz w:val="20"/>
          <w:szCs w:val="20"/>
          <w:color w:val="auto"/>
        </w:rPr>
      </w:pPr>
    </w:p>
    <w:p>
      <w:pPr>
        <w:ind w:left="4140"/>
        <w:spacing w:after="0"/>
        <w:tabs>
          <w:tab w:leader="none" w:pos="4860" w:val="left"/>
        </w:tabs>
        <w:rPr>
          <w:sz w:val="20"/>
          <w:szCs w:val="20"/>
          <w:color w:val="auto"/>
        </w:rPr>
      </w:pPr>
      <w:r>
        <w:rPr>
          <w:rFonts w:ascii="Courier New" w:cs="Courier New" w:eastAsia="Courier New" w:hAnsi="Courier New"/>
          <w:sz w:val="12"/>
          <w:szCs w:val="12"/>
          <w:color w:val="auto"/>
        </w:rPr>
        <w:t>remedied</w:t>
        <w:tab/>
        <w:t>such event of default</w:t>
      </w:r>
    </w:p>
    <w:p>
      <w:pPr>
        <w:spacing w:after="0" w:line="6" w:lineRule="exact"/>
        <w:rPr>
          <w:sz w:val="20"/>
          <w:szCs w:val="20"/>
          <w:color w:val="auto"/>
        </w:rPr>
      </w:pPr>
    </w:p>
    <w:p>
      <w:pPr>
        <w:ind w:left="4140"/>
        <w:spacing w:after="0"/>
        <w:tabs>
          <w:tab w:leader="none" w:pos="4720" w:val="left"/>
          <w:tab w:leader="none" w:pos="4940" w:val="left"/>
          <w:tab w:leader="none" w:pos="5520" w:val="left"/>
          <w:tab w:leader="none" w:pos="6120" w:val="left"/>
        </w:tabs>
        <w:rPr>
          <w:sz w:val="20"/>
          <w:szCs w:val="20"/>
          <w:color w:val="auto"/>
        </w:rPr>
      </w:pPr>
      <w:r>
        <w:rPr>
          <w:rFonts w:ascii="Courier New" w:cs="Courier New" w:eastAsia="Courier New" w:hAnsi="Courier New"/>
          <w:sz w:val="12"/>
          <w:szCs w:val="12"/>
          <w:color w:val="auto"/>
        </w:rPr>
        <w:t>within</w:t>
        <w:tab/>
        <w:t>a</w:t>
        <w:tab/>
        <w:t>period</w:t>
        <w:tab/>
        <w:t>of not</w:t>
        <w:tab/>
        <w:t>less</w:t>
      </w:r>
    </w:p>
    <w:p>
      <w:pPr>
        <w:spacing w:after="0" w:line="6" w:lineRule="exact"/>
        <w:rPr>
          <w:sz w:val="20"/>
          <w:szCs w:val="20"/>
          <w:color w:val="auto"/>
        </w:rPr>
      </w:pPr>
    </w:p>
    <w:p>
      <w:pPr>
        <w:ind w:left="4140"/>
        <w:spacing w:after="0"/>
        <w:tabs>
          <w:tab w:leader="none" w:pos="4580" w:val="left"/>
          <w:tab w:leader="none" w:pos="4940" w:val="left"/>
          <w:tab w:leader="none" w:pos="6120" w:val="left"/>
        </w:tabs>
        <w:rPr>
          <w:sz w:val="20"/>
          <w:szCs w:val="20"/>
          <w:color w:val="auto"/>
        </w:rPr>
      </w:pPr>
      <w:r>
        <w:rPr>
          <w:rFonts w:ascii="Courier New" w:cs="Courier New" w:eastAsia="Courier New" w:hAnsi="Courier New"/>
          <w:sz w:val="12"/>
          <w:szCs w:val="12"/>
          <w:color w:val="auto"/>
        </w:rPr>
        <w:t>than</w:t>
        <w:tab/>
        <w:t>39</w:t>
        <w:tab/>
        <w:t>(thirty-nine)</w:t>
        <w:tab/>
        <w:t>days</w:t>
      </w:r>
    </w:p>
    <w:p>
      <w:pPr>
        <w:spacing w:after="0" w:line="6" w:lineRule="exact"/>
        <w:rPr>
          <w:sz w:val="20"/>
          <w:szCs w:val="20"/>
          <w:color w:val="auto"/>
        </w:rPr>
      </w:pPr>
    </w:p>
    <w:p>
      <w:pPr>
        <w:ind w:left="4140"/>
        <w:spacing w:after="0"/>
        <w:tabs>
          <w:tab w:leader="none" w:pos="4640" w:val="left"/>
          <w:tab w:leader="none" w:pos="5600" w:val="left"/>
          <w:tab w:leader="none" w:pos="6260" w:val="left"/>
        </w:tabs>
        <w:rPr>
          <w:sz w:val="20"/>
          <w:szCs w:val="20"/>
          <w:color w:val="auto"/>
        </w:rPr>
      </w:pPr>
      <w:r>
        <w:rPr>
          <w:rFonts w:ascii="Courier New" w:cs="Courier New" w:eastAsia="Courier New" w:hAnsi="Courier New"/>
          <w:sz w:val="12"/>
          <w:szCs w:val="12"/>
          <w:color w:val="auto"/>
        </w:rPr>
        <w:t>after</w:t>
        <w:tab/>
        <w:t>the date of</w:t>
        <w:tab/>
        <w:t>receipt</w:t>
        <w:tab/>
        <w:t>by</w:t>
      </w:r>
    </w:p>
    <w:p>
      <w:pPr>
        <w:spacing w:after="0" w:line="6" w:lineRule="exact"/>
        <w:rPr>
          <w:sz w:val="20"/>
          <w:szCs w:val="20"/>
          <w:color w:val="auto"/>
        </w:rPr>
      </w:pPr>
    </w:p>
    <w:p>
      <w:pPr>
        <w:ind w:left="4140"/>
        <w:spacing w:after="0"/>
        <w:tabs>
          <w:tab w:leader="none" w:pos="4500" w:val="left"/>
          <w:tab w:leader="none" w:pos="5240" w:val="left"/>
          <w:tab w:leader="none" w:pos="5680" w:val="left"/>
          <w:tab w:leader="none" w:pos="6260" w:val="left"/>
        </w:tabs>
        <w:rPr>
          <w:sz w:val="20"/>
          <w:szCs w:val="20"/>
          <w:color w:val="auto"/>
        </w:rPr>
      </w:pPr>
      <w:r>
        <w:rPr>
          <w:rFonts w:ascii="Courier New" w:cs="Courier New" w:eastAsia="Courier New" w:hAnsi="Courier New"/>
          <w:sz w:val="12"/>
          <w:szCs w:val="12"/>
          <w:color w:val="auto"/>
        </w:rPr>
        <w:t>the</w:t>
        <w:tab/>
        <w:t>Borrower</w:t>
        <w:tab/>
        <w:t>of a</w:t>
        <w:tab/>
        <w:t>demand</w:t>
        <w:tab/>
        <w:t>to</w:t>
      </w:r>
    </w:p>
    <w:p>
      <w:pPr>
        <w:spacing w:after="0" w:line="6" w:lineRule="exact"/>
        <w:rPr>
          <w:sz w:val="20"/>
          <w:szCs w:val="20"/>
          <w:color w:val="auto"/>
        </w:rPr>
      </w:pPr>
    </w:p>
    <w:p>
      <w:pPr>
        <w:ind w:left="4140"/>
        <w:spacing w:after="0"/>
        <w:tabs>
          <w:tab w:leader="none" w:pos="4580" w:val="left"/>
          <w:tab w:leader="none" w:pos="5020" w:val="left"/>
          <w:tab w:leader="none" w:pos="5740" w:val="left"/>
        </w:tabs>
        <w:rPr>
          <w:sz w:val="20"/>
          <w:szCs w:val="20"/>
          <w:color w:val="auto"/>
        </w:rPr>
      </w:pPr>
      <w:r>
        <w:rPr>
          <w:rFonts w:ascii="Courier New" w:cs="Courier New" w:eastAsia="Courier New" w:hAnsi="Courier New"/>
          <w:sz w:val="12"/>
          <w:szCs w:val="12"/>
          <w:color w:val="auto"/>
        </w:rPr>
        <w:t>cure</w:t>
        <w:tab/>
        <w:t>such</w:t>
        <w:tab/>
        <w:t>default,</w:t>
        <w:tab/>
        <w:t>a copy of</w:t>
      </w:r>
    </w:p>
    <w:p>
      <w:pPr>
        <w:spacing w:after="0" w:line="6" w:lineRule="exact"/>
        <w:rPr>
          <w:sz w:val="20"/>
          <w:szCs w:val="20"/>
          <w:color w:val="auto"/>
        </w:rPr>
      </w:pPr>
    </w:p>
    <w:p>
      <w:pPr>
        <w:ind w:left="4140"/>
        <w:spacing w:after="0"/>
        <w:tabs>
          <w:tab w:leader="none" w:pos="4640" w:val="left"/>
          <w:tab w:leader="none" w:pos="5240" w:val="left"/>
          <w:tab w:leader="none" w:pos="5740" w:val="left"/>
        </w:tabs>
        <w:rPr>
          <w:sz w:val="20"/>
          <w:szCs w:val="20"/>
          <w:color w:val="auto"/>
        </w:rPr>
      </w:pPr>
      <w:r>
        <w:rPr>
          <w:rFonts w:ascii="Courier New" w:cs="Courier New" w:eastAsia="Courier New" w:hAnsi="Courier New"/>
          <w:sz w:val="12"/>
          <w:szCs w:val="12"/>
          <w:color w:val="auto"/>
        </w:rPr>
        <w:t>which</w:t>
        <w:tab/>
        <w:t>demand</w:t>
        <w:tab/>
        <w:t>shall</w:t>
        <w:tab/>
        <w:t>have been</w:t>
      </w:r>
    </w:p>
    <w:p>
      <w:pPr>
        <w:spacing w:after="0" w:line="6" w:lineRule="exact"/>
        <w:rPr>
          <w:sz w:val="20"/>
          <w:szCs w:val="20"/>
          <w:color w:val="auto"/>
        </w:rPr>
      </w:pPr>
    </w:p>
    <w:p>
      <w:pPr>
        <w:ind w:left="4140"/>
        <w:spacing w:after="0"/>
        <w:tabs>
          <w:tab w:leader="none" w:pos="4720" w:val="left"/>
          <w:tab w:leader="none" w:pos="5020" w:val="left"/>
          <w:tab w:leader="none" w:pos="5380" w:val="left"/>
          <w:tab w:leader="none" w:pos="5900" w:val="left"/>
          <w:tab w:leader="none" w:pos="6200" w:val="left"/>
        </w:tabs>
        <w:rPr>
          <w:sz w:val="20"/>
          <w:szCs w:val="20"/>
          <w:color w:val="auto"/>
        </w:rPr>
      </w:pPr>
      <w:r>
        <w:rPr>
          <w:rFonts w:ascii="Courier New" w:cs="Courier New" w:eastAsia="Courier New" w:hAnsi="Courier New"/>
          <w:sz w:val="12"/>
          <w:szCs w:val="12"/>
          <w:color w:val="auto"/>
        </w:rPr>
        <w:t>served</w:t>
        <w:tab/>
        <w:t>on</w:t>
        <w:tab/>
        <w:t>the</w:t>
        <w:tab/>
        <w:t>Banks</w:t>
        <w:tab/>
        <w:t>on</w:t>
        <w:tab/>
        <w:t>the</w:t>
      </w:r>
    </w:p>
    <w:p>
      <w:pPr>
        <w:spacing w:after="0" w:line="6" w:lineRule="exact"/>
        <w:rPr>
          <w:sz w:val="20"/>
          <w:szCs w:val="20"/>
          <w:color w:val="auto"/>
        </w:rPr>
      </w:pPr>
    </w:p>
    <w:p>
      <w:pPr>
        <w:ind w:left="4140"/>
        <w:spacing w:after="0"/>
        <w:tabs>
          <w:tab w:leader="none" w:pos="5080" w:val="left"/>
        </w:tabs>
        <w:rPr>
          <w:sz w:val="20"/>
          <w:szCs w:val="20"/>
          <w:color w:val="auto"/>
        </w:rPr>
      </w:pPr>
      <w:r>
        <w:rPr>
          <w:rFonts w:ascii="Courier New" w:cs="Courier New" w:eastAsia="Courier New" w:hAnsi="Courier New"/>
          <w:sz w:val="12"/>
          <w:szCs w:val="12"/>
          <w:color w:val="auto"/>
        </w:rPr>
        <w:t>same day as</w:t>
        <w:tab/>
        <w:t>service of same on</w:t>
      </w:r>
    </w:p>
    <w:p>
      <w:pPr>
        <w:spacing w:after="0" w:line="6" w:lineRule="exact"/>
        <w:rPr>
          <w:sz w:val="20"/>
          <w:szCs w:val="20"/>
          <w:color w:val="auto"/>
        </w:rPr>
      </w:pPr>
    </w:p>
    <w:p>
      <w:pPr>
        <w:ind w:left="4140"/>
        <w:spacing w:after="0"/>
        <w:rPr>
          <w:sz w:val="20"/>
          <w:szCs w:val="20"/>
          <w:color w:val="auto"/>
        </w:rPr>
      </w:pPr>
      <w:r>
        <w:rPr>
          <w:rFonts w:ascii="Courier New" w:cs="Courier New" w:eastAsia="Courier New" w:hAnsi="Courier New"/>
          <w:sz w:val="12"/>
          <w:szCs w:val="12"/>
          <w:color w:val="auto"/>
        </w:rPr>
        <w:t>the Borrower as aforesaid; and</w:t>
      </w:r>
    </w:p>
    <w:p>
      <w:pPr>
        <w:spacing w:after="0" w:line="147" w:lineRule="exact"/>
        <w:rPr>
          <w:sz w:val="20"/>
          <w:szCs w:val="20"/>
          <w:color w:val="auto"/>
        </w:rPr>
      </w:pPr>
    </w:p>
    <w:p>
      <w:pPr>
        <w:jc w:val="both"/>
        <w:ind w:left="4140" w:right="2579" w:hanging="506"/>
        <w:spacing w:after="0" w:line="249" w:lineRule="auto"/>
        <w:tabs>
          <w:tab w:leader="none" w:pos="4140" w:val="left"/>
        </w:tabs>
        <w:numPr>
          <w:ilvl w:val="0"/>
          <w:numId w:val="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provide that, in the event of any event of default under the</w:t>
      </w:r>
    </w:p>
    <w:p>
      <w:pPr>
        <w:spacing w:after="0" w:line="1" w:lineRule="exact"/>
        <w:rPr>
          <w:rFonts w:ascii="Courier New" w:cs="Courier New" w:eastAsia="Courier New" w:hAnsi="Courier New"/>
          <w:sz w:val="12"/>
          <w:szCs w:val="12"/>
          <w:color w:val="auto"/>
        </w:rPr>
      </w:pPr>
    </w:p>
    <w:p>
      <w:pPr>
        <w:jc w:val="both"/>
        <w:ind w:left="41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convertible debentures, no amount of whatsoever nature shall be payable by the Borrower in respect of the</w:t>
      </w:r>
    </w:p>
    <w:p>
      <w:pPr>
        <w:spacing w:after="0" w:line="2" w:lineRule="exact"/>
        <w:rPr>
          <w:rFonts w:ascii="Courier New" w:cs="Courier New" w:eastAsia="Courier New" w:hAnsi="Courier New"/>
          <w:sz w:val="12"/>
          <w:szCs w:val="12"/>
          <w:color w:val="auto"/>
        </w:rPr>
      </w:pPr>
    </w:p>
    <w:p>
      <w:pPr>
        <w:ind w:left="41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convertibledebentures</w:t>
      </w:r>
    </w:p>
    <w:p>
      <w:pPr>
        <w:spacing w:after="0" w:line="5" w:lineRule="exact"/>
        <w:rPr>
          <w:rFonts w:ascii="Courier New" w:cs="Courier New" w:eastAsia="Courier New" w:hAnsi="Courier New"/>
          <w:sz w:val="12"/>
          <w:szCs w:val="12"/>
          <w:color w:val="auto"/>
        </w:rPr>
      </w:pPr>
    </w:p>
    <w:p>
      <w:pPr>
        <w:jc w:val="both"/>
        <w:ind w:left="41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(whether in respect of principal, Interest or any</w:t>
      </w:r>
    </w:p>
    <w:p>
      <w:pPr>
        <w:spacing w:after="0" w:line="1" w:lineRule="exact"/>
        <w:rPr>
          <w:rFonts w:ascii="Courier New" w:cs="Courier New" w:eastAsia="Courier New" w:hAnsi="Courier New"/>
          <w:sz w:val="12"/>
          <w:szCs w:val="12"/>
          <w:color w:val="auto"/>
        </w:rPr>
      </w:pPr>
    </w:p>
    <w:p>
      <w:pPr>
        <w:jc w:val="both"/>
        <w:ind w:left="4140" w:right="257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other amount), until all amounts owing by the Borrower under the Finance Documents shall have been paid in full;</w:t>
      </w:r>
    </w:p>
    <w:p>
      <w:pPr>
        <w:spacing w:after="0" w:line="281"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- 44 -</w:t>
      </w:r>
    </w:p>
    <w:p>
      <w:pPr>
        <w:spacing w:after="0" w:line="200" w:lineRule="exact"/>
        <w:rPr>
          <w:sz w:val="20"/>
          <w:szCs w:val="20"/>
          <w:color w:val="auto"/>
        </w:rPr>
      </w:pPr>
    </w:p>
    <w:p>
      <w:pPr>
        <w:spacing w:after="0" w:line="353" w:lineRule="exact"/>
        <w:rPr>
          <w:sz w:val="20"/>
          <w:szCs w:val="20"/>
          <w:color w:val="auto"/>
        </w:rPr>
      </w:pPr>
    </w:p>
    <w:p>
      <w:pPr>
        <w:jc w:val="both"/>
        <w:ind w:left="3640" w:right="2579" w:hanging="521"/>
        <w:spacing w:after="0" w:line="249" w:lineRule="auto"/>
        <w:tabs>
          <w:tab w:leader="none" w:pos="3640" w:val="left"/>
        </w:tabs>
        <w:numPr>
          <w:ilvl w:val="0"/>
          <w:numId w:val="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Borrower shall procure that, at all times, an amount equal to 20% (twenty percent) of the outstanding principal amount of all convertible debentures, or, with respect to convertible debentures listed in Part B of Schedule 15.13), an amount equal to 20% (twenty percent) of the outstanding principal amount (net of</w:t>
      </w:r>
    </w:p>
    <w:p>
      <w:pPr>
        <w:spacing w:after="0" w:line="4" w:lineRule="exact"/>
        <w:rPr>
          <w:rFonts w:ascii="Courier New" w:cs="Courier New" w:eastAsia="Courier New" w:hAnsi="Courier New"/>
          <w:sz w:val="12"/>
          <w:szCs w:val="12"/>
          <w:color w:val="auto"/>
        </w:rPr>
      </w:pPr>
    </w:p>
    <w:p>
      <w:pPr>
        <w:jc w:val="both"/>
        <w:ind w:left="36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discounts) of such convertible debentures (as may be increased from time to time through the issuance of additional convertible debentures and as may be decreased from time to time through repayment by the Borrower of outstanding principal of some or all of the convertible debentures) is deposited in the Reserve Accounts (50% (fifty percent) in each Reserve Account) which accounts are duly pledged in favour of the Banks, by way of a first-ranking fixed charge under the Debenture, as security for the payment of all amounts by the Borrower under the Finance Documents; provided that, if the amounts so deposited in the Reserve Accounts as aforesaid shall exceed the amount of the aggregate Interest payable in respect of all such convertible debentures during the 2 (two) year period following December 28, 2005, then the amount of such excess over the aggregate Interest for such 2 (two) year period as aforesaid shall be released; provided that, subject to there at all times being on deposit in the Reserve Accounts, duly pledged, as aforesaid, an amount equal at least to the sum of 20% (twenty percent) of the outstanding</w:t>
      </w:r>
    </w:p>
    <w:p>
      <w:pPr>
        <w:spacing w:after="0" w:line="17" w:lineRule="exact"/>
        <w:rPr>
          <w:rFonts w:ascii="Courier New" w:cs="Courier New" w:eastAsia="Courier New" w:hAnsi="Courier New"/>
          <w:sz w:val="12"/>
          <w:szCs w:val="12"/>
          <w:color w:val="auto"/>
        </w:rPr>
      </w:pPr>
    </w:p>
    <w:p>
      <w:pPr>
        <w:ind w:left="36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principaloftheconvertible</w:t>
      </w:r>
    </w:p>
    <w:p>
      <w:pPr>
        <w:spacing w:after="0" w:line="5" w:lineRule="exact"/>
        <w:rPr>
          <w:rFonts w:ascii="Courier New" w:cs="Courier New" w:eastAsia="Courier New" w:hAnsi="Courier New"/>
          <w:sz w:val="12"/>
          <w:szCs w:val="12"/>
          <w:color w:val="auto"/>
        </w:rPr>
      </w:pPr>
    </w:p>
    <w:p>
      <w:pPr>
        <w:jc w:val="both"/>
        <w:ind w:left="36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debentures (other than the convertible debentures, listed in Part B of Schedule 15.13) and 20% (twenty percent) of the outstanding principal (net of discounts) of the convertible debentures, listed in</w:t>
      </w:r>
    </w:p>
    <w:p>
      <w:pPr>
        <w:spacing w:after="0" w:line="3" w:lineRule="exact"/>
        <w:rPr>
          <w:rFonts w:ascii="Courier New" w:cs="Courier New" w:eastAsia="Courier New" w:hAnsi="Courier New"/>
          <w:sz w:val="12"/>
          <w:szCs w:val="12"/>
          <w:color w:val="auto"/>
        </w:rPr>
      </w:pPr>
    </w:p>
    <w:p>
      <w:pPr>
        <w:jc w:val="both"/>
        <w:ind w:left="3640" w:right="257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Part B of Schedule 15.13, the following amounts may be released in the aggregate from the Reserve Accounts: (1) on the dates for payment of Interest in respect of the convertible debentures, an amount equal to the aggregate Interest payable on such date in respect of the convertible debentures shall be released from the Reserve Accounts and applied in respect of such Interest only, and (2) an amount equal to amounts converted into Paid-in Equity upon conversion of the convertible debentures;</w:t>
      </w:r>
    </w:p>
    <w:p>
      <w:pPr>
        <w:spacing w:after="0" w:line="283"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- 45 -</w:t>
      </w:r>
    </w:p>
    <w:p>
      <w:pPr>
        <w:sectPr>
          <w:pgSz w:w="11900" w:h="16838" w:orient="portrait"/>
          <w:cols w:equalWidth="0" w:num="1">
            <w:col w:w="9019"/>
          </w:cols>
          <w:pgMar w:left="1440" w:top="424" w:right="1440" w:bottom="36" w:gutter="0" w:footer="0" w:header="0"/>
        </w:sectPr>
      </w:pPr>
    </w:p>
    <w:bookmarkStart w:id="92" w:name="page93"/>
    <w:bookmarkEnd w:id="92"/>
    <w:p>
      <w:pPr>
        <w:jc w:val="both"/>
        <w:ind w:left="3640" w:right="2579" w:hanging="521"/>
        <w:spacing w:after="0" w:line="249" w:lineRule="auto"/>
        <w:tabs>
          <w:tab w:leader="none" w:pos="3640" w:val="left"/>
        </w:tabs>
        <w:numPr>
          <w:ilvl w:val="0"/>
          <w:numId w:val="9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rate of Interest to be paid on such convertible debentures shall be no higher than the rate of Interest payable as at the date of issue of the convertible debentures on bonds issued by the State of Israel, which bonds are denominated in the same currency and have the same linkage</w:t>
      </w:r>
    </w:p>
    <w:p>
      <w:pPr>
        <w:spacing w:after="0" w:line="4" w:lineRule="exact"/>
        <w:rPr>
          <w:rFonts w:ascii="Courier New" w:cs="Courier New" w:eastAsia="Courier New" w:hAnsi="Courier New"/>
          <w:sz w:val="12"/>
          <w:szCs w:val="12"/>
          <w:color w:val="auto"/>
        </w:rPr>
      </w:pPr>
    </w:p>
    <w:p>
      <w:pPr>
        <w:jc w:val="both"/>
        <w:ind w:left="36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conditions (if any) as the convertible debentures and the period of which State of Israel bonds is the same as, or closest to, the average</w:t>
      </w:r>
    </w:p>
    <w:p>
      <w:pPr>
        <w:spacing w:after="0" w:line="2" w:lineRule="exact"/>
        <w:rPr>
          <w:rFonts w:ascii="Courier New" w:cs="Courier New" w:eastAsia="Courier New" w:hAnsi="Courier New"/>
          <w:sz w:val="12"/>
          <w:szCs w:val="12"/>
          <w:color w:val="auto"/>
        </w:rPr>
      </w:pPr>
    </w:p>
    <w:p>
      <w:pPr>
        <w:ind w:left="36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duration(takingintoaccount</w:t>
      </w:r>
    </w:p>
    <w:p>
      <w:pPr>
        <w:spacing w:after="0" w:line="5" w:lineRule="exact"/>
        <w:rPr>
          <w:rFonts w:ascii="Courier New" w:cs="Courier New" w:eastAsia="Courier New" w:hAnsi="Courier New"/>
          <w:sz w:val="12"/>
          <w:szCs w:val="12"/>
          <w:color w:val="auto"/>
        </w:rPr>
      </w:pPr>
    </w:p>
    <w:p>
      <w:pPr>
        <w:ind w:left="3640" w:right="2579"/>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repayments) of the convertible debentures;</w:t>
      </w:r>
    </w:p>
    <w:p>
      <w:pPr>
        <w:spacing w:after="0" w:line="280"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- 46 -</w:t>
      </w:r>
    </w:p>
    <w:p>
      <w:pPr>
        <w:spacing w:after="0" w:line="200" w:lineRule="exact"/>
        <w:rPr>
          <w:sz w:val="20"/>
          <w:szCs w:val="20"/>
          <w:color w:val="auto"/>
        </w:rPr>
      </w:pPr>
    </w:p>
    <w:p>
      <w:pPr>
        <w:spacing w:after="0" w:line="353" w:lineRule="exact"/>
        <w:rPr>
          <w:sz w:val="20"/>
          <w:szCs w:val="20"/>
          <w:color w:val="auto"/>
        </w:rPr>
      </w:pPr>
    </w:p>
    <w:p>
      <w:pPr>
        <w:jc w:val="both"/>
        <w:ind w:left="3640" w:right="2579" w:hanging="521"/>
        <w:spacing w:after="0" w:line="249" w:lineRule="auto"/>
        <w:tabs>
          <w:tab w:leader="none" w:pos="3640"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 amount shall be payable on account of the principal of any convertible debentures at any time on or prior to the Final Maturity Date, save only for: (i) amounts not to exceed the amounts of principal repayable on</w:t>
      </w:r>
    </w:p>
    <w:p>
      <w:pPr>
        <w:spacing w:after="0" w:line="3" w:lineRule="exact"/>
        <w:rPr>
          <w:rFonts w:ascii="Courier New" w:cs="Courier New" w:eastAsia="Courier New" w:hAnsi="Courier New"/>
          <w:sz w:val="12"/>
          <w:szCs w:val="12"/>
          <w:color w:val="auto"/>
        </w:rPr>
      </w:pPr>
    </w:p>
    <w:p>
      <w:pPr>
        <w:ind w:left="36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accountofthoseconvertible</w:t>
      </w:r>
    </w:p>
    <w:p>
      <w:pPr>
        <w:spacing w:after="0" w:line="5" w:lineRule="exact"/>
        <w:rPr>
          <w:rFonts w:ascii="Courier New" w:cs="Courier New" w:eastAsia="Courier New" w:hAnsi="Courier New"/>
          <w:sz w:val="12"/>
          <w:szCs w:val="12"/>
          <w:color w:val="auto"/>
        </w:rPr>
      </w:pPr>
    </w:p>
    <w:p>
      <w:pPr>
        <w:jc w:val="both"/>
        <w:ind w:left="36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debentures existing as at the Amendment Closing Date (which amounts and the times for repayment of which</w:t>
      </w:r>
    </w:p>
    <w:p>
      <w:pPr>
        <w:spacing w:after="0" w:line="1" w:lineRule="exact"/>
        <w:rPr>
          <w:rFonts w:ascii="Courier New" w:cs="Courier New" w:eastAsia="Courier New" w:hAnsi="Courier New"/>
          <w:sz w:val="12"/>
          <w:szCs w:val="12"/>
          <w:color w:val="auto"/>
        </w:rPr>
      </w:pPr>
    </w:p>
    <w:p>
      <w:pPr>
        <w:jc w:val="both"/>
        <w:ind w:left="36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are set out in Schedule 15.13 hereto); (ii) an amount in respect of convertible debentures issued after the Amendment Closing Date and to be subject to identical (save for the later issuance of such convertible debentures) terms and conditions to those applicable to the convertible debentures issued by the Borrower pursuant to the prospectus dated June 21, 2006 (as set out in Part A of Schedule 15.13 hereto), which</w:t>
      </w:r>
    </w:p>
    <w:p>
      <w:pPr>
        <w:spacing w:after="0" w:line="6" w:lineRule="exact"/>
        <w:rPr>
          <w:rFonts w:ascii="Courier New" w:cs="Courier New" w:eastAsia="Courier New" w:hAnsi="Courier New"/>
          <w:sz w:val="12"/>
          <w:szCs w:val="12"/>
          <w:color w:val="auto"/>
        </w:rPr>
      </w:pPr>
    </w:p>
    <w:p>
      <w:pPr>
        <w:ind w:left="36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shall   not   exceedNIS 39,000,000</w:t>
      </w:r>
    </w:p>
    <w:p>
      <w:pPr>
        <w:spacing w:after="0" w:line="5" w:lineRule="exact"/>
        <w:rPr>
          <w:rFonts w:ascii="Courier New" w:cs="Courier New" w:eastAsia="Courier New" w:hAnsi="Courier New"/>
          <w:sz w:val="12"/>
          <w:szCs w:val="12"/>
          <w:color w:val="auto"/>
        </w:rPr>
      </w:pPr>
    </w:p>
    <w:p>
      <w:pPr>
        <w:jc w:val="both"/>
        <w:ind w:left="36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(thirty-nine million New Israel Sheqels) linked to the Israeli consumer price index which may be issued upon the exercise of options to purchase convertible debentures, which options were issued by the Borrower pursuant to the prospectus dated June 21, 2006, as set out in Part A of Schedule 15.13 hereto, and which shall be paid not earlier than December 2011; and (iii) an amount (principal, interest and all other amounts) in respect of convertible debentures which may be issued by the Borrower (in its discretion) after the Amendment Closing Date and to be</w:t>
      </w:r>
    </w:p>
    <w:p>
      <w:pPr>
        <w:spacing w:after="0" w:line="9" w:lineRule="exact"/>
        <w:rPr>
          <w:sz w:val="20"/>
          <w:szCs w:val="20"/>
          <w:color w:val="auto"/>
        </w:rPr>
      </w:pPr>
    </w:p>
    <w:p>
      <w:pPr>
        <w:ind w:left="3640"/>
        <w:spacing w:after="0"/>
        <w:tabs>
          <w:tab w:leader="none" w:pos="4360" w:val="left"/>
          <w:tab w:leader="none" w:pos="4720" w:val="left"/>
          <w:tab w:leader="none" w:pos="5600" w:val="left"/>
          <w:tab w:leader="none" w:pos="6200" w:val="left"/>
        </w:tabs>
        <w:rPr>
          <w:sz w:val="20"/>
          <w:szCs w:val="20"/>
          <w:color w:val="auto"/>
        </w:rPr>
      </w:pPr>
      <w:r>
        <w:rPr>
          <w:rFonts w:ascii="Courier New" w:cs="Courier New" w:eastAsia="Courier New" w:hAnsi="Courier New"/>
          <w:sz w:val="12"/>
          <w:szCs w:val="12"/>
          <w:color w:val="auto"/>
        </w:rPr>
        <w:t>subject</w:t>
      </w:r>
      <w:r>
        <w:rPr>
          <w:sz w:val="20"/>
          <w:szCs w:val="20"/>
          <w:color w:val="auto"/>
        </w:rPr>
        <w:tab/>
      </w:r>
      <w:r>
        <w:rPr>
          <w:rFonts w:ascii="Courier New" w:cs="Courier New" w:eastAsia="Courier New" w:hAnsi="Courier New"/>
          <w:sz w:val="12"/>
          <w:szCs w:val="12"/>
          <w:color w:val="auto"/>
        </w:rPr>
        <w:t>to</w:t>
        <w:tab/>
        <w:t>identical</w:t>
        <w:tab/>
        <w:t>(save</w:t>
        <w:tab/>
        <w:t>for</w:t>
      </w:r>
    </w:p>
    <w:p>
      <w:pPr>
        <w:spacing w:after="0" w:line="6" w:lineRule="exact"/>
        <w:rPr>
          <w:sz w:val="20"/>
          <w:szCs w:val="20"/>
          <w:color w:val="auto"/>
        </w:rPr>
      </w:pPr>
    </w:p>
    <w:p>
      <w:pPr>
        <w:ind w:left="3640"/>
        <w:spacing w:after="0"/>
        <w:tabs>
          <w:tab w:leader="none" w:pos="4640" w:val="left"/>
          <w:tab w:leader="none" w:pos="4940" w:val="left"/>
          <w:tab w:leader="none" w:pos="5680" w:val="left"/>
          <w:tab w:leader="none" w:pos="6040" w:val="left"/>
        </w:tabs>
        <w:rPr>
          <w:sz w:val="20"/>
          <w:szCs w:val="20"/>
          <w:color w:val="auto"/>
        </w:rPr>
      </w:pPr>
      <w:r>
        <w:rPr>
          <w:rFonts w:ascii="Courier New" w:cs="Courier New" w:eastAsia="Courier New" w:hAnsi="Courier New"/>
          <w:sz w:val="12"/>
          <w:szCs w:val="12"/>
          <w:color w:val="auto"/>
        </w:rPr>
        <w:t>adjustments</w:t>
        <w:tab/>
        <w:t>to</w:t>
        <w:tab/>
        <w:t>reflect</w:t>
        <w:tab/>
        <w:t>the</w:t>
        <w:tab/>
        <w:t>later</w:t>
      </w:r>
    </w:p>
    <w:p>
      <w:pPr>
        <w:spacing w:after="0" w:line="6" w:lineRule="exact"/>
        <w:rPr>
          <w:sz w:val="20"/>
          <w:szCs w:val="20"/>
          <w:color w:val="auto"/>
        </w:rPr>
      </w:pPr>
    </w:p>
    <w:p>
      <w:pPr>
        <w:ind w:left="3640"/>
        <w:spacing w:after="0"/>
        <w:tabs>
          <w:tab w:leader="none" w:pos="4500" w:val="left"/>
          <w:tab w:leader="none" w:pos="4940" w:val="left"/>
          <w:tab w:leader="none" w:pos="5600" w:val="left"/>
        </w:tabs>
        <w:rPr>
          <w:sz w:val="20"/>
          <w:szCs w:val="20"/>
          <w:color w:val="auto"/>
        </w:rPr>
      </w:pPr>
      <w:r>
        <w:rPr>
          <w:rFonts w:ascii="Courier New" w:cs="Courier New" w:eastAsia="Courier New" w:hAnsi="Courier New"/>
          <w:sz w:val="12"/>
          <w:szCs w:val="12"/>
          <w:color w:val="auto"/>
        </w:rPr>
        <w:t>issuance</w:t>
      </w:r>
      <w:r>
        <w:rPr>
          <w:sz w:val="20"/>
          <w:szCs w:val="20"/>
          <w:color w:val="auto"/>
        </w:rPr>
        <w:tab/>
      </w:r>
      <w:r>
        <w:rPr>
          <w:rFonts w:ascii="Courier New" w:cs="Courier New" w:eastAsia="Courier New" w:hAnsi="Courier New"/>
          <w:sz w:val="12"/>
          <w:szCs w:val="12"/>
          <w:color w:val="auto"/>
        </w:rPr>
        <w:t>of</w:t>
      </w:r>
      <w:r>
        <w:rPr>
          <w:sz w:val="20"/>
          <w:szCs w:val="20"/>
          <w:color w:val="auto"/>
        </w:rPr>
        <w:tab/>
      </w:r>
      <w:r>
        <w:rPr>
          <w:rFonts w:ascii="Courier New" w:cs="Courier New" w:eastAsia="Courier New" w:hAnsi="Courier New"/>
          <w:sz w:val="12"/>
          <w:szCs w:val="12"/>
          <w:color w:val="auto"/>
        </w:rPr>
        <w:t>such</w:t>
      </w:r>
      <w:r>
        <w:rPr>
          <w:sz w:val="20"/>
          <w:szCs w:val="20"/>
          <w:color w:val="auto"/>
        </w:rPr>
        <w:tab/>
      </w:r>
      <w:r>
        <w:rPr>
          <w:rFonts w:ascii="Courier New" w:cs="Courier New" w:eastAsia="Courier New" w:hAnsi="Courier New"/>
          <w:sz w:val="12"/>
          <w:szCs w:val="12"/>
          <w:color w:val="auto"/>
        </w:rPr>
        <w:t>convertible</w:t>
      </w:r>
    </w:p>
    <w:p>
      <w:pPr>
        <w:spacing w:after="0" w:line="6" w:lineRule="exact"/>
        <w:rPr>
          <w:sz w:val="20"/>
          <w:szCs w:val="20"/>
          <w:color w:val="auto"/>
        </w:rPr>
      </w:pPr>
    </w:p>
    <w:p>
      <w:pPr>
        <w:ind w:left="3640"/>
        <w:spacing w:after="0"/>
        <w:tabs>
          <w:tab w:leader="none" w:pos="4580" w:val="left"/>
          <w:tab w:leader="none" w:pos="5380" w:val="left"/>
          <w:tab w:leader="none" w:pos="6260" w:val="left"/>
        </w:tabs>
        <w:rPr>
          <w:sz w:val="20"/>
          <w:szCs w:val="20"/>
          <w:color w:val="auto"/>
        </w:rPr>
      </w:pPr>
      <w:r>
        <w:rPr>
          <w:rFonts w:ascii="Courier New" w:cs="Courier New" w:eastAsia="Courier New" w:hAnsi="Courier New"/>
          <w:sz w:val="12"/>
          <w:szCs w:val="12"/>
          <w:color w:val="auto"/>
        </w:rPr>
        <w:t>debentures)</w:t>
        <w:tab/>
        <w:t>terms and</w:t>
        <w:tab/>
        <w:t>conditions</w:t>
        <w:tab/>
        <w:t>to</w:t>
      </w:r>
    </w:p>
    <w:p>
      <w:pPr>
        <w:spacing w:after="0" w:line="6" w:lineRule="exact"/>
        <w:rPr>
          <w:sz w:val="20"/>
          <w:szCs w:val="20"/>
          <w:color w:val="auto"/>
        </w:rPr>
      </w:pPr>
    </w:p>
    <w:p>
      <w:pPr>
        <w:ind w:left="3640"/>
        <w:spacing w:after="0"/>
        <w:tabs>
          <w:tab w:leader="none" w:pos="4120" w:val="left"/>
          <w:tab w:leader="none" w:pos="5020" w:val="left"/>
          <w:tab w:leader="none" w:pos="5600" w:val="left"/>
        </w:tabs>
        <w:rPr>
          <w:sz w:val="20"/>
          <w:szCs w:val="20"/>
          <w:color w:val="auto"/>
        </w:rPr>
      </w:pPr>
      <w:r>
        <w:rPr>
          <w:rFonts w:ascii="Courier New" w:cs="Courier New" w:eastAsia="Courier New" w:hAnsi="Courier New"/>
          <w:sz w:val="12"/>
          <w:szCs w:val="12"/>
          <w:color w:val="auto"/>
        </w:rPr>
        <w:t>those</w:t>
        <w:tab/>
        <w:t>applicable</w:t>
        <w:tab/>
        <w:t>to the</w:t>
        <w:tab/>
        <w:t>convertible</w:t>
      </w:r>
    </w:p>
    <w:p>
      <w:pPr>
        <w:spacing w:after="0" w:line="6" w:lineRule="exact"/>
        <w:rPr>
          <w:sz w:val="20"/>
          <w:szCs w:val="20"/>
          <w:color w:val="auto"/>
        </w:rPr>
      </w:pPr>
    </w:p>
    <w:p>
      <w:pPr>
        <w:ind w:left="3640"/>
        <w:spacing w:after="0"/>
        <w:tabs>
          <w:tab w:leader="none" w:pos="4580" w:val="left"/>
          <w:tab w:leader="none" w:pos="5160" w:val="left"/>
          <w:tab w:leader="none" w:pos="5460" w:val="left"/>
          <w:tab w:leader="none" w:pos="5820" w:val="left"/>
        </w:tabs>
        <w:rPr>
          <w:sz w:val="20"/>
          <w:szCs w:val="20"/>
          <w:color w:val="auto"/>
        </w:rPr>
      </w:pPr>
      <w:r>
        <w:rPr>
          <w:rFonts w:ascii="Courier New" w:cs="Courier New" w:eastAsia="Courier New" w:hAnsi="Courier New"/>
          <w:sz w:val="12"/>
          <w:szCs w:val="12"/>
          <w:color w:val="auto"/>
        </w:rPr>
        <w:t>debentures</w:t>
        <w:tab/>
        <w:t>issued</w:t>
        <w:tab/>
        <w:t>by</w:t>
        <w:tab/>
        <w:t>the</w:t>
        <w:tab/>
        <w:t>Borrower</w:t>
      </w:r>
    </w:p>
    <w:p>
      <w:pPr>
        <w:spacing w:after="0" w:line="6" w:lineRule="exact"/>
        <w:rPr>
          <w:sz w:val="20"/>
          <w:szCs w:val="20"/>
          <w:color w:val="auto"/>
        </w:rPr>
      </w:pPr>
    </w:p>
    <w:p>
      <w:pPr>
        <w:ind w:left="3640"/>
        <w:spacing w:after="0"/>
        <w:tabs>
          <w:tab w:leader="none" w:pos="4360" w:val="left"/>
          <w:tab w:leader="none" w:pos="4640" w:val="left"/>
          <w:tab w:leader="none" w:pos="5080" w:val="left"/>
          <w:tab w:leader="none" w:pos="6040" w:val="left"/>
        </w:tabs>
        <w:rPr>
          <w:sz w:val="20"/>
          <w:szCs w:val="20"/>
          <w:color w:val="auto"/>
        </w:rPr>
      </w:pPr>
      <w:r>
        <w:rPr>
          <w:rFonts w:ascii="Courier New" w:cs="Courier New" w:eastAsia="Courier New" w:hAnsi="Courier New"/>
          <w:sz w:val="12"/>
          <w:szCs w:val="12"/>
          <w:color w:val="auto"/>
        </w:rPr>
        <w:t>pursuant</w:t>
        <w:tab/>
        <w:t>to</w:t>
        <w:tab/>
        <w:t>the</w:t>
        <w:tab/>
        <w:t>prospectus</w:t>
        <w:tab/>
        <w:t>dated</w:t>
      </w:r>
    </w:p>
    <w:p>
      <w:pPr>
        <w:spacing w:after="0" w:line="6" w:lineRule="exact"/>
        <w:rPr>
          <w:sz w:val="20"/>
          <w:szCs w:val="20"/>
          <w:color w:val="auto"/>
        </w:rPr>
      </w:pPr>
    </w:p>
    <w:p>
      <w:pPr>
        <w:ind w:left="3640"/>
        <w:spacing w:after="0"/>
        <w:tabs>
          <w:tab w:leader="none" w:pos="4500" w:val="left"/>
          <w:tab w:leader="none" w:pos="5080" w:val="left"/>
          <w:tab w:leader="none" w:pos="5520" w:val="left"/>
          <w:tab w:leader="none" w:pos="5980" w:val="left"/>
        </w:tabs>
        <w:rPr>
          <w:sz w:val="20"/>
          <w:szCs w:val="20"/>
          <w:color w:val="auto"/>
        </w:rPr>
      </w:pPr>
      <w:r>
        <w:rPr>
          <w:rFonts w:ascii="Courier New" w:cs="Courier New" w:eastAsia="Courier New" w:hAnsi="Courier New"/>
          <w:sz w:val="12"/>
          <w:szCs w:val="12"/>
          <w:color w:val="auto"/>
        </w:rPr>
        <w:t>June 21,</w:t>
      </w:r>
      <w:r>
        <w:rPr>
          <w:sz w:val="20"/>
          <w:szCs w:val="20"/>
          <w:color w:val="auto"/>
        </w:rPr>
        <w:tab/>
      </w:r>
      <w:r>
        <w:rPr>
          <w:rFonts w:ascii="Courier New" w:cs="Courier New" w:eastAsia="Courier New" w:hAnsi="Courier New"/>
          <w:sz w:val="12"/>
          <w:szCs w:val="12"/>
          <w:color w:val="auto"/>
        </w:rPr>
        <w:t>2006</w:t>
      </w:r>
      <w:r>
        <w:rPr>
          <w:sz w:val="20"/>
          <w:szCs w:val="20"/>
          <w:color w:val="auto"/>
        </w:rPr>
        <w:tab/>
      </w:r>
      <w:r>
        <w:rPr>
          <w:rFonts w:ascii="Courier New" w:cs="Courier New" w:eastAsia="Courier New" w:hAnsi="Courier New"/>
          <w:sz w:val="12"/>
          <w:szCs w:val="12"/>
          <w:color w:val="auto"/>
        </w:rPr>
        <w:t>not</w:t>
        <w:tab/>
        <w:t>to</w:t>
      </w:r>
      <w:r>
        <w:rPr>
          <w:sz w:val="20"/>
          <w:szCs w:val="20"/>
          <w:color w:val="auto"/>
        </w:rPr>
        <w:tab/>
      </w:r>
      <w:r>
        <w:rPr>
          <w:rFonts w:ascii="Courier New" w:cs="Courier New" w:eastAsia="Courier New" w:hAnsi="Courier New"/>
          <w:sz w:val="12"/>
          <w:szCs w:val="12"/>
          <w:color w:val="auto"/>
        </w:rPr>
        <w:t>exceed</w:t>
      </w:r>
    </w:p>
    <w:p>
      <w:pPr>
        <w:spacing w:after="0" w:line="6" w:lineRule="exact"/>
        <w:rPr>
          <w:sz w:val="20"/>
          <w:szCs w:val="20"/>
          <w:color w:val="auto"/>
        </w:rPr>
      </w:pPr>
    </w:p>
    <w:p>
      <w:pPr>
        <w:ind w:left="3640"/>
        <w:spacing w:after="0"/>
        <w:tabs>
          <w:tab w:leader="none" w:pos="4800" w:val="left"/>
          <w:tab w:leader="none" w:pos="5380" w:val="left"/>
        </w:tabs>
        <w:rPr>
          <w:sz w:val="20"/>
          <w:szCs w:val="20"/>
          <w:color w:val="auto"/>
        </w:rPr>
      </w:pPr>
      <w:r>
        <w:rPr>
          <w:rFonts w:ascii="Courier New" w:cs="Courier New" w:eastAsia="Courier New" w:hAnsi="Courier New"/>
          <w:sz w:val="12"/>
          <w:szCs w:val="12"/>
          <w:color w:val="auto"/>
        </w:rPr>
        <w:t>US $40,000,000</w:t>
        <w:tab/>
        <w:t>(forty</w:t>
        <w:tab/>
        <w:t>million United</w:t>
      </w:r>
    </w:p>
    <w:p>
      <w:pPr>
        <w:spacing w:after="0" w:line="6" w:lineRule="exact"/>
        <w:rPr>
          <w:sz w:val="20"/>
          <w:szCs w:val="20"/>
          <w:color w:val="auto"/>
        </w:rPr>
      </w:pPr>
    </w:p>
    <w:p>
      <w:pPr>
        <w:ind w:left="3640"/>
        <w:spacing w:after="0"/>
        <w:tabs>
          <w:tab w:leader="none" w:pos="4200" w:val="left"/>
          <w:tab w:leader="none" w:pos="4940" w:val="left"/>
          <w:tab w:leader="none" w:pos="5820" w:val="left"/>
        </w:tabs>
        <w:rPr>
          <w:sz w:val="20"/>
          <w:szCs w:val="20"/>
          <w:color w:val="auto"/>
        </w:rPr>
      </w:pPr>
      <w:r>
        <w:rPr>
          <w:rFonts w:ascii="Courier New" w:cs="Courier New" w:eastAsia="Courier New" w:hAnsi="Courier New"/>
          <w:sz w:val="12"/>
          <w:szCs w:val="12"/>
          <w:color w:val="auto"/>
        </w:rPr>
        <w:t>States</w:t>
        <w:tab/>
        <w:t>Dollars)</w:t>
        <w:tab/>
        <w:t>and which,</w:t>
        <w:tab/>
        <w:t>shall be</w:t>
      </w:r>
    </w:p>
    <w:p>
      <w:pPr>
        <w:spacing w:after="0" w:line="6" w:lineRule="exact"/>
        <w:rPr>
          <w:sz w:val="20"/>
          <w:szCs w:val="20"/>
          <w:color w:val="auto"/>
        </w:rPr>
      </w:pPr>
    </w:p>
    <w:p>
      <w:pPr>
        <w:ind w:left="3640"/>
        <w:spacing w:after="0"/>
        <w:rPr>
          <w:sz w:val="20"/>
          <w:szCs w:val="20"/>
          <w:color w:val="auto"/>
        </w:rPr>
      </w:pPr>
      <w:r>
        <w:rPr>
          <w:rFonts w:ascii="Courier New" w:cs="Courier New" w:eastAsia="Courier New" w:hAnsi="Courier New"/>
          <w:sz w:val="12"/>
          <w:szCs w:val="12"/>
          <w:color w:val="auto"/>
        </w:rPr>
        <w:t>paid not earlier than December 2011;</w:t>
      </w:r>
    </w:p>
    <w:p>
      <w:pPr>
        <w:spacing w:after="0" w:line="289"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- 47 -</w:t>
      </w:r>
    </w:p>
    <w:p>
      <w:pPr>
        <w:spacing w:after="0" w:line="200" w:lineRule="exact"/>
        <w:rPr>
          <w:sz w:val="20"/>
          <w:szCs w:val="20"/>
          <w:color w:val="auto"/>
        </w:rPr>
      </w:pPr>
    </w:p>
    <w:p>
      <w:pPr>
        <w:spacing w:after="0" w:line="353" w:lineRule="exact"/>
        <w:rPr>
          <w:sz w:val="20"/>
          <w:szCs w:val="20"/>
          <w:color w:val="auto"/>
        </w:rPr>
      </w:pPr>
    </w:p>
    <w:p>
      <w:pPr>
        <w:jc w:val="both"/>
        <w:ind w:left="3640" w:right="2579" w:hanging="521"/>
        <w:spacing w:after="0" w:line="249" w:lineRule="auto"/>
        <w:tabs>
          <w:tab w:leader="none" w:pos="3640"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variation of the terms of the Finance Documents, including increase (if any) of the amount of the Facility or the provision of any other credit facilities by the Banks or any of them to the Borrower shall not require the consent of the holders of the convertible debentures or anyone acting on their behalf, nor shall it constitute a default under</w:t>
      </w:r>
    </w:p>
    <w:p>
      <w:pPr>
        <w:spacing w:after="0" w:line="5" w:lineRule="exact"/>
        <w:rPr>
          <w:rFonts w:ascii="Courier New" w:cs="Courier New" w:eastAsia="Courier New" w:hAnsi="Courier New"/>
          <w:sz w:val="12"/>
          <w:szCs w:val="12"/>
          <w:color w:val="auto"/>
        </w:rPr>
      </w:pPr>
    </w:p>
    <w:p>
      <w:pPr>
        <w:ind w:left="3640" w:right="2579"/>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terms of the convertible debentures;</w:t>
      </w:r>
    </w:p>
    <w:p>
      <w:pPr>
        <w:spacing w:after="0" w:line="138" w:lineRule="exact"/>
        <w:rPr>
          <w:rFonts w:ascii="Courier New" w:cs="Courier New" w:eastAsia="Courier New" w:hAnsi="Courier New"/>
          <w:sz w:val="12"/>
          <w:szCs w:val="12"/>
          <w:color w:val="auto"/>
        </w:rPr>
      </w:pPr>
    </w:p>
    <w:p>
      <w:pPr>
        <w:jc w:val="both"/>
        <w:ind w:left="3640" w:right="2579" w:hanging="521"/>
        <w:spacing w:after="0" w:line="250" w:lineRule="auto"/>
        <w:tabs>
          <w:tab w:leader="none" w:pos="3640"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 payment of principal or Interest shall be made in respect of the convertible debentures unless, as at the date of any such payment: (i) all amounts due and payable under the Finance Documents as of such date have been paid in full; and (ii) no Default exists and is continuing under any of the Finance Documents;</w:t>
      </w:r>
    </w:p>
    <w:p>
      <w:pPr>
        <w:spacing w:after="0" w:line="141" w:lineRule="exact"/>
        <w:rPr>
          <w:rFonts w:ascii="Courier New" w:cs="Courier New" w:eastAsia="Courier New" w:hAnsi="Courier New"/>
          <w:sz w:val="12"/>
          <w:szCs w:val="12"/>
          <w:color w:val="auto"/>
        </w:rPr>
      </w:pPr>
    </w:p>
    <w:p>
      <w:pPr>
        <w:ind w:left="3640" w:hanging="521"/>
        <w:spacing w:after="0"/>
        <w:tabs>
          <w:tab w:leader="none" w:pos="3640"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respect  to  those   convertible</w:t>
      </w:r>
    </w:p>
    <w:p>
      <w:pPr>
        <w:spacing w:after="0" w:line="5" w:lineRule="exact"/>
        <w:rPr>
          <w:rFonts w:ascii="Courier New" w:cs="Courier New" w:eastAsia="Courier New" w:hAnsi="Courier New"/>
          <w:sz w:val="12"/>
          <w:szCs w:val="12"/>
          <w:color w:val="auto"/>
        </w:rPr>
      </w:pPr>
    </w:p>
    <w:p>
      <w:pPr>
        <w:ind w:left="36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debenturesreferredtoin</w:t>
      </w:r>
    </w:p>
    <w:p>
      <w:pPr>
        <w:spacing w:after="0" w:line="6" w:lineRule="exact"/>
        <w:rPr>
          <w:sz w:val="20"/>
          <w:szCs w:val="20"/>
          <w:color w:val="auto"/>
        </w:rPr>
      </w:pPr>
    </w:p>
    <w:tbl>
      <w:tblPr>
        <w:tblLayout w:type="fixed"/>
        <w:tblInd w:w="3640" w:type="dxa"/>
        <w:tblCellMar>
          <w:top w:w="0" w:type="dxa"/>
          <w:left w:w="0" w:type="dxa"/>
          <w:bottom w:w="0" w:type="dxa"/>
          <w:right w:w="0" w:type="dxa"/>
        </w:tblCellMar>
      </w:tblPr>
      <w:tr>
        <w:trPr>
          <w:trHeight w:val="138"/>
        </w:trPr>
        <w:tc>
          <w:tcPr>
            <w:tcW w:w="1840" w:type="dxa"/>
            <w:vAlign w:val="bottom"/>
            <w:gridSpan w:val="3"/>
          </w:tcPr>
          <w:p>
            <w:pPr>
              <w:spacing w:after="0"/>
              <w:rPr>
                <w:sz w:val="20"/>
                <w:szCs w:val="20"/>
                <w:color w:val="auto"/>
              </w:rPr>
            </w:pPr>
            <w:r>
              <w:rPr>
                <w:rFonts w:ascii="Courier New" w:cs="Courier New" w:eastAsia="Courier New" w:hAnsi="Courier New"/>
                <w:sz w:val="12"/>
                <w:szCs w:val="12"/>
                <w:color w:val="auto"/>
              </w:rPr>
              <w:t>paragraph (g)(i)-(iii)</w:t>
            </w:r>
          </w:p>
        </w:tc>
        <w:tc>
          <w:tcPr>
            <w:tcW w:w="4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above</w:t>
            </w:r>
          </w:p>
        </w:tc>
      </w:tr>
      <w:tr>
        <w:trPr>
          <w:trHeight w:val="142"/>
        </w:trPr>
        <w:tc>
          <w:tcPr>
            <w:tcW w:w="1020" w:type="dxa"/>
            <w:vAlign w:val="bottom"/>
          </w:tcPr>
          <w:p>
            <w:pPr>
              <w:spacing w:after="0"/>
              <w:rPr>
                <w:sz w:val="20"/>
                <w:szCs w:val="20"/>
                <w:color w:val="auto"/>
              </w:rPr>
            </w:pPr>
            <w:r>
              <w:rPr>
                <w:rFonts w:ascii="Courier New" w:cs="Courier New" w:eastAsia="Courier New" w:hAnsi="Courier New"/>
                <w:sz w:val="12"/>
                <w:szCs w:val="12"/>
                <w:color w:val="auto"/>
              </w:rPr>
              <w:t>(including</w:t>
            </w:r>
          </w:p>
        </w:tc>
        <w:tc>
          <w:tcPr>
            <w:tcW w:w="820" w:type="dxa"/>
            <w:vAlign w:val="bottom"/>
            <w:gridSpan w:val="2"/>
          </w:tcPr>
          <w:p>
            <w:pPr>
              <w:spacing w:after="0"/>
              <w:rPr>
                <w:sz w:val="20"/>
                <w:szCs w:val="20"/>
                <w:color w:val="auto"/>
              </w:rPr>
            </w:pPr>
            <w:r>
              <w:rPr>
                <w:rFonts w:ascii="Courier New" w:cs="Courier New" w:eastAsia="Courier New" w:hAnsi="Courier New"/>
                <w:sz w:val="12"/>
                <w:szCs w:val="12"/>
                <w:color w:val="auto"/>
              </w:rPr>
              <w:t>convertible</w:t>
            </w: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debentures</w:t>
            </w:r>
          </w:p>
        </w:tc>
      </w:tr>
      <w:tr>
        <w:trPr>
          <w:trHeight w:val="142"/>
        </w:trPr>
        <w:tc>
          <w:tcPr>
            <w:tcW w:w="1020" w:type="dxa"/>
            <w:vAlign w:val="bottom"/>
          </w:tcPr>
          <w:p>
            <w:pPr>
              <w:spacing w:after="0"/>
              <w:rPr>
                <w:sz w:val="20"/>
                <w:szCs w:val="20"/>
                <w:color w:val="auto"/>
              </w:rPr>
            </w:pPr>
            <w:r>
              <w:rPr>
                <w:rFonts w:ascii="Courier New" w:cs="Courier New" w:eastAsia="Courier New" w:hAnsi="Courier New"/>
                <w:sz w:val="12"/>
                <w:szCs w:val="12"/>
                <w:color w:val="auto"/>
                <w:w w:val="99"/>
              </w:rPr>
              <w:t>existing as at</w:t>
            </w: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the</w:t>
            </w:r>
          </w:p>
        </w:tc>
        <w:tc>
          <w:tcPr>
            <w:tcW w:w="88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Amendment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Closing</w:t>
            </w:r>
          </w:p>
        </w:tc>
      </w:tr>
      <w:tr>
        <w:trPr>
          <w:trHeight w:val="142"/>
        </w:trPr>
        <w:tc>
          <w:tcPr>
            <w:tcW w:w="1020" w:type="dxa"/>
            <w:vAlign w:val="bottom"/>
          </w:tcPr>
          <w:p>
            <w:pPr>
              <w:spacing w:after="0"/>
              <w:rPr>
                <w:sz w:val="20"/>
                <w:szCs w:val="20"/>
                <w:color w:val="auto"/>
              </w:rPr>
            </w:pPr>
            <w:r>
              <w:rPr>
                <w:rFonts w:ascii="Courier New" w:cs="Courier New" w:eastAsia="Courier New" w:hAnsi="Courier New"/>
                <w:sz w:val="12"/>
                <w:szCs w:val="12"/>
                <w:color w:val="auto"/>
              </w:rPr>
              <w:t>Date)   ("THE</w:t>
            </w:r>
          </w:p>
        </w:tc>
        <w:tc>
          <w:tcPr>
            <w:tcW w:w="8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EQUITY</w:t>
            </w: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CONVERTIBLE</w:t>
            </w:r>
          </w:p>
        </w:tc>
      </w:tr>
      <w:tr>
        <w:trPr>
          <w:trHeight w:val="142"/>
        </w:trPr>
        <w:tc>
          <w:tcPr>
            <w:tcW w:w="1020" w:type="dxa"/>
            <w:vAlign w:val="bottom"/>
          </w:tcPr>
          <w:p>
            <w:pPr>
              <w:spacing w:after="0"/>
              <w:rPr>
                <w:sz w:val="20"/>
                <w:szCs w:val="20"/>
                <w:color w:val="auto"/>
              </w:rPr>
            </w:pPr>
            <w:r>
              <w:rPr>
                <w:rFonts w:ascii="Courier New" w:cs="Courier New" w:eastAsia="Courier New" w:hAnsi="Courier New"/>
                <w:sz w:val="12"/>
                <w:szCs w:val="12"/>
                <w:color w:val="auto"/>
              </w:rPr>
              <w:t>DEBENTURES"),</w:t>
            </w: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the</w:t>
            </w:r>
          </w:p>
        </w:tc>
        <w:tc>
          <w:tcPr>
            <w:tcW w:w="14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provisions of this</w:t>
            </w:r>
          </w:p>
        </w:tc>
      </w:tr>
      <w:tr>
        <w:trPr>
          <w:trHeight w:val="142"/>
        </w:trPr>
        <w:tc>
          <w:tcPr>
            <w:tcW w:w="1020" w:type="dxa"/>
            <w:vAlign w:val="bottom"/>
          </w:tcPr>
          <w:p>
            <w:pPr>
              <w:spacing w:after="0"/>
              <w:rPr>
                <w:sz w:val="20"/>
                <w:szCs w:val="20"/>
                <w:color w:val="auto"/>
              </w:rPr>
            </w:pPr>
            <w:r>
              <w:rPr>
                <w:rFonts w:ascii="Courier New" w:cs="Courier New" w:eastAsia="Courier New" w:hAnsi="Courier New"/>
                <w:sz w:val="12"/>
                <w:szCs w:val="12"/>
                <w:color w:val="auto"/>
                <w:w w:val="99"/>
              </w:rPr>
              <w:t>clause 1.1.118</w:t>
            </w:r>
          </w:p>
        </w:tc>
        <w:tc>
          <w:tcPr>
            <w:tcW w:w="8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above</w:t>
            </w:r>
          </w:p>
        </w:tc>
        <w:tc>
          <w:tcPr>
            <w:tcW w:w="440" w:type="dxa"/>
            <w:vAlign w:val="bottom"/>
          </w:tcPr>
          <w:p>
            <w:pPr>
              <w:spacing w:after="0"/>
              <w:rPr>
                <w:sz w:val="20"/>
                <w:szCs w:val="20"/>
                <w:color w:val="auto"/>
              </w:rPr>
            </w:pPr>
            <w:r>
              <w:rPr>
                <w:rFonts w:ascii="Courier New" w:cs="Courier New" w:eastAsia="Courier New" w:hAnsi="Courier New"/>
                <w:sz w:val="12"/>
                <w:szCs w:val="12"/>
                <w:color w:val="auto"/>
                <w:w w:val="97"/>
              </w:rPr>
              <w:t>(other</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than</w:t>
            </w:r>
          </w:p>
        </w:tc>
      </w:tr>
      <w:tr>
        <w:trPr>
          <w:trHeight w:val="142"/>
        </w:trPr>
        <w:tc>
          <w:tcPr>
            <w:tcW w:w="1020" w:type="dxa"/>
            <w:vAlign w:val="bottom"/>
          </w:tcPr>
          <w:p>
            <w:pPr>
              <w:spacing w:after="0"/>
              <w:rPr>
                <w:sz w:val="20"/>
                <w:szCs w:val="20"/>
                <w:color w:val="auto"/>
              </w:rPr>
            </w:pPr>
            <w:r>
              <w:rPr>
                <w:rFonts w:ascii="Courier New" w:cs="Courier New" w:eastAsia="Courier New" w:hAnsi="Courier New"/>
                <w:sz w:val="12"/>
                <w:szCs w:val="12"/>
                <w:color w:val="auto"/>
              </w:rPr>
              <w:t>paragraph (i)</w:t>
            </w:r>
          </w:p>
        </w:tc>
        <w:tc>
          <w:tcPr>
            <w:tcW w:w="178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above)  shall  apply in</w:t>
            </w:r>
          </w:p>
        </w:tc>
      </w:tr>
    </w:tbl>
    <w:p>
      <w:pPr>
        <w:spacing w:after="0" w:line="3" w:lineRule="exact"/>
        <w:rPr>
          <w:sz w:val="20"/>
          <w:szCs w:val="20"/>
          <w:color w:val="auto"/>
        </w:rPr>
      </w:pPr>
    </w:p>
    <w:p>
      <w:pPr>
        <w:ind w:left="3640"/>
        <w:spacing w:after="0"/>
        <w:tabs>
          <w:tab w:leader="none" w:pos="3980" w:val="left"/>
          <w:tab w:leader="none" w:pos="4800" w:val="left"/>
          <w:tab w:leader="none" w:pos="5460" w:val="left"/>
          <w:tab w:leader="none" w:pos="5900" w:val="left"/>
          <w:tab w:leader="none" w:pos="6200" w:val="left"/>
        </w:tabs>
        <w:rPr>
          <w:sz w:val="20"/>
          <w:szCs w:val="20"/>
          <w:color w:val="auto"/>
        </w:rPr>
      </w:pPr>
      <w:r>
        <w:rPr>
          <w:rFonts w:ascii="Courier New" w:cs="Courier New" w:eastAsia="Courier New" w:hAnsi="Courier New"/>
          <w:sz w:val="12"/>
          <w:szCs w:val="12"/>
          <w:color w:val="auto"/>
        </w:rPr>
        <w:t>all</w:t>
        <w:tab/>
        <w:t>respects,</w:t>
        <w:tab/>
        <w:t>subject</w:t>
        <w:tab/>
        <w:t>only</w:t>
        <w:tab/>
        <w:t>to</w:t>
        <w:tab/>
        <w:t>the</w:t>
      </w:r>
    </w:p>
    <w:p>
      <w:pPr>
        <w:spacing w:after="0" w:line="6" w:lineRule="exact"/>
        <w:rPr>
          <w:sz w:val="20"/>
          <w:szCs w:val="20"/>
          <w:color w:val="auto"/>
        </w:rPr>
      </w:pPr>
    </w:p>
    <w:p>
      <w:pPr>
        <w:ind w:left="3640"/>
        <w:spacing w:after="0"/>
        <w:tabs>
          <w:tab w:leader="none" w:pos="4280" w:val="left"/>
          <w:tab w:leader="none" w:pos="5160" w:val="left"/>
          <w:tab w:leader="none" w:pos="5520" w:val="left"/>
          <w:tab w:leader="none" w:pos="6120" w:val="left"/>
        </w:tabs>
        <w:rPr>
          <w:sz w:val="20"/>
          <w:szCs w:val="20"/>
          <w:color w:val="auto"/>
        </w:rPr>
      </w:pPr>
      <w:r>
        <w:rPr>
          <w:rFonts w:ascii="Courier New" w:cs="Courier New" w:eastAsia="Courier New" w:hAnsi="Courier New"/>
          <w:sz w:val="12"/>
          <w:szCs w:val="12"/>
          <w:color w:val="auto"/>
        </w:rPr>
        <w:t>express</w:t>
        <w:tab/>
        <w:t>provisions</w:t>
        <w:tab/>
        <w:t>set</w:t>
        <w:tab/>
        <w:t>out in</w:t>
        <w:tab/>
        <w:t>this</w:t>
      </w:r>
    </w:p>
    <w:p>
      <w:pPr>
        <w:spacing w:after="0" w:line="6" w:lineRule="exact"/>
        <w:rPr>
          <w:sz w:val="20"/>
          <w:szCs w:val="20"/>
          <w:color w:val="auto"/>
        </w:rPr>
      </w:pPr>
    </w:p>
    <w:p>
      <w:pPr>
        <w:ind w:left="3640"/>
        <w:spacing w:after="0"/>
        <w:rPr>
          <w:sz w:val="20"/>
          <w:szCs w:val="20"/>
          <w:color w:val="auto"/>
        </w:rPr>
      </w:pPr>
      <w:r>
        <w:rPr>
          <w:rFonts w:ascii="Courier New" w:cs="Courier New" w:eastAsia="Courier New" w:hAnsi="Courier New"/>
          <w:sz w:val="12"/>
          <w:szCs w:val="12"/>
          <w:color w:val="auto"/>
        </w:rPr>
        <w:t>paragraph (j) below:</w:t>
      </w:r>
    </w:p>
    <w:p>
      <w:pPr>
        <w:sectPr>
          <w:pgSz w:w="11900" w:h="16838" w:orient="portrait"/>
          <w:cols w:equalWidth="0" w:num="1">
            <w:col w:w="9019"/>
          </w:cols>
          <w:pgMar w:left="1440" w:top="283" w:right="1440" w:bottom="0" w:gutter="0" w:footer="0" w:header="0"/>
        </w:sectPr>
      </w:pPr>
    </w:p>
    <w:bookmarkStart w:id="93" w:name="page94"/>
    <w:bookmarkEnd w:id="93"/>
    <w:p>
      <w:pPr>
        <w:spacing w:after="0" w:line="5"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- 48 -</w:t>
      </w:r>
    </w:p>
    <w:p>
      <w:pPr>
        <w:spacing w:after="0" w:line="200" w:lineRule="exact"/>
        <w:rPr>
          <w:sz w:val="20"/>
          <w:szCs w:val="20"/>
          <w:color w:val="auto"/>
        </w:rPr>
      </w:pPr>
    </w:p>
    <w:p>
      <w:pPr>
        <w:spacing w:after="0" w:line="353" w:lineRule="exact"/>
        <w:rPr>
          <w:sz w:val="20"/>
          <w:szCs w:val="20"/>
          <w:color w:val="auto"/>
        </w:rPr>
      </w:pPr>
    </w:p>
    <w:p>
      <w:pPr>
        <w:ind w:left="4140" w:hanging="506"/>
        <w:spacing w:after="0"/>
        <w:tabs>
          <w:tab w:leader="none" w:pos="4140" w:val="left"/>
        </w:tabs>
        <w:numPr>
          <w:ilvl w:val="0"/>
          <w:numId w:val="1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each  payment  of  Interest  in</w:t>
      </w:r>
    </w:p>
    <w:p>
      <w:pPr>
        <w:spacing w:after="0" w:line="5" w:lineRule="exact"/>
        <w:rPr>
          <w:rFonts w:ascii="Courier New" w:cs="Courier New" w:eastAsia="Courier New" w:hAnsi="Courier New"/>
          <w:sz w:val="12"/>
          <w:szCs w:val="12"/>
          <w:color w:val="auto"/>
        </w:rPr>
      </w:pPr>
    </w:p>
    <w:p>
      <w:pPr>
        <w:jc w:val="both"/>
        <w:ind w:left="41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respect of the Equity Convertible Debentures (to the extent permitted under this clause 1.1.118) may be made only on 1 (one) Business Day</w:t>
      </w:r>
    </w:p>
    <w:p>
      <w:pPr>
        <w:spacing w:after="0" w:line="2" w:lineRule="exact"/>
        <w:rPr>
          <w:rFonts w:ascii="Courier New" w:cs="Courier New" w:eastAsia="Courier New" w:hAnsi="Courier New"/>
          <w:sz w:val="12"/>
          <w:szCs w:val="12"/>
          <w:color w:val="auto"/>
        </w:rPr>
      </w:pPr>
    </w:p>
    <w:p>
      <w:pPr>
        <w:jc w:val="both"/>
        <w:ind w:left="41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falling in the month immediately following a day which is a day for payment of Interest under this Agreement and each payment of principal in respect of the Equity Convertible Debentures (to the extent permitted under this clause 1.1.118) shall be made only on 1 (one) Business Day</w:t>
      </w:r>
    </w:p>
    <w:p>
      <w:pPr>
        <w:spacing w:after="0" w:line="5" w:lineRule="exact"/>
        <w:rPr>
          <w:rFonts w:ascii="Courier New" w:cs="Courier New" w:eastAsia="Courier New" w:hAnsi="Courier New"/>
          <w:sz w:val="12"/>
          <w:szCs w:val="12"/>
          <w:color w:val="auto"/>
        </w:rPr>
      </w:pPr>
    </w:p>
    <w:p>
      <w:pPr>
        <w:jc w:val="both"/>
        <w:ind w:left="41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falling in the month immediately following a day which is a day for repayment</w:t>
      </w:r>
    </w:p>
    <w:p>
      <w:pPr>
        <w:spacing w:after="0" w:line="1" w:lineRule="exact"/>
        <w:rPr>
          <w:rFonts w:ascii="Courier New" w:cs="Courier New" w:eastAsia="Courier New" w:hAnsi="Courier New"/>
          <w:sz w:val="12"/>
          <w:szCs w:val="12"/>
          <w:color w:val="auto"/>
        </w:rPr>
      </w:pPr>
    </w:p>
    <w:p>
      <w:pPr>
        <w:ind w:left="41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ofprincipalunder   this</w:t>
      </w:r>
    </w:p>
    <w:p>
      <w:pPr>
        <w:spacing w:after="0" w:line="5" w:lineRule="exact"/>
        <w:rPr>
          <w:rFonts w:ascii="Courier New" w:cs="Courier New" w:eastAsia="Courier New" w:hAnsi="Courier New"/>
          <w:sz w:val="12"/>
          <w:szCs w:val="12"/>
          <w:color w:val="auto"/>
        </w:rPr>
      </w:pPr>
    </w:p>
    <w:p>
      <w:pPr>
        <w:jc w:val="both"/>
        <w:ind w:left="4140" w:right="257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Agreement (any date for payment of Interest or for repayment of principal to the Banks under this Agreement, hereinafter "A BANK PAYMENT DATE");</w:t>
      </w:r>
    </w:p>
    <w:p>
      <w:pPr>
        <w:spacing w:after="0" w:line="200" w:lineRule="exact"/>
        <w:rPr>
          <w:sz w:val="20"/>
          <w:szCs w:val="20"/>
          <w:color w:val="auto"/>
        </w:rPr>
      </w:pPr>
    </w:p>
    <w:p>
      <w:pPr>
        <w:spacing w:after="0" w:line="22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- 49 -</w:t>
      </w:r>
    </w:p>
    <w:p>
      <w:pPr>
        <w:spacing w:after="0" w:line="200" w:lineRule="exact"/>
        <w:rPr>
          <w:sz w:val="20"/>
          <w:szCs w:val="20"/>
          <w:color w:val="auto"/>
        </w:rPr>
      </w:pPr>
    </w:p>
    <w:p>
      <w:pPr>
        <w:spacing w:after="0" w:line="353" w:lineRule="exact"/>
        <w:rPr>
          <w:sz w:val="20"/>
          <w:szCs w:val="20"/>
          <w:color w:val="auto"/>
        </w:rPr>
      </w:pPr>
    </w:p>
    <w:p>
      <w:pPr>
        <w:jc w:val="both"/>
        <w:ind w:left="4140" w:right="2579" w:hanging="506"/>
        <w:spacing w:after="0" w:line="249" w:lineRule="auto"/>
        <w:tabs>
          <w:tab w:leader="none" w:pos="4140" w:val="left"/>
        </w:tabs>
        <w:numPr>
          <w:ilvl w:val="0"/>
          <w:numId w:val="1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of the existence on any Bank Payment Date ("A DEFAULT BANK PAYMENT DATE") of a Default under any of the Finance Documents, then no</w:t>
      </w:r>
    </w:p>
    <w:p>
      <w:pPr>
        <w:spacing w:after="0" w:line="2" w:lineRule="exact"/>
        <w:rPr>
          <w:rFonts w:ascii="Courier New" w:cs="Courier New" w:eastAsia="Courier New" w:hAnsi="Courier New"/>
          <w:sz w:val="12"/>
          <w:szCs w:val="12"/>
          <w:color w:val="auto"/>
        </w:rPr>
      </w:pPr>
    </w:p>
    <w:p>
      <w:pPr>
        <w:jc w:val="both"/>
        <w:ind w:left="41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payment of principal or Interest shall be made in</w:t>
      </w:r>
    </w:p>
    <w:p>
      <w:pPr>
        <w:spacing w:after="0" w:line="1" w:lineRule="exact"/>
        <w:rPr>
          <w:rFonts w:ascii="Courier New" w:cs="Courier New" w:eastAsia="Courier New" w:hAnsi="Courier New"/>
          <w:sz w:val="12"/>
          <w:szCs w:val="12"/>
          <w:color w:val="auto"/>
        </w:rPr>
      </w:pPr>
    </w:p>
    <w:p>
      <w:pPr>
        <w:jc w:val="both"/>
        <w:ind w:left="41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respect of the Equity Convertible Debentures and the</w:t>
      </w:r>
    </w:p>
    <w:p>
      <w:pPr>
        <w:spacing w:after="0" w:line="1" w:lineRule="exact"/>
        <w:rPr>
          <w:rFonts w:ascii="Courier New" w:cs="Courier New" w:eastAsia="Courier New" w:hAnsi="Courier New"/>
          <w:sz w:val="12"/>
          <w:szCs w:val="12"/>
          <w:color w:val="auto"/>
        </w:rPr>
      </w:pPr>
    </w:p>
    <w:p>
      <w:pPr>
        <w:ind w:left="41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holdersoftheEquity</w:t>
      </w:r>
    </w:p>
    <w:p>
      <w:pPr>
        <w:spacing w:after="0" w:line="5" w:lineRule="exact"/>
        <w:rPr>
          <w:rFonts w:ascii="Courier New" w:cs="Courier New" w:eastAsia="Courier New" w:hAnsi="Courier New"/>
          <w:sz w:val="12"/>
          <w:szCs w:val="12"/>
          <w:color w:val="auto"/>
        </w:rPr>
      </w:pPr>
    </w:p>
    <w:p>
      <w:pPr>
        <w:jc w:val="both"/>
        <w:ind w:left="41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Convertible Debentures and anybody acting on their behalf (including any trustee) shall not be entitled to take any action against the Borrower in the event of any non-payment as aforesaid, unless such non-payment shall continue for a period of more than 6 (six) months commencing from the Bank Payment Date falling immediately prior to the date of the first scheduled payment in respect of the Equity</w:t>
      </w:r>
    </w:p>
    <w:p>
      <w:pPr>
        <w:spacing w:after="0" w:line="7" w:lineRule="exact"/>
        <w:rPr>
          <w:rFonts w:ascii="Courier New" w:cs="Courier New" w:eastAsia="Courier New" w:hAnsi="Courier New"/>
          <w:sz w:val="12"/>
          <w:szCs w:val="12"/>
          <w:color w:val="auto"/>
        </w:rPr>
      </w:pPr>
    </w:p>
    <w:p>
      <w:pPr>
        <w:jc w:val="both"/>
        <w:ind w:left="4140" w:right="257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Convertible Debentures due immediately after the Default Bank Payment Date; provided that:</w:t>
      </w:r>
    </w:p>
    <w:p>
      <w:pPr>
        <w:spacing w:after="0" w:line="139" w:lineRule="exact"/>
        <w:rPr>
          <w:rFonts w:ascii="Courier New" w:cs="Courier New" w:eastAsia="Courier New" w:hAnsi="Courier New"/>
          <w:sz w:val="12"/>
          <w:szCs w:val="12"/>
          <w:color w:val="auto"/>
        </w:rPr>
      </w:pPr>
    </w:p>
    <w:p>
      <w:pPr>
        <w:jc w:val="both"/>
        <w:ind w:left="4140" w:right="2579" w:firstLine="10"/>
        <w:spacing w:after="0" w:line="249" w:lineRule="auto"/>
        <w:tabs>
          <w:tab w:leader="none" w:pos="4435" w:val="left"/>
        </w:tabs>
        <w:numPr>
          <w:ilvl w:val="1"/>
          <w:numId w:val="1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that during any such 6 (six) month period</w:t>
      </w:r>
    </w:p>
    <w:p>
      <w:pPr>
        <w:spacing w:after="0" w:line="1" w:lineRule="exact"/>
        <w:rPr>
          <w:rFonts w:ascii="Courier New" w:cs="Courier New" w:eastAsia="Courier New" w:hAnsi="Courier New"/>
          <w:sz w:val="12"/>
          <w:szCs w:val="12"/>
          <w:color w:val="auto"/>
        </w:rPr>
      </w:pPr>
    </w:p>
    <w:p>
      <w:pPr>
        <w:jc w:val="both"/>
        <w:ind w:left="414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RELEVANT SIX-MONTH PERIOD"), the Borrower shall make any payment to the Banks on account of Interest or principal under the Finance Documents, then the Borrower shall be entitled on or after the date of such payment to the Banks ("THE PAYMENT DATE") to make a payment on account of Interest or principal (as</w:t>
      </w:r>
    </w:p>
    <w:p>
      <w:pPr>
        <w:spacing w:after="0" w:line="6" w:lineRule="exact"/>
        <w:rPr>
          <w:sz w:val="20"/>
          <w:szCs w:val="20"/>
          <w:color w:val="auto"/>
        </w:rPr>
      </w:pPr>
    </w:p>
    <w:p>
      <w:pPr>
        <w:ind w:left="4140"/>
        <w:spacing w:after="0"/>
        <w:tabs>
          <w:tab w:leader="none" w:pos="4640" w:val="left"/>
          <w:tab w:leader="none" w:pos="5240" w:val="left"/>
          <w:tab w:leader="none" w:pos="5680" w:val="left"/>
          <w:tab w:leader="none" w:pos="6120" w:val="left"/>
        </w:tabs>
        <w:rPr>
          <w:sz w:val="20"/>
          <w:szCs w:val="20"/>
          <w:color w:val="auto"/>
        </w:rPr>
      </w:pPr>
      <w:r>
        <w:rPr>
          <w:rFonts w:ascii="Courier New" w:cs="Courier New" w:eastAsia="Courier New" w:hAnsi="Courier New"/>
          <w:sz w:val="12"/>
          <w:szCs w:val="12"/>
          <w:color w:val="auto"/>
        </w:rPr>
        <w:t>the</w:t>
      </w:r>
      <w:r>
        <w:rPr>
          <w:sz w:val="20"/>
          <w:szCs w:val="20"/>
          <w:color w:val="auto"/>
        </w:rPr>
        <w:tab/>
      </w:r>
      <w:r>
        <w:rPr>
          <w:rFonts w:ascii="Courier New" w:cs="Courier New" w:eastAsia="Courier New" w:hAnsi="Courier New"/>
          <w:sz w:val="12"/>
          <w:szCs w:val="12"/>
          <w:color w:val="auto"/>
        </w:rPr>
        <w:t>case</w:t>
      </w:r>
      <w:r>
        <w:rPr>
          <w:sz w:val="20"/>
          <w:szCs w:val="20"/>
          <w:color w:val="auto"/>
        </w:rPr>
        <w:tab/>
      </w:r>
      <w:r>
        <w:rPr>
          <w:rFonts w:ascii="Courier New" w:cs="Courier New" w:eastAsia="Courier New" w:hAnsi="Courier New"/>
          <w:sz w:val="12"/>
          <w:szCs w:val="12"/>
          <w:color w:val="auto"/>
        </w:rPr>
        <w:t>may</w:t>
        <w:tab/>
        <w:t>be)</w:t>
        <w:tab/>
        <w:t>then</w:t>
      </w:r>
    </w:p>
    <w:p>
      <w:pPr>
        <w:spacing w:after="0" w:line="6" w:lineRule="exact"/>
        <w:rPr>
          <w:sz w:val="20"/>
          <w:szCs w:val="20"/>
          <w:color w:val="auto"/>
        </w:rPr>
      </w:pPr>
    </w:p>
    <w:p>
      <w:pPr>
        <w:ind w:left="4140"/>
        <w:spacing w:after="0"/>
        <w:tabs>
          <w:tab w:leader="none" w:pos="5380" w:val="left"/>
        </w:tabs>
        <w:rPr>
          <w:sz w:val="20"/>
          <w:szCs w:val="20"/>
          <w:color w:val="auto"/>
        </w:rPr>
      </w:pPr>
      <w:r>
        <w:rPr>
          <w:rFonts w:ascii="Courier New" w:cs="Courier New" w:eastAsia="Courier New" w:hAnsi="Courier New"/>
          <w:sz w:val="12"/>
          <w:szCs w:val="12"/>
          <w:color w:val="auto"/>
        </w:rPr>
        <w:t>outstanding in</w:t>
        <w:tab/>
        <w:t>respect of the</w:t>
      </w:r>
    </w:p>
    <w:p>
      <w:pPr>
        <w:spacing w:after="0" w:line="6" w:lineRule="exact"/>
        <w:rPr>
          <w:sz w:val="20"/>
          <w:szCs w:val="20"/>
          <w:color w:val="auto"/>
        </w:rPr>
      </w:pPr>
    </w:p>
    <w:p>
      <w:pPr>
        <w:ind w:left="4140"/>
        <w:spacing w:after="0"/>
        <w:tabs>
          <w:tab w:leader="none" w:pos="5600" w:val="left"/>
        </w:tabs>
        <w:rPr>
          <w:sz w:val="20"/>
          <w:szCs w:val="20"/>
          <w:color w:val="auto"/>
        </w:rPr>
      </w:pPr>
      <w:r>
        <w:rPr>
          <w:rFonts w:ascii="Courier New" w:cs="Courier New" w:eastAsia="Courier New" w:hAnsi="Courier New"/>
          <w:sz w:val="12"/>
          <w:szCs w:val="12"/>
          <w:color w:val="auto"/>
        </w:rPr>
        <w:t>Equity Convertible</w:t>
        <w:tab/>
        <w:t>Debentures,</w:t>
      </w:r>
    </w:p>
    <w:p>
      <w:pPr>
        <w:spacing w:after="0" w:line="6" w:lineRule="exact"/>
        <w:rPr>
          <w:sz w:val="20"/>
          <w:szCs w:val="20"/>
          <w:color w:val="auto"/>
        </w:rPr>
      </w:pPr>
    </w:p>
    <w:p>
      <w:pPr>
        <w:ind w:left="4140"/>
        <w:spacing w:after="0"/>
        <w:tabs>
          <w:tab w:leader="none" w:pos="4580" w:val="left"/>
          <w:tab w:leader="none" w:pos="5460" w:val="left"/>
          <w:tab w:leader="none" w:pos="6200" w:val="left"/>
        </w:tabs>
        <w:rPr>
          <w:sz w:val="20"/>
          <w:szCs w:val="20"/>
          <w:color w:val="auto"/>
        </w:rPr>
      </w:pPr>
      <w:r>
        <w:rPr>
          <w:rFonts w:ascii="Courier New" w:cs="Courier New" w:eastAsia="Courier New" w:hAnsi="Courier New"/>
          <w:sz w:val="12"/>
          <w:szCs w:val="12"/>
          <w:color w:val="auto"/>
        </w:rPr>
        <w:t>such</w:t>
        <w:tab/>
        <w:t>payment to</w:t>
        <w:tab/>
        <w:t>comprise</w:t>
        <w:tab/>
        <w:t>the</w:t>
      </w:r>
    </w:p>
    <w:p>
      <w:pPr>
        <w:spacing w:after="0" w:line="6" w:lineRule="exact"/>
        <w:rPr>
          <w:sz w:val="20"/>
          <w:szCs w:val="20"/>
          <w:color w:val="auto"/>
        </w:rPr>
      </w:pPr>
    </w:p>
    <w:p>
      <w:pPr>
        <w:ind w:left="4140"/>
        <w:spacing w:after="0"/>
        <w:tabs>
          <w:tab w:leader="none" w:pos="4720" w:val="left"/>
          <w:tab w:leader="none" w:pos="5740" w:val="left"/>
          <w:tab w:leader="none" w:pos="6200" w:val="left"/>
        </w:tabs>
        <w:rPr>
          <w:sz w:val="20"/>
          <w:szCs w:val="20"/>
          <w:color w:val="auto"/>
        </w:rPr>
      </w:pPr>
      <w:r>
        <w:rPr>
          <w:rFonts w:ascii="Courier New" w:cs="Courier New" w:eastAsia="Courier New" w:hAnsi="Courier New"/>
          <w:sz w:val="12"/>
          <w:szCs w:val="12"/>
          <w:color w:val="auto"/>
        </w:rPr>
        <w:t>same</w:t>
      </w:r>
      <w:r>
        <w:rPr>
          <w:sz w:val="20"/>
          <w:szCs w:val="20"/>
          <w:color w:val="auto"/>
        </w:rPr>
        <w:tab/>
      </w:r>
      <w:r>
        <w:rPr>
          <w:rFonts w:ascii="Courier New" w:cs="Courier New" w:eastAsia="Courier New" w:hAnsi="Courier New"/>
          <w:sz w:val="12"/>
          <w:szCs w:val="12"/>
          <w:color w:val="auto"/>
        </w:rPr>
        <w:t>percentage</w:t>
      </w:r>
      <w:r>
        <w:rPr>
          <w:sz w:val="20"/>
          <w:szCs w:val="20"/>
          <w:color w:val="auto"/>
        </w:rPr>
        <w:tab/>
      </w:r>
      <w:r>
        <w:rPr>
          <w:rFonts w:ascii="Courier New" w:cs="Courier New" w:eastAsia="Courier New" w:hAnsi="Courier New"/>
          <w:sz w:val="12"/>
          <w:szCs w:val="12"/>
          <w:color w:val="auto"/>
        </w:rPr>
        <w:t>of</w:t>
      </w:r>
      <w:r>
        <w:rPr>
          <w:sz w:val="20"/>
          <w:szCs w:val="20"/>
          <w:color w:val="auto"/>
        </w:rPr>
        <w:tab/>
      </w:r>
      <w:r>
        <w:rPr>
          <w:rFonts w:ascii="Courier New" w:cs="Courier New" w:eastAsia="Courier New" w:hAnsi="Courier New"/>
          <w:sz w:val="12"/>
          <w:szCs w:val="12"/>
          <w:color w:val="auto"/>
        </w:rPr>
        <w:t>the</w:t>
      </w:r>
    </w:p>
    <w:p>
      <w:pPr>
        <w:spacing w:after="0" w:line="6" w:lineRule="exact"/>
        <w:rPr>
          <w:sz w:val="20"/>
          <w:szCs w:val="20"/>
          <w:color w:val="auto"/>
        </w:rPr>
      </w:pPr>
    </w:p>
    <w:p>
      <w:pPr>
        <w:ind w:left="4140"/>
        <w:spacing w:after="0"/>
        <w:tabs>
          <w:tab w:leader="none" w:pos="5080" w:val="left"/>
          <w:tab w:leader="none" w:pos="5900" w:val="left"/>
        </w:tabs>
        <w:rPr>
          <w:sz w:val="20"/>
          <w:szCs w:val="20"/>
          <w:color w:val="auto"/>
        </w:rPr>
      </w:pPr>
      <w:r>
        <w:rPr>
          <w:rFonts w:ascii="Courier New" w:cs="Courier New" w:eastAsia="Courier New" w:hAnsi="Courier New"/>
          <w:sz w:val="12"/>
          <w:szCs w:val="12"/>
          <w:color w:val="auto"/>
        </w:rPr>
        <w:t>Interest or</w:t>
        <w:tab/>
        <w:t>principal</w:t>
        <w:tab/>
        <w:t>(as the</w:t>
      </w:r>
    </w:p>
    <w:p>
      <w:pPr>
        <w:spacing w:after="0" w:line="6" w:lineRule="exact"/>
        <w:rPr>
          <w:sz w:val="20"/>
          <w:szCs w:val="20"/>
          <w:color w:val="auto"/>
        </w:rPr>
      </w:pPr>
    </w:p>
    <w:p>
      <w:pPr>
        <w:ind w:left="4140"/>
        <w:spacing w:after="0"/>
        <w:tabs>
          <w:tab w:leader="none" w:pos="4580" w:val="left"/>
          <w:tab w:leader="none" w:pos="5240" w:val="left"/>
          <w:tab w:leader="none" w:pos="5900" w:val="left"/>
        </w:tabs>
        <w:rPr>
          <w:sz w:val="20"/>
          <w:szCs w:val="20"/>
          <w:color w:val="auto"/>
        </w:rPr>
      </w:pPr>
      <w:r>
        <w:rPr>
          <w:rFonts w:ascii="Courier New" w:cs="Courier New" w:eastAsia="Courier New" w:hAnsi="Courier New"/>
          <w:sz w:val="12"/>
          <w:szCs w:val="12"/>
          <w:color w:val="auto"/>
        </w:rPr>
        <w:t>case</w:t>
        <w:tab/>
        <w:t>may be)</w:t>
        <w:tab/>
        <w:t>due and</w:t>
        <w:tab/>
        <w:t>payable</w:t>
      </w:r>
    </w:p>
    <w:p>
      <w:pPr>
        <w:spacing w:after="0" w:line="6" w:lineRule="exact"/>
        <w:rPr>
          <w:sz w:val="20"/>
          <w:szCs w:val="20"/>
          <w:color w:val="auto"/>
        </w:rPr>
      </w:pPr>
    </w:p>
    <w:p>
      <w:pPr>
        <w:ind w:left="4140"/>
        <w:spacing w:after="0"/>
        <w:tabs>
          <w:tab w:leader="none" w:pos="4640" w:val="left"/>
          <w:tab w:leader="none" w:pos="5020" w:val="left"/>
          <w:tab w:leader="none" w:pos="5600" w:val="left"/>
        </w:tabs>
        <w:rPr>
          <w:sz w:val="20"/>
          <w:szCs w:val="20"/>
          <w:color w:val="auto"/>
        </w:rPr>
      </w:pPr>
      <w:r>
        <w:rPr>
          <w:rFonts w:ascii="Courier New" w:cs="Courier New" w:eastAsia="Courier New" w:hAnsi="Courier New"/>
          <w:sz w:val="12"/>
          <w:szCs w:val="12"/>
          <w:color w:val="auto"/>
        </w:rPr>
        <w:t>under</w:t>
        <w:tab/>
        <w:t>the</w:t>
        <w:tab/>
        <w:t>Equity</w:t>
        <w:tab/>
        <w:t>Convertible</w:t>
      </w:r>
    </w:p>
    <w:p>
      <w:pPr>
        <w:spacing w:after="0" w:line="6" w:lineRule="exact"/>
        <w:rPr>
          <w:sz w:val="20"/>
          <w:szCs w:val="20"/>
          <w:color w:val="auto"/>
        </w:rPr>
      </w:pPr>
    </w:p>
    <w:p>
      <w:pPr>
        <w:ind w:left="4140"/>
        <w:spacing w:after="0"/>
        <w:tabs>
          <w:tab w:leader="none" w:pos="5080" w:val="left"/>
          <w:tab w:leader="none" w:pos="5380" w:val="left"/>
          <w:tab w:leader="none" w:pos="5680" w:val="left"/>
          <w:tab w:leader="none" w:pos="6120" w:val="left"/>
        </w:tabs>
        <w:rPr>
          <w:sz w:val="20"/>
          <w:szCs w:val="20"/>
          <w:color w:val="auto"/>
        </w:rPr>
      </w:pPr>
      <w:r>
        <w:rPr>
          <w:rFonts w:ascii="Courier New" w:cs="Courier New" w:eastAsia="Courier New" w:hAnsi="Courier New"/>
          <w:sz w:val="12"/>
          <w:szCs w:val="12"/>
          <w:color w:val="auto"/>
        </w:rPr>
        <w:t>Debentures</w:t>
        <w:tab/>
        <w:t>as</w:t>
        <w:tab/>
        <w:t>of</w:t>
        <w:tab/>
        <w:t>the</w:t>
        <w:tab/>
        <w:t>date</w:t>
      </w:r>
    </w:p>
    <w:p>
      <w:pPr>
        <w:spacing w:after="0" w:line="6" w:lineRule="exact"/>
        <w:rPr>
          <w:sz w:val="20"/>
          <w:szCs w:val="20"/>
          <w:color w:val="auto"/>
        </w:rPr>
      </w:pPr>
    </w:p>
    <w:p>
      <w:pPr>
        <w:ind w:left="4140"/>
        <w:spacing w:after="0"/>
        <w:tabs>
          <w:tab w:leader="none" w:pos="4940" w:val="left"/>
          <w:tab w:leader="none" w:pos="5300" w:val="left"/>
          <w:tab w:leader="none" w:pos="5980" w:val="left"/>
        </w:tabs>
        <w:rPr>
          <w:sz w:val="20"/>
          <w:szCs w:val="20"/>
          <w:color w:val="auto"/>
        </w:rPr>
      </w:pPr>
      <w:r>
        <w:rPr>
          <w:rFonts w:ascii="Courier New" w:cs="Courier New" w:eastAsia="Courier New" w:hAnsi="Courier New"/>
          <w:sz w:val="12"/>
          <w:szCs w:val="12"/>
          <w:color w:val="auto"/>
        </w:rPr>
        <w:t>scheduled</w:t>
        <w:tab/>
        <w:t>for</w:t>
        <w:tab/>
        <w:t>payment</w:t>
        <w:tab/>
        <w:t>on the</w:t>
      </w:r>
    </w:p>
    <w:p>
      <w:pPr>
        <w:spacing w:after="0" w:line="6" w:lineRule="exact"/>
        <w:rPr>
          <w:sz w:val="20"/>
          <w:szCs w:val="20"/>
          <w:color w:val="auto"/>
        </w:rPr>
      </w:pPr>
    </w:p>
    <w:p>
      <w:pPr>
        <w:ind w:left="4140"/>
        <w:spacing w:after="0"/>
        <w:tabs>
          <w:tab w:leader="none" w:pos="4720" w:val="left"/>
          <w:tab w:leader="none" w:pos="5680" w:val="left"/>
        </w:tabs>
        <w:rPr>
          <w:sz w:val="20"/>
          <w:szCs w:val="20"/>
          <w:color w:val="auto"/>
        </w:rPr>
      </w:pPr>
      <w:r>
        <w:rPr>
          <w:rFonts w:ascii="Courier New" w:cs="Courier New" w:eastAsia="Courier New" w:hAnsi="Courier New"/>
          <w:sz w:val="12"/>
          <w:szCs w:val="12"/>
          <w:color w:val="auto"/>
        </w:rPr>
        <w:t>Equity</w:t>
        <w:tab/>
        <w:t>Convertible</w:t>
        <w:tab/>
        <w:t>Debentures</w:t>
      </w:r>
    </w:p>
    <w:p>
      <w:pPr>
        <w:spacing w:after="0" w:line="6" w:lineRule="exact"/>
        <w:rPr>
          <w:sz w:val="20"/>
          <w:szCs w:val="20"/>
          <w:color w:val="auto"/>
        </w:rPr>
      </w:pPr>
    </w:p>
    <w:p>
      <w:pPr>
        <w:ind w:left="4140"/>
        <w:spacing w:after="0"/>
        <w:tabs>
          <w:tab w:leader="none" w:pos="4800" w:val="left"/>
          <w:tab w:leader="none" w:pos="5460" w:val="left"/>
          <w:tab w:leader="none" w:pos="6200" w:val="left"/>
        </w:tabs>
        <w:rPr>
          <w:sz w:val="20"/>
          <w:szCs w:val="20"/>
          <w:color w:val="auto"/>
        </w:rPr>
      </w:pPr>
      <w:r>
        <w:rPr>
          <w:rFonts w:ascii="Courier New" w:cs="Courier New" w:eastAsia="Courier New" w:hAnsi="Courier New"/>
          <w:sz w:val="12"/>
          <w:szCs w:val="12"/>
          <w:color w:val="auto"/>
        </w:rPr>
        <w:t>which</w:t>
      </w:r>
      <w:r>
        <w:rPr>
          <w:sz w:val="20"/>
          <w:szCs w:val="20"/>
          <w:color w:val="auto"/>
        </w:rPr>
        <w:tab/>
      </w:r>
      <w:r>
        <w:rPr>
          <w:rFonts w:ascii="Courier New" w:cs="Courier New" w:eastAsia="Courier New" w:hAnsi="Courier New"/>
          <w:sz w:val="12"/>
          <w:szCs w:val="12"/>
          <w:color w:val="auto"/>
        </w:rPr>
        <w:t>falls</w:t>
      </w:r>
      <w:r>
        <w:rPr>
          <w:sz w:val="20"/>
          <w:szCs w:val="20"/>
          <w:color w:val="auto"/>
        </w:rPr>
        <w:tab/>
      </w:r>
      <w:r>
        <w:rPr>
          <w:rFonts w:ascii="Courier New" w:cs="Courier New" w:eastAsia="Courier New" w:hAnsi="Courier New"/>
          <w:sz w:val="12"/>
          <w:szCs w:val="12"/>
          <w:color w:val="auto"/>
        </w:rPr>
        <w:t>during</w:t>
      </w:r>
      <w:r>
        <w:rPr>
          <w:sz w:val="20"/>
          <w:szCs w:val="20"/>
          <w:color w:val="auto"/>
        </w:rPr>
        <w:tab/>
      </w:r>
      <w:r>
        <w:rPr>
          <w:rFonts w:ascii="Courier New" w:cs="Courier New" w:eastAsia="Courier New" w:hAnsi="Courier New"/>
          <w:sz w:val="12"/>
          <w:szCs w:val="12"/>
          <w:color w:val="auto"/>
        </w:rPr>
        <w:t>the</w:t>
      </w:r>
    </w:p>
    <w:p>
      <w:pPr>
        <w:spacing w:after="0" w:line="6" w:lineRule="exact"/>
        <w:rPr>
          <w:sz w:val="20"/>
          <w:szCs w:val="20"/>
          <w:color w:val="auto"/>
        </w:rPr>
      </w:pPr>
    </w:p>
    <w:p>
      <w:pPr>
        <w:ind w:left="4140"/>
        <w:spacing w:after="0"/>
        <w:tabs>
          <w:tab w:leader="none" w:pos="4860" w:val="left"/>
          <w:tab w:leader="none" w:pos="5680" w:val="left"/>
          <w:tab w:leader="none" w:pos="6260" w:val="left"/>
        </w:tabs>
        <w:rPr>
          <w:sz w:val="20"/>
          <w:szCs w:val="20"/>
          <w:color w:val="auto"/>
        </w:rPr>
      </w:pPr>
      <w:r>
        <w:rPr>
          <w:rFonts w:ascii="Courier New" w:cs="Courier New" w:eastAsia="Courier New" w:hAnsi="Courier New"/>
          <w:sz w:val="12"/>
          <w:szCs w:val="12"/>
          <w:color w:val="auto"/>
        </w:rPr>
        <w:t>Relevant</w:t>
        <w:tab/>
        <w:t>Six-Month</w:t>
        <w:tab/>
        <w:t>Period</w:t>
        <w:tab/>
        <w:t>as</w:t>
      </w:r>
    </w:p>
    <w:p>
      <w:pPr>
        <w:spacing w:after="0" w:line="6" w:lineRule="exact"/>
        <w:rPr>
          <w:sz w:val="20"/>
          <w:szCs w:val="20"/>
          <w:color w:val="auto"/>
        </w:rPr>
      </w:pPr>
    </w:p>
    <w:p>
      <w:pPr>
        <w:ind w:left="4140"/>
        <w:spacing w:after="0"/>
        <w:tabs>
          <w:tab w:leader="none" w:pos="4500" w:val="left"/>
          <w:tab w:leader="none" w:pos="5160" w:val="left"/>
          <w:tab w:leader="none" w:pos="5740" w:val="left"/>
          <w:tab w:leader="none" w:pos="6260" w:val="left"/>
        </w:tabs>
        <w:rPr>
          <w:sz w:val="20"/>
          <w:szCs w:val="20"/>
          <w:color w:val="auto"/>
        </w:rPr>
      </w:pPr>
      <w:r>
        <w:rPr>
          <w:rFonts w:ascii="Courier New" w:cs="Courier New" w:eastAsia="Courier New" w:hAnsi="Courier New"/>
          <w:sz w:val="12"/>
          <w:szCs w:val="12"/>
          <w:color w:val="auto"/>
        </w:rPr>
        <w:t>the</w:t>
        <w:tab/>
        <w:t>payment</w:t>
        <w:tab/>
        <w:t>to the</w:t>
        <w:tab/>
        <w:t>Banks</w:t>
        <w:tab/>
        <w:t>as</w:t>
      </w:r>
    </w:p>
    <w:p>
      <w:pPr>
        <w:spacing w:after="0" w:line="6" w:lineRule="exact"/>
        <w:rPr>
          <w:sz w:val="20"/>
          <w:szCs w:val="20"/>
          <w:color w:val="auto"/>
        </w:rPr>
      </w:pPr>
    </w:p>
    <w:p>
      <w:pPr>
        <w:ind w:left="4140"/>
        <w:spacing w:after="0"/>
        <w:tabs>
          <w:tab w:leader="none" w:pos="5020" w:val="left"/>
          <w:tab w:leader="none" w:pos="5900" w:val="left"/>
          <w:tab w:leader="none" w:pos="6200" w:val="left"/>
        </w:tabs>
        <w:rPr>
          <w:sz w:val="20"/>
          <w:szCs w:val="20"/>
          <w:color w:val="auto"/>
        </w:rPr>
      </w:pPr>
      <w:r>
        <w:rPr>
          <w:rFonts w:ascii="Courier New" w:cs="Courier New" w:eastAsia="Courier New" w:hAnsi="Courier New"/>
          <w:sz w:val="12"/>
          <w:szCs w:val="12"/>
          <w:color w:val="auto"/>
        </w:rPr>
        <w:t>aforesaid</w:t>
        <w:tab/>
        <w:t>comprises</w:t>
        <w:tab/>
        <w:t>of</w:t>
        <w:tab/>
        <w:t>the</w:t>
      </w:r>
    </w:p>
    <w:p>
      <w:pPr>
        <w:spacing w:after="0" w:line="6" w:lineRule="exact"/>
        <w:rPr>
          <w:sz w:val="20"/>
          <w:szCs w:val="20"/>
          <w:color w:val="auto"/>
        </w:rPr>
      </w:pPr>
    </w:p>
    <w:p>
      <w:pPr>
        <w:ind w:left="4140"/>
        <w:spacing w:after="0"/>
        <w:tabs>
          <w:tab w:leader="none" w:pos="5080" w:val="left"/>
          <w:tab w:leader="none" w:pos="5900" w:val="left"/>
        </w:tabs>
        <w:rPr>
          <w:sz w:val="20"/>
          <w:szCs w:val="20"/>
          <w:color w:val="auto"/>
        </w:rPr>
      </w:pPr>
      <w:r>
        <w:rPr>
          <w:rFonts w:ascii="Courier New" w:cs="Courier New" w:eastAsia="Courier New" w:hAnsi="Courier New"/>
          <w:sz w:val="12"/>
          <w:szCs w:val="12"/>
          <w:color w:val="auto"/>
        </w:rPr>
        <w:t>Interest or</w:t>
        <w:tab/>
        <w:t>principal</w:t>
        <w:tab/>
        <w:t>(as the</w:t>
      </w:r>
    </w:p>
    <w:p>
      <w:pPr>
        <w:spacing w:after="0" w:line="6" w:lineRule="exact"/>
        <w:rPr>
          <w:sz w:val="20"/>
          <w:szCs w:val="20"/>
          <w:color w:val="auto"/>
        </w:rPr>
      </w:pPr>
    </w:p>
    <w:p>
      <w:pPr>
        <w:ind w:left="4140"/>
        <w:spacing w:after="0"/>
        <w:tabs>
          <w:tab w:leader="none" w:pos="4580" w:val="left"/>
          <w:tab w:leader="none" w:pos="5240" w:val="left"/>
          <w:tab w:leader="none" w:pos="5900" w:val="left"/>
        </w:tabs>
        <w:rPr>
          <w:sz w:val="20"/>
          <w:szCs w:val="20"/>
          <w:color w:val="auto"/>
        </w:rPr>
      </w:pPr>
      <w:r>
        <w:rPr>
          <w:rFonts w:ascii="Courier New" w:cs="Courier New" w:eastAsia="Courier New" w:hAnsi="Courier New"/>
          <w:sz w:val="12"/>
          <w:szCs w:val="12"/>
          <w:color w:val="auto"/>
        </w:rPr>
        <w:t>case</w:t>
        <w:tab/>
        <w:t>may be)</w:t>
        <w:tab/>
        <w:t>due and</w:t>
        <w:tab/>
        <w:t>payable</w:t>
      </w:r>
    </w:p>
    <w:p>
      <w:pPr>
        <w:spacing w:after="0" w:line="6" w:lineRule="exact"/>
        <w:rPr>
          <w:sz w:val="20"/>
          <w:szCs w:val="20"/>
          <w:color w:val="auto"/>
        </w:rPr>
      </w:pPr>
    </w:p>
    <w:p>
      <w:pPr>
        <w:ind w:left="4140"/>
        <w:spacing w:after="0"/>
        <w:tabs>
          <w:tab w:leader="none" w:pos="5520" w:val="left"/>
        </w:tabs>
        <w:rPr>
          <w:sz w:val="20"/>
          <w:szCs w:val="20"/>
          <w:color w:val="auto"/>
        </w:rPr>
      </w:pPr>
      <w:r>
        <w:rPr>
          <w:rFonts w:ascii="Courier New" w:cs="Courier New" w:eastAsia="Courier New" w:hAnsi="Courier New"/>
          <w:sz w:val="12"/>
          <w:szCs w:val="12"/>
          <w:color w:val="auto"/>
        </w:rPr>
        <w:t>under the Finance</w:t>
        <w:tab/>
        <w:t>Documents as</w:t>
      </w:r>
    </w:p>
    <w:p>
      <w:pPr>
        <w:spacing w:after="0" w:line="6" w:lineRule="exact"/>
        <w:rPr>
          <w:sz w:val="20"/>
          <w:szCs w:val="20"/>
          <w:color w:val="auto"/>
        </w:rPr>
      </w:pPr>
    </w:p>
    <w:p>
      <w:pPr>
        <w:ind w:left="4140"/>
        <w:spacing w:after="0"/>
        <w:rPr>
          <w:sz w:val="20"/>
          <w:szCs w:val="20"/>
          <w:color w:val="auto"/>
        </w:rPr>
      </w:pPr>
      <w:r>
        <w:rPr>
          <w:rFonts w:ascii="Courier New" w:cs="Courier New" w:eastAsia="Courier New" w:hAnsi="Courier New"/>
          <w:sz w:val="12"/>
          <w:szCs w:val="12"/>
          <w:color w:val="auto"/>
        </w:rPr>
        <w:t>of the Payment Date; and</w:t>
      </w:r>
    </w:p>
    <w:p>
      <w:pPr>
        <w:spacing w:after="0" w:line="289"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- 50 -</w:t>
      </w:r>
    </w:p>
    <w:p>
      <w:pPr>
        <w:spacing w:after="0" w:line="200" w:lineRule="exact"/>
        <w:rPr>
          <w:sz w:val="20"/>
          <w:szCs w:val="20"/>
          <w:color w:val="auto"/>
        </w:rPr>
      </w:pPr>
    </w:p>
    <w:p>
      <w:pPr>
        <w:spacing w:after="0" w:line="353" w:lineRule="exact"/>
        <w:rPr>
          <w:sz w:val="20"/>
          <w:szCs w:val="20"/>
          <w:color w:val="auto"/>
        </w:rPr>
      </w:pPr>
    </w:p>
    <w:p>
      <w:pPr>
        <w:ind w:left="4140"/>
        <w:spacing w:after="0"/>
        <w:tabs>
          <w:tab w:leader="none" w:pos="4800" w:val="left"/>
          <w:tab w:leader="none" w:pos="5160" w:val="left"/>
          <w:tab w:leader="none" w:pos="5740" w:val="left"/>
          <w:tab w:leader="none" w:pos="6200" w:val="left"/>
        </w:tabs>
        <w:rPr>
          <w:sz w:val="20"/>
          <w:szCs w:val="20"/>
          <w:color w:val="auto"/>
        </w:rPr>
      </w:pPr>
      <w:r>
        <w:rPr>
          <w:rFonts w:ascii="Courier New" w:cs="Courier New" w:eastAsia="Courier New" w:hAnsi="Courier New"/>
          <w:sz w:val="12"/>
          <w:szCs w:val="12"/>
          <w:color w:val="auto"/>
        </w:rPr>
        <w:t>(2) in</w:t>
        <w:tab/>
        <w:t>the</w:t>
        <w:tab/>
        <w:t>event</w:t>
        <w:tab/>
        <w:t>that</w:t>
        <w:tab/>
        <w:t>the</w:t>
      </w:r>
    </w:p>
    <w:p>
      <w:pPr>
        <w:spacing w:after="0" w:line="6" w:lineRule="exact"/>
        <w:rPr>
          <w:sz w:val="20"/>
          <w:szCs w:val="20"/>
          <w:color w:val="auto"/>
        </w:rPr>
      </w:pPr>
    </w:p>
    <w:p>
      <w:pPr>
        <w:ind w:left="4140"/>
        <w:spacing w:after="0"/>
        <w:tabs>
          <w:tab w:leader="none" w:pos="4860" w:val="left"/>
          <w:tab w:leader="none" w:pos="5520" w:val="left"/>
          <w:tab w:leader="none" w:pos="6040" w:val="left"/>
        </w:tabs>
        <w:rPr>
          <w:sz w:val="20"/>
          <w:szCs w:val="20"/>
          <w:color w:val="auto"/>
        </w:rPr>
      </w:pPr>
      <w:r>
        <w:rPr>
          <w:rFonts w:ascii="Courier New" w:cs="Courier New" w:eastAsia="Courier New" w:hAnsi="Courier New"/>
          <w:sz w:val="12"/>
          <w:szCs w:val="12"/>
          <w:color w:val="auto"/>
        </w:rPr>
        <w:t>Borrower</w:t>
        <w:tab/>
        <w:t>and the</w:t>
        <w:tab/>
        <w:t>Banks</w:t>
        <w:tab/>
        <w:t>shall</w:t>
      </w:r>
    </w:p>
    <w:p>
      <w:pPr>
        <w:spacing w:after="0" w:line="6" w:lineRule="exact"/>
        <w:rPr>
          <w:sz w:val="20"/>
          <w:szCs w:val="20"/>
          <w:color w:val="auto"/>
        </w:rPr>
      </w:pPr>
    </w:p>
    <w:p>
      <w:pPr>
        <w:ind w:left="4140"/>
        <w:spacing w:after="0"/>
        <w:tabs>
          <w:tab w:leader="none" w:pos="5020" w:val="left"/>
          <w:tab w:leader="none" w:pos="5740" w:val="left"/>
        </w:tabs>
        <w:rPr>
          <w:sz w:val="20"/>
          <w:szCs w:val="20"/>
          <w:color w:val="auto"/>
        </w:rPr>
      </w:pPr>
      <w:r>
        <w:rPr>
          <w:rFonts w:ascii="Courier New" w:cs="Courier New" w:eastAsia="Courier New" w:hAnsi="Courier New"/>
          <w:sz w:val="12"/>
          <w:szCs w:val="12"/>
          <w:color w:val="auto"/>
        </w:rPr>
        <w:t>during the</w:t>
        <w:tab/>
        <w:t>Relevant</w:t>
        <w:tab/>
        <w:t>Six-Month</w:t>
      </w:r>
    </w:p>
    <w:p>
      <w:pPr>
        <w:spacing w:after="0" w:line="6" w:lineRule="exact"/>
        <w:rPr>
          <w:sz w:val="20"/>
          <w:szCs w:val="20"/>
          <w:color w:val="auto"/>
        </w:rPr>
      </w:pPr>
    </w:p>
    <w:p>
      <w:pPr>
        <w:ind w:left="4140"/>
        <w:spacing w:after="0"/>
        <w:tabs>
          <w:tab w:leader="none" w:pos="6120" w:val="left"/>
        </w:tabs>
        <w:rPr>
          <w:sz w:val="20"/>
          <w:szCs w:val="20"/>
          <w:color w:val="auto"/>
        </w:rPr>
      </w:pPr>
      <w:r>
        <w:rPr>
          <w:rFonts w:ascii="Courier New" w:cs="Courier New" w:eastAsia="Courier New" w:hAnsi="Courier New"/>
          <w:sz w:val="12"/>
          <w:szCs w:val="12"/>
          <w:color w:val="auto"/>
        </w:rPr>
        <w:t>Period reach an agreement</w:t>
        <w:tab/>
        <w:t>(the</w:t>
      </w:r>
    </w:p>
    <w:p>
      <w:pPr>
        <w:spacing w:after="0" w:line="6" w:lineRule="exact"/>
        <w:rPr>
          <w:sz w:val="20"/>
          <w:szCs w:val="20"/>
          <w:color w:val="auto"/>
        </w:rPr>
      </w:pPr>
    </w:p>
    <w:p>
      <w:pPr>
        <w:jc w:val="both"/>
        <w:ind w:left="4140"/>
        <w:spacing w:after="0"/>
        <w:tabs>
          <w:tab w:leader="none" w:pos="4860" w:val="left"/>
          <w:tab w:leader="none" w:pos="5600" w:val="left"/>
          <w:tab w:leader="none" w:pos="6260" w:val="left"/>
        </w:tabs>
        <w:rPr>
          <w:sz w:val="20"/>
          <w:szCs w:val="20"/>
          <w:color w:val="auto"/>
        </w:rPr>
      </w:pPr>
      <w:r>
        <w:rPr>
          <w:rFonts w:ascii="Courier New" w:cs="Courier New" w:eastAsia="Courier New" w:hAnsi="Courier New"/>
          <w:sz w:val="12"/>
          <w:szCs w:val="12"/>
          <w:color w:val="auto"/>
        </w:rPr>
        <w:t>Banks</w:t>
      </w:r>
      <w:r>
        <w:rPr>
          <w:sz w:val="20"/>
          <w:szCs w:val="20"/>
          <w:color w:val="auto"/>
        </w:rPr>
        <w:tab/>
      </w:r>
      <w:r>
        <w:rPr>
          <w:rFonts w:ascii="Courier New" w:cs="Courier New" w:eastAsia="Courier New" w:hAnsi="Courier New"/>
          <w:sz w:val="12"/>
          <w:szCs w:val="12"/>
          <w:color w:val="auto"/>
        </w:rPr>
        <w:t>being</w:t>
      </w:r>
      <w:r>
        <w:rPr>
          <w:sz w:val="20"/>
          <w:szCs w:val="20"/>
          <w:color w:val="auto"/>
        </w:rPr>
        <w:tab/>
      </w:r>
      <w:r>
        <w:rPr>
          <w:rFonts w:ascii="Courier New" w:cs="Courier New" w:eastAsia="Courier New" w:hAnsi="Courier New"/>
          <w:sz w:val="12"/>
          <w:szCs w:val="12"/>
          <w:color w:val="auto"/>
        </w:rPr>
        <w:t>under</w:t>
      </w:r>
      <w:r>
        <w:rPr>
          <w:sz w:val="20"/>
          <w:szCs w:val="20"/>
          <w:color w:val="auto"/>
        </w:rPr>
        <w:tab/>
      </w:r>
      <w:r>
        <w:rPr>
          <w:rFonts w:ascii="Courier New" w:cs="Courier New" w:eastAsia="Courier New" w:hAnsi="Courier New"/>
          <w:sz w:val="12"/>
          <w:szCs w:val="12"/>
          <w:color w:val="auto"/>
        </w:rPr>
        <w:t>no</w:t>
      </w:r>
    </w:p>
    <w:p>
      <w:pPr>
        <w:spacing w:after="0" w:line="6" w:lineRule="exact"/>
        <w:rPr>
          <w:sz w:val="20"/>
          <w:szCs w:val="20"/>
          <w:color w:val="auto"/>
        </w:rPr>
      </w:pPr>
    </w:p>
    <w:p>
      <w:pPr>
        <w:ind w:left="4140"/>
        <w:spacing w:after="0"/>
        <w:tabs>
          <w:tab w:leader="none" w:pos="5240" w:val="left"/>
          <w:tab w:leader="none" w:pos="6260" w:val="left"/>
        </w:tabs>
        <w:rPr>
          <w:sz w:val="20"/>
          <w:szCs w:val="20"/>
          <w:color w:val="auto"/>
        </w:rPr>
      </w:pPr>
      <w:r>
        <w:rPr>
          <w:rFonts w:ascii="Courier New" w:cs="Courier New" w:eastAsia="Courier New" w:hAnsi="Courier New"/>
          <w:sz w:val="12"/>
          <w:szCs w:val="12"/>
          <w:color w:val="auto"/>
        </w:rPr>
        <w:t>obligation</w:t>
      </w:r>
      <w:r>
        <w:rPr>
          <w:sz w:val="20"/>
          <w:szCs w:val="20"/>
          <w:color w:val="auto"/>
        </w:rPr>
        <w:tab/>
      </w:r>
      <w:r>
        <w:rPr>
          <w:rFonts w:ascii="Courier New" w:cs="Courier New" w:eastAsia="Courier New" w:hAnsi="Courier New"/>
          <w:sz w:val="12"/>
          <w:szCs w:val="12"/>
          <w:color w:val="auto"/>
        </w:rPr>
        <w:t>whatsoever</w:t>
      </w:r>
      <w:r>
        <w:rPr>
          <w:sz w:val="20"/>
          <w:szCs w:val="20"/>
          <w:color w:val="auto"/>
        </w:rPr>
        <w:tab/>
      </w:r>
      <w:r>
        <w:rPr>
          <w:rFonts w:ascii="Courier New" w:cs="Courier New" w:eastAsia="Courier New" w:hAnsi="Courier New"/>
          <w:sz w:val="12"/>
          <w:szCs w:val="12"/>
          <w:color w:val="auto"/>
        </w:rPr>
        <w:t>to</w:t>
      </w:r>
    </w:p>
    <w:p>
      <w:pPr>
        <w:spacing w:after="0" w:line="6" w:lineRule="exact"/>
        <w:rPr>
          <w:sz w:val="20"/>
          <w:szCs w:val="20"/>
          <w:color w:val="auto"/>
        </w:rPr>
      </w:pPr>
    </w:p>
    <w:p>
      <w:pPr>
        <w:ind w:left="4140"/>
        <w:spacing w:after="0"/>
        <w:tabs>
          <w:tab w:leader="none" w:pos="4940" w:val="left"/>
          <w:tab w:leader="none" w:pos="5240" w:val="left"/>
          <w:tab w:leader="none" w:pos="5740" w:val="left"/>
          <w:tab w:leader="none" w:pos="6120" w:val="left"/>
        </w:tabs>
        <w:rPr>
          <w:sz w:val="20"/>
          <w:szCs w:val="20"/>
          <w:color w:val="auto"/>
        </w:rPr>
      </w:pPr>
      <w:r>
        <w:rPr>
          <w:rFonts w:ascii="Courier New" w:cs="Courier New" w:eastAsia="Courier New" w:hAnsi="Courier New"/>
          <w:sz w:val="12"/>
          <w:szCs w:val="12"/>
          <w:color w:val="auto"/>
        </w:rPr>
        <w:t>negotiate</w:t>
        <w:tab/>
        <w:t>or</w:t>
        <w:tab/>
        <w:t>reach</w:t>
        <w:tab/>
        <w:t>any</w:t>
        <w:tab/>
        <w:t>such</w:t>
      </w:r>
    </w:p>
    <w:p>
      <w:pPr>
        <w:spacing w:after="0" w:line="6" w:lineRule="exact"/>
        <w:rPr>
          <w:sz w:val="20"/>
          <w:szCs w:val="20"/>
          <w:color w:val="auto"/>
        </w:rPr>
      </w:pPr>
    </w:p>
    <w:p>
      <w:pPr>
        <w:ind w:left="4140"/>
        <w:spacing w:after="0"/>
        <w:rPr>
          <w:sz w:val="20"/>
          <w:szCs w:val="20"/>
          <w:color w:val="auto"/>
        </w:rPr>
      </w:pPr>
      <w:r>
        <w:rPr>
          <w:rFonts w:ascii="Courier New" w:cs="Courier New" w:eastAsia="Courier New" w:hAnsi="Courier New"/>
          <w:sz w:val="12"/>
          <w:szCs w:val="12"/>
          <w:color w:val="auto"/>
        </w:rPr>
        <w:t>agreement):</w:t>
      </w:r>
    </w:p>
    <w:p>
      <w:pPr>
        <w:spacing w:after="0" w:line="147" w:lineRule="exact"/>
        <w:rPr>
          <w:sz w:val="20"/>
          <w:szCs w:val="20"/>
          <w:color w:val="auto"/>
        </w:rPr>
      </w:pPr>
    </w:p>
    <w:p>
      <w:pPr>
        <w:jc w:val="both"/>
        <w:ind w:left="4140"/>
        <w:spacing w:after="0"/>
        <w:tabs>
          <w:tab w:leader="none" w:pos="4640" w:val="left"/>
          <w:tab w:leader="none" w:pos="6340" w:val="left"/>
        </w:tabs>
        <w:rPr>
          <w:sz w:val="20"/>
          <w:szCs w:val="20"/>
          <w:color w:val="auto"/>
        </w:rPr>
      </w:pPr>
      <w:r>
        <w:rPr>
          <w:rFonts w:ascii="Courier New" w:cs="Courier New" w:eastAsia="Courier New" w:hAnsi="Courier New"/>
          <w:sz w:val="12"/>
          <w:szCs w:val="12"/>
          <w:color w:val="auto"/>
        </w:rPr>
        <w:t>(A)</w:t>
      </w:r>
      <w:r>
        <w:rPr>
          <w:sz w:val="20"/>
          <w:szCs w:val="20"/>
          <w:color w:val="auto"/>
        </w:rPr>
        <w:tab/>
      </w:r>
      <w:r>
        <w:rPr>
          <w:rFonts w:ascii="Courier New" w:cs="Courier New" w:eastAsia="Courier New" w:hAnsi="Courier New"/>
          <w:sz w:val="12"/>
          <w:szCs w:val="12"/>
          <w:color w:val="auto"/>
        </w:rPr>
        <w:t>regarding</w:t>
      </w:r>
      <w:r>
        <w:rPr>
          <w:sz w:val="20"/>
          <w:szCs w:val="20"/>
          <w:color w:val="auto"/>
        </w:rPr>
        <w:tab/>
      </w:r>
      <w:r>
        <w:rPr>
          <w:rFonts w:ascii="Courier New" w:cs="Courier New" w:eastAsia="Courier New" w:hAnsi="Courier New"/>
          <w:sz w:val="12"/>
          <w:szCs w:val="12"/>
          <w:color w:val="auto"/>
        </w:rPr>
        <w:t>a</w:t>
      </w:r>
    </w:p>
    <w:p>
      <w:pPr>
        <w:sectPr>
          <w:pgSz w:w="11900" w:h="16844" w:orient="portrait"/>
          <w:cols w:equalWidth="0" w:num="1">
            <w:col w:w="9019"/>
          </w:cols>
          <w:pgMar w:left="1440" w:top="283" w:right="1440" w:bottom="0" w:gutter="0" w:footer="0" w:header="0"/>
        </w:sectPr>
      </w:pPr>
    </w:p>
    <w:bookmarkStart w:id="94" w:name="page95"/>
    <w:bookmarkEnd w:id="94"/>
    <w:p>
      <w:pPr>
        <w:spacing w:after="0" w:line="5" w:lineRule="exact"/>
        <w:rPr>
          <w:sz w:val="20"/>
          <w:szCs w:val="20"/>
          <w:color w:val="auto"/>
        </w:rPr>
      </w:pPr>
    </w:p>
    <w:p>
      <w:pPr>
        <w:jc w:val="both"/>
        <w:ind w:left="4660"/>
        <w:spacing w:after="0"/>
        <w:tabs>
          <w:tab w:leader="none" w:pos="6260" w:val="left"/>
        </w:tabs>
        <w:rPr>
          <w:sz w:val="20"/>
          <w:szCs w:val="20"/>
          <w:color w:val="auto"/>
        </w:rPr>
      </w:pPr>
      <w:r>
        <w:rPr>
          <w:rFonts w:ascii="Courier New" w:cs="Courier New" w:eastAsia="Courier New" w:hAnsi="Courier New"/>
          <w:sz w:val="12"/>
          <w:szCs w:val="12"/>
          <w:color w:val="auto"/>
        </w:rPr>
        <w:t>rescheduling</w:t>
      </w:r>
      <w:r>
        <w:rPr>
          <w:sz w:val="20"/>
          <w:szCs w:val="20"/>
          <w:color w:val="auto"/>
        </w:rPr>
        <w:tab/>
      </w:r>
      <w:r>
        <w:rPr>
          <w:rFonts w:ascii="Courier New" w:cs="Courier New" w:eastAsia="Courier New" w:hAnsi="Courier New"/>
          <w:sz w:val="12"/>
          <w:szCs w:val="12"/>
          <w:color w:val="auto"/>
        </w:rPr>
        <w:t>of</w:t>
      </w:r>
    </w:p>
    <w:p>
      <w:pPr>
        <w:spacing w:after="0" w:line="6" w:lineRule="exact"/>
        <w:rPr>
          <w:sz w:val="20"/>
          <w:szCs w:val="20"/>
          <w:color w:val="auto"/>
        </w:rPr>
      </w:pPr>
    </w:p>
    <w:p>
      <w:pPr>
        <w:ind w:left="4660"/>
        <w:spacing w:after="0"/>
        <w:tabs>
          <w:tab w:leader="none" w:pos="5680" w:val="left"/>
          <w:tab w:leader="none" w:pos="6200" w:val="left"/>
        </w:tabs>
        <w:rPr>
          <w:sz w:val="20"/>
          <w:szCs w:val="20"/>
          <w:color w:val="auto"/>
        </w:rPr>
      </w:pPr>
      <w:r>
        <w:rPr>
          <w:rFonts w:ascii="Courier New" w:cs="Courier New" w:eastAsia="Courier New" w:hAnsi="Courier New"/>
          <w:sz w:val="12"/>
          <w:szCs w:val="12"/>
          <w:color w:val="auto"/>
        </w:rPr>
        <w:t>payments</w:t>
      </w:r>
      <w:r>
        <w:rPr>
          <w:sz w:val="20"/>
          <w:szCs w:val="20"/>
          <w:color w:val="auto"/>
        </w:rPr>
        <w:tab/>
      </w: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2"/>
          <w:szCs w:val="12"/>
          <w:color w:val="auto"/>
        </w:rPr>
        <w:t>the</w:t>
      </w:r>
    </w:p>
    <w:p>
      <w:pPr>
        <w:spacing w:after="0" w:line="6" w:lineRule="exact"/>
        <w:rPr>
          <w:sz w:val="20"/>
          <w:szCs w:val="20"/>
          <w:color w:val="auto"/>
        </w:rPr>
      </w:pPr>
    </w:p>
    <w:p>
      <w:pPr>
        <w:ind w:left="4660"/>
        <w:spacing w:after="0"/>
        <w:tabs>
          <w:tab w:leader="none" w:pos="5380" w:val="left"/>
          <w:tab w:leader="none" w:pos="5680" w:val="left"/>
          <w:tab w:leader="none" w:pos="6040" w:val="left"/>
        </w:tabs>
        <w:rPr>
          <w:sz w:val="20"/>
          <w:szCs w:val="20"/>
          <w:color w:val="auto"/>
        </w:rPr>
      </w:pPr>
      <w:r>
        <w:rPr>
          <w:rFonts w:ascii="Courier New" w:cs="Courier New" w:eastAsia="Courier New" w:hAnsi="Courier New"/>
          <w:sz w:val="12"/>
          <w:szCs w:val="12"/>
          <w:color w:val="auto"/>
        </w:rPr>
        <w:t>Borrower</w:t>
        <w:tab/>
        <w:t>to</w:t>
        <w:tab/>
        <w:t>the</w:t>
        <w:tab/>
        <w:t>Banks</w:t>
      </w:r>
    </w:p>
    <w:p>
      <w:pPr>
        <w:spacing w:after="0" w:line="6" w:lineRule="exact"/>
        <w:rPr>
          <w:sz w:val="20"/>
          <w:szCs w:val="20"/>
          <w:color w:val="auto"/>
        </w:rPr>
      </w:pPr>
    </w:p>
    <w:p>
      <w:pPr>
        <w:jc w:val="both"/>
        <w:ind w:left="4660"/>
        <w:spacing w:after="0"/>
        <w:tabs>
          <w:tab w:leader="none" w:pos="5300" w:val="left"/>
          <w:tab w:leader="none" w:pos="5900" w:val="left"/>
        </w:tabs>
        <w:rPr>
          <w:sz w:val="20"/>
          <w:szCs w:val="20"/>
          <w:color w:val="auto"/>
        </w:rPr>
      </w:pPr>
      <w:r>
        <w:rPr>
          <w:rFonts w:ascii="Courier New" w:cs="Courier New" w:eastAsia="Courier New" w:hAnsi="Courier New"/>
          <w:sz w:val="12"/>
          <w:szCs w:val="12"/>
          <w:color w:val="auto"/>
        </w:rPr>
        <w:t>under</w:t>
      </w:r>
      <w:r>
        <w:rPr>
          <w:sz w:val="20"/>
          <w:szCs w:val="20"/>
          <w:color w:val="auto"/>
        </w:rPr>
        <w:tab/>
      </w:r>
      <w:r>
        <w:rPr>
          <w:rFonts w:ascii="Courier New" w:cs="Courier New" w:eastAsia="Courier New" w:hAnsi="Courier New"/>
          <w:sz w:val="12"/>
          <w:szCs w:val="12"/>
          <w:color w:val="auto"/>
        </w:rPr>
        <w:t>the</w:t>
      </w:r>
      <w:r>
        <w:rPr>
          <w:sz w:val="20"/>
          <w:szCs w:val="20"/>
          <w:color w:val="auto"/>
        </w:rPr>
        <w:tab/>
      </w:r>
      <w:r>
        <w:rPr>
          <w:rFonts w:ascii="Courier New" w:cs="Courier New" w:eastAsia="Courier New" w:hAnsi="Courier New"/>
          <w:sz w:val="12"/>
          <w:szCs w:val="12"/>
          <w:color w:val="auto"/>
        </w:rPr>
        <w:t>Finance</w:t>
      </w:r>
    </w:p>
    <w:p>
      <w:pPr>
        <w:spacing w:after="0" w:line="6" w:lineRule="exact"/>
        <w:rPr>
          <w:sz w:val="20"/>
          <w:szCs w:val="20"/>
          <w:color w:val="auto"/>
        </w:rPr>
      </w:pPr>
    </w:p>
    <w:p>
      <w:pPr>
        <w:jc w:val="both"/>
        <w:ind w:left="4660"/>
        <w:spacing w:after="0"/>
        <w:tabs>
          <w:tab w:leader="none" w:pos="6120" w:val="left"/>
        </w:tabs>
        <w:rPr>
          <w:sz w:val="20"/>
          <w:szCs w:val="20"/>
          <w:color w:val="auto"/>
        </w:rPr>
      </w:pPr>
      <w:r>
        <w:rPr>
          <w:rFonts w:ascii="Courier New" w:cs="Courier New" w:eastAsia="Courier New" w:hAnsi="Courier New"/>
          <w:sz w:val="12"/>
          <w:szCs w:val="12"/>
          <w:color w:val="auto"/>
        </w:rPr>
        <w:t>Documents,</w:t>
      </w:r>
      <w:r>
        <w:rPr>
          <w:sz w:val="20"/>
          <w:szCs w:val="20"/>
          <w:color w:val="auto"/>
        </w:rPr>
        <w:tab/>
      </w:r>
      <w:r>
        <w:rPr>
          <w:rFonts w:ascii="Courier New" w:cs="Courier New" w:eastAsia="Courier New" w:hAnsi="Courier New"/>
          <w:sz w:val="12"/>
          <w:szCs w:val="12"/>
          <w:color w:val="auto"/>
        </w:rPr>
        <w:t>such</w:t>
      </w:r>
    </w:p>
    <w:p>
      <w:pPr>
        <w:spacing w:after="0" w:line="6" w:lineRule="exact"/>
        <w:rPr>
          <w:sz w:val="20"/>
          <w:szCs w:val="20"/>
          <w:color w:val="auto"/>
        </w:rPr>
      </w:pPr>
    </w:p>
    <w:p>
      <w:pPr>
        <w:jc w:val="both"/>
        <w:ind w:left="4660"/>
        <w:spacing w:after="0"/>
        <w:tabs>
          <w:tab w:leader="none" w:pos="5820" w:val="left"/>
        </w:tabs>
        <w:rPr>
          <w:sz w:val="20"/>
          <w:szCs w:val="20"/>
          <w:color w:val="auto"/>
        </w:rPr>
      </w:pPr>
      <w:r>
        <w:rPr>
          <w:rFonts w:ascii="Courier New" w:cs="Courier New" w:eastAsia="Courier New" w:hAnsi="Courier New"/>
          <w:sz w:val="12"/>
          <w:szCs w:val="12"/>
          <w:color w:val="auto"/>
        </w:rPr>
        <w:t>rescheduling</w:t>
      </w:r>
      <w:r>
        <w:rPr>
          <w:sz w:val="20"/>
          <w:szCs w:val="20"/>
          <w:color w:val="auto"/>
        </w:rPr>
        <w:tab/>
      </w:r>
      <w:r>
        <w:rPr>
          <w:rFonts w:ascii="Courier New" w:cs="Courier New" w:eastAsia="Courier New" w:hAnsi="Courier New"/>
          <w:sz w:val="12"/>
          <w:szCs w:val="12"/>
          <w:color w:val="auto"/>
        </w:rPr>
        <w:t>(whether</w:t>
      </w:r>
    </w:p>
    <w:p>
      <w:pPr>
        <w:spacing w:after="0" w:line="6" w:lineRule="exact"/>
        <w:rPr>
          <w:sz w:val="20"/>
          <w:szCs w:val="20"/>
          <w:color w:val="auto"/>
        </w:rPr>
      </w:pPr>
    </w:p>
    <w:p>
      <w:pPr>
        <w:ind w:left="4660"/>
        <w:spacing w:after="0"/>
        <w:tabs>
          <w:tab w:leader="none" w:pos="5240" w:val="left"/>
          <w:tab w:leader="none" w:pos="6260" w:val="left"/>
        </w:tabs>
        <w:rPr>
          <w:sz w:val="20"/>
          <w:szCs w:val="20"/>
          <w:color w:val="auto"/>
        </w:rPr>
      </w:pPr>
      <w:r>
        <w:rPr>
          <w:rFonts w:ascii="Courier New" w:cs="Courier New" w:eastAsia="Courier New" w:hAnsi="Courier New"/>
          <w:sz w:val="12"/>
          <w:szCs w:val="12"/>
          <w:color w:val="auto"/>
        </w:rPr>
        <w:t>of</w:t>
      </w:r>
      <w:r>
        <w:rPr>
          <w:sz w:val="20"/>
          <w:szCs w:val="20"/>
          <w:color w:val="auto"/>
        </w:rPr>
        <w:tab/>
      </w:r>
      <w:r>
        <w:rPr>
          <w:rFonts w:ascii="Courier New" w:cs="Courier New" w:eastAsia="Courier New" w:hAnsi="Courier New"/>
          <w:sz w:val="12"/>
          <w:szCs w:val="12"/>
          <w:color w:val="auto"/>
        </w:rPr>
        <w:t>principal</w:t>
      </w:r>
      <w:r>
        <w:rPr>
          <w:sz w:val="20"/>
          <w:szCs w:val="20"/>
          <w:color w:val="auto"/>
        </w:rPr>
        <w:tab/>
      </w:r>
      <w:r>
        <w:rPr>
          <w:rFonts w:ascii="Courier New" w:cs="Courier New" w:eastAsia="Courier New" w:hAnsi="Courier New"/>
          <w:sz w:val="12"/>
          <w:szCs w:val="12"/>
          <w:color w:val="auto"/>
        </w:rPr>
        <w:t>or</w:t>
      </w:r>
    </w:p>
    <w:p>
      <w:pPr>
        <w:spacing w:after="0" w:line="6" w:lineRule="exact"/>
        <w:rPr>
          <w:sz w:val="20"/>
          <w:szCs w:val="20"/>
          <w:color w:val="auto"/>
        </w:rPr>
      </w:pPr>
    </w:p>
    <w:p>
      <w:pPr>
        <w:ind w:left="4660"/>
        <w:spacing w:after="0"/>
        <w:tabs>
          <w:tab w:leader="none" w:pos="5520" w:val="left"/>
          <w:tab w:leader="none" w:pos="6040" w:val="left"/>
        </w:tabs>
        <w:rPr>
          <w:sz w:val="20"/>
          <w:szCs w:val="20"/>
          <w:color w:val="auto"/>
        </w:rPr>
      </w:pPr>
      <w:r>
        <w:rPr>
          <w:rFonts w:ascii="Courier New" w:cs="Courier New" w:eastAsia="Courier New" w:hAnsi="Courier New"/>
          <w:sz w:val="12"/>
          <w:szCs w:val="12"/>
          <w:color w:val="auto"/>
        </w:rPr>
        <w:t>Interest)</w:t>
        <w:tab/>
        <w:t>shall</w:t>
        <w:tab/>
        <w:t>apply</w:t>
      </w:r>
    </w:p>
    <w:p>
      <w:pPr>
        <w:spacing w:after="0" w:line="6" w:lineRule="exact"/>
        <w:rPr>
          <w:sz w:val="20"/>
          <w:szCs w:val="20"/>
          <w:color w:val="auto"/>
        </w:rPr>
      </w:pPr>
    </w:p>
    <w:p>
      <w:pPr>
        <w:ind w:left="4660"/>
        <w:spacing w:after="0"/>
        <w:tabs>
          <w:tab w:leader="none" w:pos="5160" w:val="left"/>
          <w:tab w:leader="none" w:pos="5740" w:val="left"/>
          <w:tab w:leader="none" w:pos="6260" w:val="left"/>
        </w:tabs>
        <w:rPr>
          <w:sz w:val="20"/>
          <w:szCs w:val="20"/>
          <w:color w:val="auto"/>
        </w:rPr>
      </w:pPr>
      <w:r>
        <w:rPr>
          <w:rFonts w:ascii="Courier New" w:cs="Courier New" w:eastAsia="Courier New" w:hAnsi="Courier New"/>
          <w:sz w:val="12"/>
          <w:szCs w:val="12"/>
          <w:color w:val="auto"/>
        </w:rPr>
        <w:t>pro</w:t>
      </w:r>
      <w:r>
        <w:rPr>
          <w:sz w:val="20"/>
          <w:szCs w:val="20"/>
          <w:color w:val="auto"/>
        </w:rPr>
        <w:tab/>
      </w:r>
      <w:r>
        <w:rPr>
          <w:rFonts w:ascii="Courier New" w:cs="Courier New" w:eastAsia="Courier New" w:hAnsi="Courier New"/>
          <w:sz w:val="12"/>
          <w:szCs w:val="12"/>
          <w:color w:val="auto"/>
        </w:rPr>
        <w:t>rata</w:t>
      </w:r>
      <w:r>
        <w:rPr>
          <w:sz w:val="20"/>
          <w:szCs w:val="20"/>
          <w:color w:val="auto"/>
        </w:rPr>
        <w:tab/>
      </w:r>
      <w:r>
        <w:rPr>
          <w:rFonts w:ascii="Courier New" w:cs="Courier New" w:eastAsia="Courier New" w:hAnsi="Courier New"/>
          <w:sz w:val="12"/>
          <w:szCs w:val="12"/>
          <w:color w:val="auto"/>
        </w:rPr>
        <w:t>also</w:t>
        <w:tab/>
        <w:t>to</w:t>
      </w:r>
    </w:p>
    <w:p>
      <w:pPr>
        <w:spacing w:after="0" w:line="6" w:lineRule="exact"/>
        <w:rPr>
          <w:sz w:val="20"/>
          <w:szCs w:val="20"/>
          <w:color w:val="auto"/>
        </w:rPr>
      </w:pPr>
    </w:p>
    <w:p>
      <w:pPr>
        <w:ind w:left="4660"/>
        <w:spacing w:after="0"/>
        <w:tabs>
          <w:tab w:leader="none" w:pos="5380" w:val="left"/>
          <w:tab w:leader="none" w:pos="5740" w:val="left"/>
        </w:tabs>
        <w:rPr>
          <w:sz w:val="20"/>
          <w:szCs w:val="20"/>
          <w:color w:val="auto"/>
        </w:rPr>
      </w:pPr>
      <w:r>
        <w:rPr>
          <w:rFonts w:ascii="Courier New" w:cs="Courier New" w:eastAsia="Courier New" w:hAnsi="Courier New"/>
          <w:sz w:val="12"/>
          <w:szCs w:val="12"/>
          <w:color w:val="auto"/>
        </w:rPr>
        <w:t>payments</w:t>
        <w:tab/>
        <w:t>of</w:t>
        <w:tab/>
        <w:t>principal</w:t>
      </w:r>
    </w:p>
    <w:p>
      <w:pPr>
        <w:spacing w:after="0" w:line="6" w:lineRule="exact"/>
        <w:rPr>
          <w:sz w:val="20"/>
          <w:szCs w:val="20"/>
          <w:color w:val="auto"/>
        </w:rPr>
      </w:pPr>
    </w:p>
    <w:p>
      <w:pPr>
        <w:ind w:left="4660"/>
        <w:spacing w:after="0"/>
        <w:tabs>
          <w:tab w:leader="none" w:pos="5980" w:val="left"/>
        </w:tabs>
        <w:rPr>
          <w:sz w:val="20"/>
          <w:szCs w:val="20"/>
          <w:color w:val="auto"/>
        </w:rPr>
      </w:pPr>
      <w:r>
        <w:rPr>
          <w:rFonts w:ascii="Courier New" w:cs="Courier New" w:eastAsia="Courier New" w:hAnsi="Courier New"/>
          <w:sz w:val="12"/>
          <w:szCs w:val="12"/>
          <w:color w:val="auto"/>
        </w:rPr>
        <w:t>and/or Interest,</w:t>
        <w:tab/>
        <w:t>as the</w:t>
      </w:r>
    </w:p>
    <w:p>
      <w:pPr>
        <w:spacing w:after="0" w:line="289"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- 51 -</w:t>
      </w:r>
    </w:p>
    <w:p>
      <w:pPr>
        <w:spacing w:after="0" w:line="200" w:lineRule="exact"/>
        <w:rPr>
          <w:sz w:val="20"/>
          <w:szCs w:val="20"/>
          <w:color w:val="auto"/>
        </w:rPr>
      </w:pPr>
    </w:p>
    <w:p>
      <w:pPr>
        <w:spacing w:after="0" w:line="353" w:lineRule="exact"/>
        <w:rPr>
          <w:sz w:val="20"/>
          <w:szCs w:val="20"/>
          <w:color w:val="auto"/>
        </w:rPr>
      </w:pPr>
    </w:p>
    <w:p>
      <w:pPr>
        <w:jc w:val="right"/>
        <w:ind w:right="2579"/>
        <w:spacing w:after="0"/>
        <w:tabs>
          <w:tab w:leader="none" w:pos="500" w:val="left"/>
        </w:tabs>
        <w:rPr>
          <w:sz w:val="20"/>
          <w:szCs w:val="20"/>
          <w:color w:val="auto"/>
        </w:rPr>
      </w:pPr>
      <w:r>
        <w:rPr>
          <w:rFonts w:ascii="Courier New" w:cs="Courier New" w:eastAsia="Courier New" w:hAnsi="Courier New"/>
          <w:sz w:val="12"/>
          <w:szCs w:val="12"/>
          <w:color w:val="auto"/>
        </w:rPr>
        <w:t>case may be, in</w:t>
        <w:tab/>
        <w:t>respect</w:t>
      </w:r>
    </w:p>
    <w:p>
      <w:pPr>
        <w:spacing w:after="0" w:line="6" w:lineRule="exact"/>
        <w:rPr>
          <w:sz w:val="20"/>
          <w:szCs w:val="20"/>
          <w:color w:val="auto"/>
        </w:rPr>
      </w:pPr>
    </w:p>
    <w:p>
      <w:pPr>
        <w:ind w:left="4660"/>
        <w:spacing w:after="0"/>
        <w:tabs>
          <w:tab w:leader="none" w:pos="5240" w:val="left"/>
          <w:tab w:leader="none" w:pos="5980" w:val="left"/>
        </w:tabs>
        <w:rPr>
          <w:sz w:val="20"/>
          <w:szCs w:val="20"/>
          <w:color w:val="auto"/>
        </w:rPr>
      </w:pPr>
      <w:r>
        <w:rPr>
          <w:rFonts w:ascii="Courier New" w:cs="Courier New" w:eastAsia="Courier New" w:hAnsi="Courier New"/>
          <w:sz w:val="12"/>
          <w:szCs w:val="12"/>
          <w:color w:val="auto"/>
        </w:rPr>
        <w:t>of</w:t>
      </w:r>
      <w:r>
        <w:rPr>
          <w:sz w:val="20"/>
          <w:szCs w:val="20"/>
          <w:color w:val="auto"/>
        </w:rPr>
        <w:tab/>
      </w:r>
      <w:r>
        <w:rPr>
          <w:rFonts w:ascii="Courier New" w:cs="Courier New" w:eastAsia="Courier New" w:hAnsi="Courier New"/>
          <w:sz w:val="12"/>
          <w:szCs w:val="12"/>
          <w:color w:val="auto"/>
        </w:rPr>
        <w:t>the</w:t>
      </w:r>
      <w:r>
        <w:rPr>
          <w:sz w:val="20"/>
          <w:szCs w:val="20"/>
          <w:color w:val="auto"/>
        </w:rPr>
        <w:tab/>
      </w:r>
      <w:r>
        <w:rPr>
          <w:rFonts w:ascii="Courier New" w:cs="Courier New" w:eastAsia="Courier New" w:hAnsi="Courier New"/>
          <w:sz w:val="12"/>
          <w:szCs w:val="12"/>
          <w:color w:val="auto"/>
        </w:rPr>
        <w:t>Equity</w:t>
      </w:r>
    </w:p>
    <w:p>
      <w:pPr>
        <w:spacing w:after="0" w:line="6" w:lineRule="exact"/>
        <w:rPr>
          <w:sz w:val="20"/>
          <w:szCs w:val="20"/>
          <w:color w:val="auto"/>
        </w:rPr>
      </w:pPr>
    </w:p>
    <w:p>
      <w:pPr>
        <w:ind w:left="4660"/>
        <w:spacing w:after="0"/>
        <w:tabs>
          <w:tab w:leader="none" w:pos="5600" w:val="left"/>
        </w:tabs>
        <w:rPr>
          <w:sz w:val="20"/>
          <w:szCs w:val="20"/>
          <w:color w:val="auto"/>
        </w:rPr>
      </w:pPr>
      <w:r>
        <w:rPr>
          <w:rFonts w:ascii="Courier New" w:cs="Courier New" w:eastAsia="Courier New" w:hAnsi="Courier New"/>
          <w:sz w:val="12"/>
          <w:szCs w:val="12"/>
          <w:color w:val="auto"/>
        </w:rPr>
        <w:t>Convertible</w:t>
        <w:tab/>
        <w:t>Debentures,</w:t>
      </w:r>
    </w:p>
    <w:p>
      <w:pPr>
        <w:spacing w:after="0" w:line="6" w:lineRule="exact"/>
        <w:rPr>
          <w:sz w:val="20"/>
          <w:szCs w:val="20"/>
          <w:color w:val="auto"/>
        </w:rPr>
      </w:pPr>
    </w:p>
    <w:p>
      <w:pPr>
        <w:ind w:left="4660"/>
        <w:spacing w:after="0"/>
        <w:tabs>
          <w:tab w:leader="none" w:pos="5300" w:val="left"/>
          <w:tab w:leader="none" w:pos="6200" w:val="left"/>
        </w:tabs>
        <w:rPr>
          <w:sz w:val="20"/>
          <w:szCs w:val="20"/>
          <w:color w:val="auto"/>
        </w:rPr>
      </w:pPr>
      <w:r>
        <w:rPr>
          <w:rFonts w:ascii="Courier New" w:cs="Courier New" w:eastAsia="Courier New" w:hAnsi="Courier New"/>
          <w:sz w:val="12"/>
          <w:szCs w:val="12"/>
          <w:color w:val="auto"/>
        </w:rPr>
        <w:t>MUTATIS</w:t>
        <w:tab/>
        <w:t>MUTANDIS,</w:t>
        <w:tab/>
        <w:t>and</w:t>
      </w:r>
    </w:p>
    <w:p>
      <w:pPr>
        <w:spacing w:after="0" w:line="6" w:lineRule="exact"/>
        <w:rPr>
          <w:sz w:val="20"/>
          <w:szCs w:val="20"/>
          <w:color w:val="auto"/>
        </w:rPr>
      </w:pPr>
    </w:p>
    <w:p>
      <w:pPr>
        <w:ind w:left="4660"/>
        <w:spacing w:after="0"/>
        <w:tabs>
          <w:tab w:leader="none" w:pos="5080" w:val="left"/>
          <w:tab w:leader="none" w:pos="5820" w:val="left"/>
          <w:tab w:leader="none" w:pos="6200" w:val="left"/>
        </w:tabs>
        <w:rPr>
          <w:sz w:val="20"/>
          <w:szCs w:val="20"/>
          <w:color w:val="auto"/>
        </w:rPr>
      </w:pPr>
      <w:r>
        <w:rPr>
          <w:rFonts w:ascii="Courier New" w:cs="Courier New" w:eastAsia="Courier New" w:hAnsi="Courier New"/>
          <w:sz w:val="12"/>
          <w:szCs w:val="12"/>
          <w:color w:val="auto"/>
        </w:rPr>
        <w:t>the</w:t>
        <w:tab/>
        <w:t>holders</w:t>
        <w:tab/>
        <w:t>of</w:t>
        <w:tab/>
        <w:t>the</w:t>
      </w:r>
    </w:p>
    <w:p>
      <w:pPr>
        <w:spacing w:after="0" w:line="6" w:lineRule="exact"/>
        <w:rPr>
          <w:sz w:val="20"/>
          <w:szCs w:val="20"/>
          <w:color w:val="auto"/>
        </w:rPr>
      </w:pPr>
    </w:p>
    <w:p>
      <w:pPr>
        <w:jc w:val="both"/>
        <w:ind w:left="4660"/>
        <w:spacing w:after="0"/>
        <w:tabs>
          <w:tab w:leader="none" w:pos="5600" w:val="left"/>
        </w:tabs>
        <w:rPr>
          <w:sz w:val="20"/>
          <w:szCs w:val="20"/>
          <w:color w:val="auto"/>
        </w:rPr>
      </w:pPr>
      <w:r>
        <w:rPr>
          <w:rFonts w:ascii="Courier New" w:cs="Courier New" w:eastAsia="Courier New" w:hAnsi="Courier New"/>
          <w:sz w:val="12"/>
          <w:szCs w:val="12"/>
          <w:color w:val="auto"/>
        </w:rPr>
        <w:t>Equity</w:t>
      </w:r>
      <w:r>
        <w:rPr>
          <w:sz w:val="20"/>
          <w:szCs w:val="20"/>
          <w:color w:val="auto"/>
        </w:rPr>
        <w:tab/>
      </w:r>
      <w:r>
        <w:rPr>
          <w:rFonts w:ascii="Courier New" w:cs="Courier New" w:eastAsia="Courier New" w:hAnsi="Courier New"/>
          <w:sz w:val="12"/>
          <w:szCs w:val="12"/>
          <w:color w:val="auto"/>
        </w:rPr>
        <w:t>Convertible</w:t>
      </w:r>
    </w:p>
    <w:p>
      <w:pPr>
        <w:spacing w:after="0" w:line="6" w:lineRule="exact"/>
        <w:rPr>
          <w:sz w:val="20"/>
          <w:szCs w:val="20"/>
          <w:color w:val="auto"/>
        </w:rPr>
      </w:pPr>
    </w:p>
    <w:p>
      <w:pPr>
        <w:jc w:val="both"/>
        <w:ind w:left="4660"/>
        <w:spacing w:after="0"/>
        <w:tabs>
          <w:tab w:leader="none" w:pos="5680" w:val="left"/>
          <w:tab w:leader="none" w:pos="6260" w:val="left"/>
        </w:tabs>
        <w:rPr>
          <w:sz w:val="20"/>
          <w:szCs w:val="20"/>
          <w:color w:val="auto"/>
        </w:rPr>
      </w:pPr>
      <w:r>
        <w:rPr>
          <w:rFonts w:ascii="Courier New" w:cs="Courier New" w:eastAsia="Courier New" w:hAnsi="Courier New"/>
          <w:sz w:val="12"/>
          <w:szCs w:val="12"/>
          <w:color w:val="auto"/>
        </w:rPr>
        <w:t>Debentures</w:t>
      </w:r>
      <w:r>
        <w:rPr>
          <w:sz w:val="20"/>
          <w:szCs w:val="20"/>
          <w:color w:val="auto"/>
        </w:rPr>
        <w:tab/>
      </w:r>
      <w:r>
        <w:rPr>
          <w:rFonts w:ascii="Courier New" w:cs="Courier New" w:eastAsia="Courier New" w:hAnsi="Courier New"/>
          <w:sz w:val="12"/>
          <w:szCs w:val="12"/>
          <w:color w:val="auto"/>
        </w:rPr>
        <w:t>shall</w:t>
        <w:tab/>
        <w:t>be</w:t>
      </w:r>
    </w:p>
    <w:p>
      <w:pPr>
        <w:spacing w:after="0" w:line="6" w:lineRule="exact"/>
        <w:rPr>
          <w:sz w:val="20"/>
          <w:szCs w:val="20"/>
          <w:color w:val="auto"/>
        </w:rPr>
      </w:pPr>
    </w:p>
    <w:p>
      <w:pPr>
        <w:ind w:left="4660"/>
        <w:spacing w:after="0"/>
        <w:tabs>
          <w:tab w:leader="none" w:pos="5520" w:val="left"/>
          <w:tab w:leader="none" w:pos="6120" w:val="left"/>
        </w:tabs>
        <w:rPr>
          <w:sz w:val="20"/>
          <w:szCs w:val="20"/>
          <w:color w:val="auto"/>
        </w:rPr>
      </w:pPr>
      <w:r>
        <w:rPr>
          <w:rFonts w:ascii="Courier New" w:cs="Courier New" w:eastAsia="Courier New" w:hAnsi="Courier New"/>
          <w:sz w:val="12"/>
          <w:szCs w:val="12"/>
          <w:color w:val="auto"/>
        </w:rPr>
        <w:t>bound</w:t>
      </w:r>
      <w:r>
        <w:rPr>
          <w:sz w:val="20"/>
          <w:szCs w:val="20"/>
          <w:color w:val="auto"/>
        </w:rPr>
        <w:tab/>
      </w: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2"/>
          <w:szCs w:val="12"/>
          <w:color w:val="auto"/>
        </w:rPr>
        <w:t>such</w:t>
      </w:r>
    </w:p>
    <w:p>
      <w:pPr>
        <w:spacing w:after="0" w:line="6" w:lineRule="exact"/>
        <w:rPr>
          <w:sz w:val="20"/>
          <w:szCs w:val="20"/>
          <w:color w:val="auto"/>
        </w:rPr>
      </w:pPr>
    </w:p>
    <w:p>
      <w:pPr>
        <w:ind w:left="4660"/>
        <w:spacing w:after="0"/>
        <w:tabs>
          <w:tab w:leader="none" w:pos="5680" w:val="left"/>
        </w:tabs>
        <w:rPr>
          <w:sz w:val="20"/>
          <w:szCs w:val="20"/>
          <w:color w:val="auto"/>
        </w:rPr>
      </w:pPr>
      <w:r>
        <w:rPr>
          <w:rFonts w:ascii="Courier New" w:cs="Courier New" w:eastAsia="Courier New" w:hAnsi="Courier New"/>
          <w:sz w:val="12"/>
          <w:szCs w:val="12"/>
          <w:color w:val="auto"/>
        </w:rPr>
        <w:t>rescheduling</w:t>
        <w:tab/>
        <w:t>agreement;</w:t>
      </w:r>
    </w:p>
    <w:p>
      <w:pPr>
        <w:spacing w:after="0" w:line="6" w:lineRule="exact"/>
        <w:rPr>
          <w:sz w:val="20"/>
          <w:szCs w:val="20"/>
          <w:color w:val="auto"/>
        </w:rPr>
      </w:pPr>
    </w:p>
    <w:p>
      <w:pPr>
        <w:ind w:left="4660"/>
        <w:spacing w:after="0"/>
        <w:tabs>
          <w:tab w:leader="none" w:pos="5380" w:val="left"/>
        </w:tabs>
        <w:rPr>
          <w:sz w:val="20"/>
          <w:szCs w:val="20"/>
          <w:color w:val="auto"/>
        </w:rPr>
      </w:pPr>
      <w:r>
        <w:rPr>
          <w:rFonts w:ascii="Courier New" w:cs="Courier New" w:eastAsia="Courier New" w:hAnsi="Courier New"/>
          <w:sz w:val="12"/>
          <w:szCs w:val="12"/>
          <w:color w:val="auto"/>
        </w:rPr>
        <w:t>provided</w:t>
        <w:tab/>
        <w:t>that, any such</w:t>
      </w:r>
    </w:p>
    <w:p>
      <w:pPr>
        <w:spacing w:after="0" w:line="6" w:lineRule="exact"/>
        <w:rPr>
          <w:sz w:val="20"/>
          <w:szCs w:val="20"/>
          <w:color w:val="auto"/>
        </w:rPr>
      </w:pPr>
    </w:p>
    <w:p>
      <w:pPr>
        <w:ind w:left="4660"/>
        <w:spacing w:after="0"/>
        <w:tabs>
          <w:tab w:leader="none" w:pos="5740" w:val="left"/>
        </w:tabs>
        <w:rPr>
          <w:sz w:val="20"/>
          <w:szCs w:val="20"/>
          <w:color w:val="auto"/>
        </w:rPr>
      </w:pPr>
      <w:r>
        <w:rPr>
          <w:rFonts w:ascii="Courier New" w:cs="Courier New" w:eastAsia="Courier New" w:hAnsi="Courier New"/>
          <w:sz w:val="12"/>
          <w:szCs w:val="12"/>
          <w:color w:val="auto"/>
        </w:rPr>
        <w:t>rescheduling</w:t>
        <w:tab/>
        <w:t>agreement</w:t>
      </w:r>
    </w:p>
    <w:p>
      <w:pPr>
        <w:spacing w:after="0" w:line="6" w:lineRule="exact"/>
        <w:rPr>
          <w:sz w:val="20"/>
          <w:szCs w:val="20"/>
          <w:color w:val="auto"/>
        </w:rPr>
      </w:pPr>
    </w:p>
    <w:p>
      <w:pPr>
        <w:ind w:left="4660"/>
        <w:spacing w:after="0"/>
        <w:tabs>
          <w:tab w:leader="none" w:pos="5240" w:val="left"/>
          <w:tab w:leader="none" w:pos="5820" w:val="left"/>
          <w:tab w:leader="none" w:pos="6260" w:val="left"/>
        </w:tabs>
        <w:rPr>
          <w:sz w:val="20"/>
          <w:szCs w:val="20"/>
          <w:color w:val="auto"/>
        </w:rPr>
      </w:pPr>
      <w:r>
        <w:rPr>
          <w:rFonts w:ascii="Courier New" w:cs="Courier New" w:eastAsia="Courier New" w:hAnsi="Courier New"/>
          <w:sz w:val="12"/>
          <w:szCs w:val="12"/>
          <w:color w:val="auto"/>
        </w:rPr>
        <w:t>shall</w:t>
        <w:tab/>
        <w:t>apply</w:t>
        <w:tab/>
        <w:t>only</w:t>
        <w:tab/>
        <w:t>to</w:t>
      </w:r>
    </w:p>
    <w:p>
      <w:pPr>
        <w:spacing w:after="0" w:line="6" w:lineRule="exact"/>
        <w:rPr>
          <w:sz w:val="20"/>
          <w:szCs w:val="20"/>
          <w:color w:val="auto"/>
        </w:rPr>
      </w:pPr>
    </w:p>
    <w:p>
      <w:pPr>
        <w:ind w:left="4660"/>
        <w:spacing w:after="0"/>
        <w:tabs>
          <w:tab w:leader="none" w:pos="5380" w:val="left"/>
          <w:tab w:leader="none" w:pos="5740" w:val="left"/>
        </w:tabs>
        <w:rPr>
          <w:sz w:val="20"/>
          <w:szCs w:val="20"/>
          <w:color w:val="auto"/>
        </w:rPr>
      </w:pPr>
      <w:r>
        <w:rPr>
          <w:rFonts w:ascii="Courier New" w:cs="Courier New" w:eastAsia="Courier New" w:hAnsi="Courier New"/>
          <w:sz w:val="12"/>
          <w:szCs w:val="12"/>
          <w:color w:val="auto"/>
        </w:rPr>
        <w:t>payments</w:t>
        <w:tab/>
        <w:t>(of</w:t>
        <w:tab/>
        <w:t>principal</w:t>
      </w:r>
    </w:p>
    <w:p>
      <w:pPr>
        <w:spacing w:after="0" w:line="6" w:lineRule="exact"/>
        <w:rPr>
          <w:sz w:val="20"/>
          <w:szCs w:val="20"/>
          <w:color w:val="auto"/>
        </w:rPr>
      </w:pPr>
    </w:p>
    <w:p>
      <w:pPr>
        <w:ind w:left="4660"/>
        <w:spacing w:after="0"/>
        <w:tabs>
          <w:tab w:leader="none" w:pos="5740" w:val="left"/>
        </w:tabs>
        <w:rPr>
          <w:sz w:val="20"/>
          <w:szCs w:val="20"/>
          <w:color w:val="auto"/>
        </w:rPr>
      </w:pPr>
      <w:r>
        <w:rPr>
          <w:rFonts w:ascii="Courier New" w:cs="Courier New" w:eastAsia="Courier New" w:hAnsi="Courier New"/>
          <w:sz w:val="12"/>
          <w:szCs w:val="12"/>
          <w:color w:val="auto"/>
        </w:rPr>
        <w:t>and Interest)</w:t>
        <w:tab/>
        <w:t>scheduled</w:t>
      </w:r>
    </w:p>
    <w:p>
      <w:pPr>
        <w:spacing w:after="0" w:line="6" w:lineRule="exact"/>
        <w:rPr>
          <w:sz w:val="20"/>
          <w:szCs w:val="20"/>
          <w:color w:val="auto"/>
        </w:rPr>
      </w:pPr>
    </w:p>
    <w:p>
      <w:pPr>
        <w:ind w:left="4660"/>
        <w:spacing w:after="0"/>
        <w:tabs>
          <w:tab w:leader="none" w:pos="4940" w:val="left"/>
          <w:tab w:leader="none" w:pos="5240" w:val="left"/>
          <w:tab w:leader="none" w:pos="5680" w:val="left"/>
          <w:tab w:leader="none" w:pos="6200" w:val="left"/>
        </w:tabs>
        <w:rPr>
          <w:sz w:val="20"/>
          <w:szCs w:val="20"/>
          <w:color w:val="auto"/>
        </w:rPr>
      </w:pPr>
      <w:r>
        <w:rPr>
          <w:rFonts w:ascii="Courier New" w:cs="Courier New" w:eastAsia="Courier New" w:hAnsi="Courier New"/>
          <w:sz w:val="12"/>
          <w:szCs w:val="12"/>
          <w:color w:val="auto"/>
        </w:rPr>
        <w:t>to</w:t>
        <w:tab/>
        <w:t>be</w:t>
        <w:tab/>
        <w:t>made</w:t>
        <w:tab/>
        <w:t>under</w:t>
        <w:tab/>
        <w:t>the</w:t>
      </w:r>
    </w:p>
    <w:p>
      <w:pPr>
        <w:spacing w:after="0" w:line="6" w:lineRule="exact"/>
        <w:rPr>
          <w:sz w:val="20"/>
          <w:szCs w:val="20"/>
          <w:color w:val="auto"/>
        </w:rPr>
      </w:pPr>
    </w:p>
    <w:p>
      <w:pPr>
        <w:ind w:left="4660"/>
        <w:spacing w:after="0"/>
        <w:tabs>
          <w:tab w:leader="none" w:pos="5600" w:val="left"/>
        </w:tabs>
        <w:rPr>
          <w:sz w:val="20"/>
          <w:szCs w:val="20"/>
          <w:color w:val="auto"/>
        </w:rPr>
      </w:pPr>
      <w:r>
        <w:rPr>
          <w:rFonts w:ascii="Courier New" w:cs="Courier New" w:eastAsia="Courier New" w:hAnsi="Courier New"/>
          <w:sz w:val="12"/>
          <w:szCs w:val="12"/>
          <w:color w:val="auto"/>
        </w:rPr>
        <w:t>Equity</w:t>
      </w:r>
      <w:r>
        <w:rPr>
          <w:sz w:val="20"/>
          <w:szCs w:val="20"/>
          <w:color w:val="auto"/>
        </w:rPr>
        <w:tab/>
      </w:r>
      <w:r>
        <w:rPr>
          <w:rFonts w:ascii="Courier New" w:cs="Courier New" w:eastAsia="Courier New" w:hAnsi="Courier New"/>
          <w:sz w:val="12"/>
          <w:szCs w:val="12"/>
          <w:color w:val="auto"/>
        </w:rPr>
        <w:t>Convertible</w:t>
      </w:r>
    </w:p>
    <w:p>
      <w:pPr>
        <w:spacing w:after="0" w:line="6" w:lineRule="exact"/>
        <w:rPr>
          <w:sz w:val="20"/>
          <w:szCs w:val="20"/>
          <w:color w:val="auto"/>
        </w:rPr>
      </w:pPr>
    </w:p>
    <w:p>
      <w:pPr>
        <w:ind w:left="4660"/>
        <w:spacing w:after="0"/>
        <w:tabs>
          <w:tab w:leader="none" w:pos="5600" w:val="left"/>
          <w:tab w:leader="none" w:pos="6040" w:val="left"/>
        </w:tabs>
        <w:rPr>
          <w:sz w:val="20"/>
          <w:szCs w:val="20"/>
          <w:color w:val="auto"/>
        </w:rPr>
      </w:pPr>
      <w:r>
        <w:rPr>
          <w:rFonts w:ascii="Courier New" w:cs="Courier New" w:eastAsia="Courier New" w:hAnsi="Courier New"/>
          <w:sz w:val="12"/>
          <w:szCs w:val="12"/>
          <w:color w:val="auto"/>
        </w:rPr>
        <w:t>Debentures</w:t>
        <w:tab/>
        <w:t>and</w:t>
        <w:tab/>
        <w:t>under</w:t>
      </w:r>
    </w:p>
    <w:p>
      <w:pPr>
        <w:spacing w:after="0" w:line="6" w:lineRule="exact"/>
        <w:rPr>
          <w:sz w:val="20"/>
          <w:szCs w:val="20"/>
          <w:color w:val="auto"/>
        </w:rPr>
      </w:pPr>
    </w:p>
    <w:p>
      <w:pPr>
        <w:ind w:left="4660"/>
        <w:spacing w:after="0"/>
        <w:tabs>
          <w:tab w:leader="none" w:pos="5080" w:val="left"/>
          <w:tab w:leader="none" w:pos="5980" w:val="left"/>
        </w:tabs>
        <w:rPr>
          <w:sz w:val="20"/>
          <w:szCs w:val="20"/>
          <w:color w:val="auto"/>
        </w:rPr>
      </w:pPr>
      <w:r>
        <w:rPr>
          <w:rFonts w:ascii="Courier New" w:cs="Courier New" w:eastAsia="Courier New" w:hAnsi="Courier New"/>
          <w:sz w:val="12"/>
          <w:szCs w:val="12"/>
          <w:color w:val="auto"/>
        </w:rPr>
        <w:t>this</w:t>
        <w:tab/>
        <w:t>Agreement</w:t>
      </w:r>
      <w:r>
        <w:rPr>
          <w:sz w:val="20"/>
          <w:szCs w:val="20"/>
          <w:color w:val="auto"/>
        </w:rPr>
        <w:tab/>
      </w:r>
      <w:r>
        <w:rPr>
          <w:rFonts w:ascii="Courier New" w:cs="Courier New" w:eastAsia="Courier New" w:hAnsi="Courier New"/>
          <w:sz w:val="12"/>
          <w:szCs w:val="12"/>
          <w:color w:val="auto"/>
        </w:rPr>
        <w:t>during</w:t>
      </w:r>
    </w:p>
    <w:p>
      <w:pPr>
        <w:spacing w:after="0" w:line="6" w:lineRule="exact"/>
        <w:rPr>
          <w:sz w:val="20"/>
          <w:szCs w:val="20"/>
          <w:color w:val="auto"/>
        </w:rPr>
      </w:pPr>
    </w:p>
    <w:p>
      <w:pPr>
        <w:ind w:left="4660"/>
        <w:spacing w:after="0"/>
        <w:tabs>
          <w:tab w:leader="none" w:pos="5160" w:val="left"/>
          <w:tab w:leader="none" w:pos="5900" w:val="left"/>
          <w:tab w:leader="none" w:pos="6260" w:val="left"/>
        </w:tabs>
        <w:rPr>
          <w:sz w:val="20"/>
          <w:szCs w:val="20"/>
          <w:color w:val="auto"/>
        </w:rPr>
      </w:pPr>
      <w:r>
        <w:rPr>
          <w:rFonts w:ascii="Courier New" w:cs="Courier New" w:eastAsia="Courier New" w:hAnsi="Courier New"/>
          <w:sz w:val="12"/>
          <w:szCs w:val="12"/>
          <w:color w:val="auto"/>
        </w:rPr>
        <w:t>the</w:t>
      </w:r>
      <w:r>
        <w:rPr>
          <w:sz w:val="20"/>
          <w:szCs w:val="20"/>
          <w:color w:val="auto"/>
        </w:rPr>
        <w:tab/>
      </w:r>
      <w:r>
        <w:rPr>
          <w:rFonts w:ascii="Courier New" w:cs="Courier New" w:eastAsia="Courier New" w:hAnsi="Courier New"/>
          <w:sz w:val="12"/>
          <w:szCs w:val="12"/>
          <w:color w:val="auto"/>
        </w:rPr>
        <w:t>period</w:t>
      </w:r>
      <w:r>
        <w:rPr>
          <w:sz w:val="20"/>
          <w:szCs w:val="20"/>
          <w:color w:val="auto"/>
        </w:rPr>
        <w:tab/>
      </w:r>
      <w:r>
        <w:rPr>
          <w:rFonts w:ascii="Courier New" w:cs="Courier New" w:eastAsia="Courier New" w:hAnsi="Courier New"/>
          <w:sz w:val="12"/>
          <w:szCs w:val="12"/>
          <w:color w:val="auto"/>
        </w:rPr>
        <w:t>of</w:t>
        <w:tab/>
        <w:t>12</w:t>
      </w:r>
    </w:p>
    <w:p>
      <w:pPr>
        <w:spacing w:after="0" w:line="6" w:lineRule="exact"/>
        <w:rPr>
          <w:sz w:val="20"/>
          <w:szCs w:val="20"/>
          <w:color w:val="auto"/>
        </w:rPr>
      </w:pPr>
    </w:p>
    <w:p>
      <w:pPr>
        <w:ind w:left="4660"/>
        <w:spacing w:after="0"/>
        <w:tabs>
          <w:tab w:leader="none" w:pos="5460" w:val="left"/>
          <w:tab w:leader="none" w:pos="6120" w:val="left"/>
        </w:tabs>
        <w:rPr>
          <w:sz w:val="20"/>
          <w:szCs w:val="20"/>
          <w:color w:val="auto"/>
        </w:rPr>
      </w:pPr>
      <w:r>
        <w:rPr>
          <w:rFonts w:ascii="Courier New" w:cs="Courier New" w:eastAsia="Courier New" w:hAnsi="Courier New"/>
          <w:sz w:val="12"/>
          <w:szCs w:val="12"/>
          <w:color w:val="auto"/>
        </w:rPr>
        <w:t>(twelve)</w:t>
        <w:tab/>
        <w:t>months</w:t>
        <w:tab/>
        <w:t>from</w:t>
      </w:r>
    </w:p>
    <w:p>
      <w:pPr>
        <w:spacing w:after="0" w:line="6" w:lineRule="exact"/>
        <w:rPr>
          <w:sz w:val="20"/>
          <w:szCs w:val="20"/>
          <w:color w:val="auto"/>
        </w:rPr>
      </w:pPr>
    </w:p>
    <w:p>
      <w:pPr>
        <w:ind w:left="4660"/>
        <w:spacing w:after="0"/>
        <w:tabs>
          <w:tab w:leader="none" w:pos="5240" w:val="left"/>
          <w:tab w:leader="none" w:pos="6120" w:val="left"/>
        </w:tabs>
        <w:rPr>
          <w:sz w:val="20"/>
          <w:szCs w:val="20"/>
          <w:color w:val="auto"/>
        </w:rPr>
      </w:pPr>
      <w:r>
        <w:rPr>
          <w:rFonts w:ascii="Courier New" w:cs="Courier New" w:eastAsia="Courier New" w:hAnsi="Courier New"/>
          <w:sz w:val="12"/>
          <w:szCs w:val="12"/>
          <w:color w:val="auto"/>
        </w:rPr>
        <w:t>the</w:t>
      </w:r>
      <w:r>
        <w:rPr>
          <w:sz w:val="20"/>
          <w:szCs w:val="20"/>
          <w:color w:val="auto"/>
        </w:rPr>
        <w:tab/>
      </w:r>
      <w:r>
        <w:rPr>
          <w:rFonts w:ascii="Courier New" w:cs="Courier New" w:eastAsia="Courier New" w:hAnsi="Courier New"/>
          <w:sz w:val="12"/>
          <w:szCs w:val="12"/>
          <w:color w:val="auto"/>
        </w:rPr>
        <w:t>Default</w:t>
      </w:r>
      <w:r>
        <w:rPr>
          <w:sz w:val="20"/>
          <w:szCs w:val="20"/>
          <w:color w:val="auto"/>
        </w:rPr>
        <w:tab/>
      </w:r>
      <w:r>
        <w:rPr>
          <w:rFonts w:ascii="Courier New" w:cs="Courier New" w:eastAsia="Courier New" w:hAnsi="Courier New"/>
          <w:sz w:val="12"/>
          <w:szCs w:val="12"/>
          <w:color w:val="auto"/>
        </w:rPr>
        <w:t>Bank</w:t>
      </w:r>
    </w:p>
    <w:p>
      <w:pPr>
        <w:spacing w:after="0" w:line="6" w:lineRule="exact"/>
        <w:rPr>
          <w:sz w:val="20"/>
          <w:szCs w:val="20"/>
          <w:color w:val="auto"/>
        </w:rPr>
      </w:pPr>
    </w:p>
    <w:p>
      <w:pPr>
        <w:ind w:left="4660"/>
        <w:spacing w:after="0"/>
        <w:tabs>
          <w:tab w:leader="none" w:pos="5300" w:val="left"/>
          <w:tab w:leader="none" w:pos="6040" w:val="left"/>
        </w:tabs>
        <w:rPr>
          <w:sz w:val="20"/>
          <w:szCs w:val="20"/>
          <w:color w:val="auto"/>
        </w:rPr>
      </w:pPr>
      <w:r>
        <w:rPr>
          <w:rFonts w:ascii="Courier New" w:cs="Courier New" w:eastAsia="Courier New" w:hAnsi="Courier New"/>
          <w:sz w:val="12"/>
          <w:szCs w:val="12"/>
          <w:color w:val="auto"/>
        </w:rPr>
        <w:t>Payment</w:t>
        <w:tab/>
        <w:t>Date and</w:t>
        <w:tab/>
        <w:t>shall</w:t>
      </w:r>
    </w:p>
    <w:p>
      <w:pPr>
        <w:spacing w:after="0" w:line="6" w:lineRule="exact"/>
        <w:rPr>
          <w:sz w:val="20"/>
          <w:szCs w:val="20"/>
          <w:color w:val="auto"/>
        </w:rPr>
      </w:pPr>
    </w:p>
    <w:p>
      <w:pPr>
        <w:ind w:left="4660"/>
        <w:spacing w:after="0"/>
        <w:tabs>
          <w:tab w:leader="none" w:pos="5520" w:val="left"/>
          <w:tab w:leader="none" w:pos="6120" w:val="left"/>
        </w:tabs>
        <w:rPr>
          <w:sz w:val="20"/>
          <w:szCs w:val="20"/>
          <w:color w:val="auto"/>
        </w:rPr>
      </w:pPr>
      <w:r>
        <w:rPr>
          <w:rFonts w:ascii="Courier New" w:cs="Courier New" w:eastAsia="Courier New" w:hAnsi="Courier New"/>
          <w:sz w:val="12"/>
          <w:szCs w:val="12"/>
          <w:color w:val="auto"/>
        </w:rPr>
        <w:t>postpone</w:t>
      </w:r>
      <w:r>
        <w:rPr>
          <w:sz w:val="20"/>
          <w:szCs w:val="20"/>
          <w:color w:val="auto"/>
        </w:rPr>
        <w:tab/>
      </w:r>
      <w:r>
        <w:rPr>
          <w:rFonts w:ascii="Courier New" w:cs="Courier New" w:eastAsia="Courier New" w:hAnsi="Courier New"/>
          <w:sz w:val="12"/>
          <w:szCs w:val="12"/>
          <w:color w:val="auto"/>
        </w:rPr>
        <w:t>each</w:t>
      </w:r>
      <w:r>
        <w:rPr>
          <w:sz w:val="20"/>
          <w:szCs w:val="20"/>
          <w:color w:val="auto"/>
        </w:rPr>
        <w:tab/>
      </w:r>
      <w:r>
        <w:rPr>
          <w:rFonts w:ascii="Courier New" w:cs="Courier New" w:eastAsia="Courier New" w:hAnsi="Courier New"/>
          <w:sz w:val="12"/>
          <w:szCs w:val="12"/>
          <w:color w:val="auto"/>
        </w:rPr>
        <w:t>such</w:t>
      </w:r>
    </w:p>
    <w:p>
      <w:pPr>
        <w:spacing w:after="0" w:line="6" w:lineRule="exact"/>
        <w:rPr>
          <w:sz w:val="20"/>
          <w:szCs w:val="20"/>
          <w:color w:val="auto"/>
        </w:rPr>
      </w:pPr>
    </w:p>
    <w:p>
      <w:pPr>
        <w:ind w:left="4660"/>
        <w:spacing w:after="0"/>
        <w:tabs>
          <w:tab w:leader="none" w:pos="5460" w:val="left"/>
        </w:tabs>
        <w:rPr>
          <w:sz w:val="20"/>
          <w:szCs w:val="20"/>
          <w:color w:val="auto"/>
        </w:rPr>
      </w:pPr>
      <w:r>
        <w:rPr>
          <w:rFonts w:ascii="Courier New" w:cs="Courier New" w:eastAsia="Courier New" w:hAnsi="Courier New"/>
          <w:sz w:val="12"/>
          <w:szCs w:val="12"/>
          <w:color w:val="auto"/>
        </w:rPr>
        <w:t>scheduled</w:t>
        <w:tab/>
        <w:t>payment under</w:t>
      </w:r>
    </w:p>
    <w:p>
      <w:pPr>
        <w:spacing w:after="0" w:line="6" w:lineRule="exact"/>
        <w:rPr>
          <w:sz w:val="20"/>
          <w:szCs w:val="20"/>
          <w:color w:val="auto"/>
        </w:rPr>
      </w:pPr>
    </w:p>
    <w:p>
      <w:pPr>
        <w:ind w:left="4660"/>
        <w:spacing w:after="0"/>
        <w:tabs>
          <w:tab w:leader="none" w:pos="5020" w:val="left"/>
          <w:tab w:leader="none" w:pos="5600" w:val="left"/>
        </w:tabs>
        <w:rPr>
          <w:sz w:val="20"/>
          <w:szCs w:val="20"/>
          <w:color w:val="auto"/>
        </w:rPr>
      </w:pPr>
      <w:r>
        <w:rPr>
          <w:rFonts w:ascii="Courier New" w:cs="Courier New" w:eastAsia="Courier New" w:hAnsi="Courier New"/>
          <w:sz w:val="12"/>
          <w:szCs w:val="12"/>
          <w:color w:val="auto"/>
        </w:rPr>
        <w:t>the</w:t>
        <w:tab/>
        <w:t>Equity</w:t>
        <w:tab/>
        <w:t>Convertible</w:t>
      </w:r>
    </w:p>
    <w:p>
      <w:pPr>
        <w:spacing w:after="0" w:line="6" w:lineRule="exact"/>
        <w:rPr>
          <w:sz w:val="20"/>
          <w:szCs w:val="20"/>
          <w:color w:val="auto"/>
        </w:rPr>
      </w:pPr>
    </w:p>
    <w:p>
      <w:pPr>
        <w:ind w:left="4660"/>
        <w:spacing w:after="0"/>
        <w:tabs>
          <w:tab w:leader="none" w:pos="5600" w:val="left"/>
          <w:tab w:leader="none" w:pos="5900" w:val="left"/>
          <w:tab w:leader="none" w:pos="6120" w:val="left"/>
        </w:tabs>
        <w:rPr>
          <w:sz w:val="20"/>
          <w:szCs w:val="20"/>
          <w:color w:val="auto"/>
        </w:rPr>
      </w:pPr>
      <w:r>
        <w:rPr>
          <w:rFonts w:ascii="Courier New" w:cs="Courier New" w:eastAsia="Courier New" w:hAnsi="Courier New"/>
          <w:sz w:val="12"/>
          <w:szCs w:val="12"/>
          <w:color w:val="auto"/>
        </w:rPr>
        <w:t>Debentures</w:t>
        <w:tab/>
        <w:t>to</w:t>
        <w:tab/>
        <w:t>a</w:t>
        <w:tab/>
        <w:t>date</w:t>
      </w:r>
    </w:p>
    <w:p>
      <w:pPr>
        <w:spacing w:after="0" w:line="6" w:lineRule="exact"/>
        <w:rPr>
          <w:sz w:val="20"/>
          <w:szCs w:val="20"/>
          <w:color w:val="auto"/>
        </w:rPr>
      </w:pPr>
    </w:p>
    <w:p>
      <w:pPr>
        <w:ind w:left="4660"/>
        <w:spacing w:after="0"/>
        <w:tabs>
          <w:tab w:leader="none" w:pos="5300" w:val="left"/>
          <w:tab w:leader="none" w:pos="5680" w:val="left"/>
          <w:tab w:leader="none" w:pos="6120" w:val="left"/>
        </w:tabs>
        <w:rPr>
          <w:sz w:val="20"/>
          <w:szCs w:val="20"/>
          <w:color w:val="auto"/>
        </w:rPr>
      </w:pPr>
      <w:r>
        <w:rPr>
          <w:rFonts w:ascii="Courier New" w:cs="Courier New" w:eastAsia="Courier New" w:hAnsi="Courier New"/>
          <w:sz w:val="12"/>
          <w:szCs w:val="12"/>
          <w:color w:val="auto"/>
        </w:rPr>
        <w:t>falling</w:t>
        <w:tab/>
        <w:t>not</w:t>
        <w:tab/>
        <w:t>more</w:t>
        <w:tab/>
        <w:t>than</w:t>
      </w:r>
    </w:p>
    <w:p>
      <w:pPr>
        <w:spacing w:after="0" w:line="6" w:lineRule="exact"/>
        <w:rPr>
          <w:sz w:val="20"/>
          <w:szCs w:val="20"/>
          <w:color w:val="auto"/>
        </w:rPr>
      </w:pPr>
    </w:p>
    <w:p>
      <w:pPr>
        <w:jc w:val="both"/>
        <w:ind w:left="4660"/>
        <w:spacing w:after="0"/>
        <w:tabs>
          <w:tab w:leader="none" w:pos="5080" w:val="left"/>
          <w:tab w:leader="none" w:pos="5980" w:val="left"/>
        </w:tabs>
        <w:rPr>
          <w:sz w:val="20"/>
          <w:szCs w:val="20"/>
          <w:color w:val="auto"/>
        </w:rPr>
      </w:pPr>
      <w:r>
        <w:rPr>
          <w:rFonts w:ascii="Courier New" w:cs="Courier New" w:eastAsia="Courier New" w:hAnsi="Courier New"/>
          <w:sz w:val="12"/>
          <w:szCs w:val="12"/>
          <w:color w:val="auto"/>
        </w:rPr>
        <w:t>12</w:t>
      </w:r>
      <w:r>
        <w:rPr>
          <w:sz w:val="20"/>
          <w:szCs w:val="20"/>
          <w:color w:val="auto"/>
        </w:rPr>
        <w:tab/>
      </w:r>
      <w:r>
        <w:rPr>
          <w:rFonts w:ascii="Courier New" w:cs="Courier New" w:eastAsia="Courier New" w:hAnsi="Courier New"/>
          <w:sz w:val="12"/>
          <w:szCs w:val="12"/>
          <w:color w:val="auto"/>
        </w:rPr>
        <w:t>(twelve)</w:t>
      </w:r>
      <w:r>
        <w:rPr>
          <w:sz w:val="20"/>
          <w:szCs w:val="20"/>
          <w:color w:val="auto"/>
        </w:rPr>
        <w:tab/>
      </w:r>
      <w:r>
        <w:rPr>
          <w:rFonts w:ascii="Courier New" w:cs="Courier New" w:eastAsia="Courier New" w:hAnsi="Courier New"/>
          <w:sz w:val="12"/>
          <w:szCs w:val="12"/>
          <w:color w:val="auto"/>
        </w:rPr>
        <w:t>months</w:t>
      </w:r>
    </w:p>
    <w:p>
      <w:pPr>
        <w:spacing w:after="0" w:line="6" w:lineRule="exact"/>
        <w:rPr>
          <w:sz w:val="20"/>
          <w:szCs w:val="20"/>
          <w:color w:val="auto"/>
        </w:rPr>
      </w:pPr>
    </w:p>
    <w:p>
      <w:pPr>
        <w:ind w:left="4660"/>
        <w:spacing w:after="0"/>
        <w:tabs>
          <w:tab w:leader="none" w:pos="5240" w:val="left"/>
          <w:tab w:leader="none" w:pos="5740" w:val="left"/>
        </w:tabs>
        <w:rPr>
          <w:sz w:val="20"/>
          <w:szCs w:val="20"/>
          <w:color w:val="auto"/>
        </w:rPr>
      </w:pPr>
      <w:r>
        <w:rPr>
          <w:rFonts w:ascii="Courier New" w:cs="Courier New" w:eastAsia="Courier New" w:hAnsi="Courier New"/>
          <w:sz w:val="12"/>
          <w:szCs w:val="12"/>
          <w:color w:val="auto"/>
        </w:rPr>
        <w:t>after</w:t>
        <w:tab/>
        <w:t>the</w:t>
      </w:r>
      <w:r>
        <w:rPr>
          <w:sz w:val="20"/>
          <w:szCs w:val="20"/>
          <w:color w:val="auto"/>
        </w:rPr>
        <w:tab/>
      </w:r>
      <w:r>
        <w:rPr>
          <w:rFonts w:ascii="Courier New" w:cs="Courier New" w:eastAsia="Courier New" w:hAnsi="Courier New"/>
          <w:sz w:val="12"/>
          <w:szCs w:val="12"/>
          <w:color w:val="auto"/>
        </w:rPr>
        <w:t>scheduled</w:t>
      </w:r>
    </w:p>
    <w:p>
      <w:pPr>
        <w:spacing w:after="0" w:line="6" w:lineRule="exact"/>
        <w:rPr>
          <w:sz w:val="20"/>
          <w:szCs w:val="20"/>
          <w:color w:val="auto"/>
        </w:rPr>
      </w:pPr>
    </w:p>
    <w:p>
      <w:pPr>
        <w:ind w:left="4660"/>
        <w:spacing w:after="0"/>
        <w:tabs>
          <w:tab w:leader="none" w:pos="5080" w:val="left"/>
          <w:tab w:leader="none" w:pos="5460" w:val="left"/>
          <w:tab w:leader="none" w:pos="5900" w:val="left"/>
        </w:tabs>
        <w:rPr>
          <w:sz w:val="20"/>
          <w:szCs w:val="20"/>
          <w:color w:val="auto"/>
        </w:rPr>
      </w:pPr>
      <w:r>
        <w:rPr>
          <w:rFonts w:ascii="Courier New" w:cs="Courier New" w:eastAsia="Courier New" w:hAnsi="Courier New"/>
          <w:sz w:val="12"/>
          <w:szCs w:val="12"/>
          <w:color w:val="auto"/>
        </w:rPr>
        <w:t>date</w:t>
        <w:tab/>
        <w:t>for</w:t>
        <w:tab/>
        <w:t>such</w:t>
        <w:tab/>
        <w:t>payment</w:t>
      </w:r>
    </w:p>
    <w:p>
      <w:pPr>
        <w:spacing w:after="0" w:line="6" w:lineRule="exact"/>
        <w:rPr>
          <w:sz w:val="20"/>
          <w:szCs w:val="20"/>
          <w:color w:val="auto"/>
        </w:rPr>
      </w:pPr>
    </w:p>
    <w:p>
      <w:pPr>
        <w:ind w:left="4660"/>
        <w:spacing w:after="0"/>
        <w:tabs>
          <w:tab w:leader="none" w:pos="5380" w:val="left"/>
          <w:tab w:leader="none" w:pos="5680" w:val="left"/>
          <w:tab w:leader="none" w:pos="6040" w:val="left"/>
        </w:tabs>
        <w:rPr>
          <w:sz w:val="20"/>
          <w:szCs w:val="20"/>
          <w:color w:val="auto"/>
        </w:rPr>
      </w:pPr>
      <w:r>
        <w:rPr>
          <w:rFonts w:ascii="Courier New" w:cs="Courier New" w:eastAsia="Courier New" w:hAnsi="Courier New"/>
          <w:sz w:val="12"/>
          <w:szCs w:val="12"/>
          <w:color w:val="auto"/>
        </w:rPr>
        <w:t>pursuant</w:t>
        <w:tab/>
        <w:t>to</w:t>
        <w:tab/>
        <w:t>the</w:t>
        <w:tab/>
        <w:t>terms</w:t>
      </w:r>
    </w:p>
    <w:p>
      <w:pPr>
        <w:spacing w:after="0" w:line="6" w:lineRule="exact"/>
        <w:rPr>
          <w:sz w:val="20"/>
          <w:szCs w:val="20"/>
          <w:color w:val="auto"/>
        </w:rPr>
      </w:pPr>
    </w:p>
    <w:p>
      <w:pPr>
        <w:jc w:val="both"/>
        <w:ind w:left="4660"/>
        <w:spacing w:after="0"/>
        <w:tabs>
          <w:tab w:leader="none" w:pos="5240" w:val="left"/>
          <w:tab w:leader="none" w:pos="5980" w:val="left"/>
        </w:tabs>
        <w:rPr>
          <w:sz w:val="20"/>
          <w:szCs w:val="20"/>
          <w:color w:val="auto"/>
        </w:rPr>
      </w:pPr>
      <w:r>
        <w:rPr>
          <w:rFonts w:ascii="Courier New" w:cs="Courier New" w:eastAsia="Courier New" w:hAnsi="Courier New"/>
          <w:sz w:val="12"/>
          <w:szCs w:val="12"/>
          <w:color w:val="auto"/>
        </w:rPr>
        <w:t>of</w:t>
      </w:r>
      <w:r>
        <w:rPr>
          <w:sz w:val="20"/>
          <w:szCs w:val="20"/>
          <w:color w:val="auto"/>
        </w:rPr>
        <w:tab/>
      </w:r>
      <w:r>
        <w:rPr>
          <w:rFonts w:ascii="Courier New" w:cs="Courier New" w:eastAsia="Courier New" w:hAnsi="Courier New"/>
          <w:sz w:val="12"/>
          <w:szCs w:val="12"/>
          <w:color w:val="auto"/>
        </w:rPr>
        <w:t>the</w:t>
      </w:r>
      <w:r>
        <w:rPr>
          <w:sz w:val="20"/>
          <w:szCs w:val="20"/>
          <w:color w:val="auto"/>
        </w:rPr>
        <w:tab/>
      </w:r>
      <w:r>
        <w:rPr>
          <w:rFonts w:ascii="Courier New" w:cs="Courier New" w:eastAsia="Courier New" w:hAnsi="Courier New"/>
          <w:sz w:val="12"/>
          <w:szCs w:val="12"/>
          <w:color w:val="auto"/>
        </w:rPr>
        <w:t>Equity</w:t>
      </w:r>
    </w:p>
    <w:p>
      <w:pPr>
        <w:spacing w:after="0" w:line="289"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- 52 -</w:t>
      </w:r>
    </w:p>
    <w:p>
      <w:pPr>
        <w:spacing w:after="0" w:line="200" w:lineRule="exact"/>
        <w:rPr>
          <w:sz w:val="20"/>
          <w:szCs w:val="20"/>
          <w:color w:val="auto"/>
        </w:rPr>
      </w:pPr>
    </w:p>
    <w:p>
      <w:pPr>
        <w:spacing w:after="0" w:line="353" w:lineRule="exact"/>
        <w:rPr>
          <w:sz w:val="20"/>
          <w:szCs w:val="20"/>
          <w:color w:val="auto"/>
        </w:rPr>
      </w:pPr>
    </w:p>
    <w:p>
      <w:pPr>
        <w:ind w:left="4660"/>
        <w:spacing w:after="0"/>
        <w:tabs>
          <w:tab w:leader="none" w:pos="5680" w:val="left"/>
        </w:tabs>
        <w:rPr>
          <w:sz w:val="20"/>
          <w:szCs w:val="20"/>
          <w:color w:val="auto"/>
        </w:rPr>
      </w:pPr>
      <w:r>
        <w:rPr>
          <w:rFonts w:ascii="Courier New" w:cs="Courier New" w:eastAsia="Courier New" w:hAnsi="Courier New"/>
          <w:sz w:val="12"/>
          <w:szCs w:val="12"/>
          <w:color w:val="auto"/>
        </w:rPr>
        <w:t>Convertible</w:t>
        <w:tab/>
        <w:t>Debentures</w:t>
      </w:r>
    </w:p>
    <w:p>
      <w:pPr>
        <w:spacing w:after="0" w:line="6" w:lineRule="exact"/>
        <w:rPr>
          <w:sz w:val="20"/>
          <w:szCs w:val="20"/>
          <w:color w:val="auto"/>
        </w:rPr>
      </w:pPr>
    </w:p>
    <w:p>
      <w:pPr>
        <w:ind w:left="4660"/>
        <w:spacing w:after="0"/>
        <w:tabs>
          <w:tab w:leader="none" w:pos="5080" w:val="left"/>
          <w:tab w:leader="none" w:pos="5900" w:val="left"/>
        </w:tabs>
        <w:rPr>
          <w:sz w:val="20"/>
          <w:szCs w:val="20"/>
          <w:color w:val="auto"/>
        </w:rPr>
      </w:pPr>
      <w:r>
        <w:rPr>
          <w:rFonts w:ascii="Courier New" w:cs="Courier New" w:eastAsia="Courier New" w:hAnsi="Courier New"/>
          <w:sz w:val="12"/>
          <w:szCs w:val="12"/>
          <w:color w:val="auto"/>
        </w:rPr>
        <w:t>(all</w:t>
        <w:tab/>
        <w:t>payments,</w:t>
        <w:tab/>
        <w:t>whether</w:t>
      </w:r>
    </w:p>
    <w:p>
      <w:pPr>
        <w:spacing w:after="0" w:line="6" w:lineRule="exact"/>
        <w:rPr>
          <w:sz w:val="20"/>
          <w:szCs w:val="20"/>
          <w:color w:val="auto"/>
        </w:rPr>
      </w:pPr>
    </w:p>
    <w:p>
      <w:pPr>
        <w:ind w:left="4660"/>
        <w:spacing w:after="0"/>
        <w:tabs>
          <w:tab w:leader="none" w:pos="5240" w:val="left"/>
          <w:tab w:leader="none" w:pos="6260" w:val="left"/>
        </w:tabs>
        <w:rPr>
          <w:sz w:val="20"/>
          <w:szCs w:val="20"/>
          <w:color w:val="auto"/>
        </w:rPr>
      </w:pPr>
      <w:r>
        <w:rPr>
          <w:rFonts w:ascii="Courier New" w:cs="Courier New" w:eastAsia="Courier New" w:hAnsi="Courier New"/>
          <w:sz w:val="12"/>
          <w:szCs w:val="12"/>
          <w:color w:val="auto"/>
        </w:rPr>
        <w:t>of</w:t>
      </w:r>
      <w:r>
        <w:rPr>
          <w:sz w:val="20"/>
          <w:szCs w:val="20"/>
          <w:color w:val="auto"/>
        </w:rPr>
        <w:tab/>
      </w:r>
      <w:r>
        <w:rPr>
          <w:rFonts w:ascii="Courier New" w:cs="Courier New" w:eastAsia="Courier New" w:hAnsi="Courier New"/>
          <w:sz w:val="12"/>
          <w:szCs w:val="12"/>
          <w:color w:val="auto"/>
        </w:rPr>
        <w:t>Interest</w:t>
      </w:r>
      <w:r>
        <w:rPr>
          <w:sz w:val="20"/>
          <w:szCs w:val="20"/>
          <w:color w:val="auto"/>
        </w:rPr>
        <w:tab/>
      </w:r>
      <w:r>
        <w:rPr>
          <w:rFonts w:ascii="Courier New" w:cs="Courier New" w:eastAsia="Courier New" w:hAnsi="Courier New"/>
          <w:sz w:val="12"/>
          <w:szCs w:val="12"/>
          <w:color w:val="auto"/>
        </w:rPr>
        <w:t>or</w:t>
      </w:r>
    </w:p>
    <w:p>
      <w:pPr>
        <w:spacing w:after="0" w:line="6" w:lineRule="exact"/>
        <w:rPr>
          <w:sz w:val="20"/>
          <w:szCs w:val="20"/>
          <w:color w:val="auto"/>
        </w:rPr>
      </w:pPr>
    </w:p>
    <w:p>
      <w:pPr>
        <w:ind w:left="4660"/>
        <w:spacing w:after="0"/>
        <w:tabs>
          <w:tab w:leader="none" w:pos="5600" w:val="left"/>
          <w:tab w:leader="none" w:pos="5900" w:val="left"/>
        </w:tabs>
        <w:rPr>
          <w:sz w:val="20"/>
          <w:szCs w:val="20"/>
          <w:color w:val="auto"/>
        </w:rPr>
      </w:pPr>
      <w:r>
        <w:rPr>
          <w:rFonts w:ascii="Courier New" w:cs="Courier New" w:eastAsia="Courier New" w:hAnsi="Courier New"/>
          <w:sz w:val="12"/>
          <w:szCs w:val="12"/>
          <w:color w:val="auto"/>
        </w:rPr>
        <w:t>principal,</w:t>
        <w:tab/>
        <w:t>in</w:t>
        <w:tab/>
        <w:t>respect</w:t>
      </w:r>
    </w:p>
    <w:p>
      <w:pPr>
        <w:spacing w:after="0" w:line="6" w:lineRule="exact"/>
        <w:rPr>
          <w:sz w:val="20"/>
          <w:szCs w:val="20"/>
          <w:color w:val="auto"/>
        </w:rPr>
      </w:pPr>
    </w:p>
    <w:p>
      <w:pPr>
        <w:ind w:left="4660"/>
        <w:spacing w:after="0"/>
        <w:tabs>
          <w:tab w:leader="none" w:pos="5240" w:val="left"/>
          <w:tab w:leader="none" w:pos="5980" w:val="left"/>
        </w:tabs>
        <w:rPr>
          <w:sz w:val="20"/>
          <w:szCs w:val="20"/>
          <w:color w:val="auto"/>
        </w:rPr>
      </w:pPr>
      <w:r>
        <w:rPr>
          <w:rFonts w:ascii="Courier New" w:cs="Courier New" w:eastAsia="Courier New" w:hAnsi="Courier New"/>
          <w:sz w:val="12"/>
          <w:szCs w:val="12"/>
          <w:color w:val="auto"/>
        </w:rPr>
        <w:t>of</w:t>
      </w:r>
      <w:r>
        <w:rPr>
          <w:sz w:val="20"/>
          <w:szCs w:val="20"/>
          <w:color w:val="auto"/>
        </w:rPr>
        <w:tab/>
      </w:r>
      <w:r>
        <w:rPr>
          <w:rFonts w:ascii="Courier New" w:cs="Courier New" w:eastAsia="Courier New" w:hAnsi="Courier New"/>
          <w:sz w:val="12"/>
          <w:szCs w:val="12"/>
          <w:color w:val="auto"/>
        </w:rPr>
        <w:t>the</w:t>
      </w:r>
      <w:r>
        <w:rPr>
          <w:sz w:val="20"/>
          <w:szCs w:val="20"/>
          <w:color w:val="auto"/>
        </w:rPr>
        <w:tab/>
      </w:r>
      <w:r>
        <w:rPr>
          <w:rFonts w:ascii="Courier New" w:cs="Courier New" w:eastAsia="Courier New" w:hAnsi="Courier New"/>
          <w:sz w:val="12"/>
          <w:szCs w:val="12"/>
          <w:color w:val="auto"/>
        </w:rPr>
        <w:t>Equity</w:t>
      </w:r>
    </w:p>
    <w:p>
      <w:pPr>
        <w:spacing w:after="0" w:line="6" w:lineRule="exact"/>
        <w:rPr>
          <w:sz w:val="20"/>
          <w:szCs w:val="20"/>
          <w:color w:val="auto"/>
        </w:rPr>
      </w:pPr>
    </w:p>
    <w:p>
      <w:pPr>
        <w:ind w:left="4660"/>
        <w:spacing w:after="0"/>
        <w:tabs>
          <w:tab w:leader="none" w:pos="5680" w:val="left"/>
        </w:tabs>
        <w:rPr>
          <w:sz w:val="20"/>
          <w:szCs w:val="20"/>
          <w:color w:val="auto"/>
        </w:rPr>
      </w:pPr>
      <w:r>
        <w:rPr>
          <w:rFonts w:ascii="Courier New" w:cs="Courier New" w:eastAsia="Courier New" w:hAnsi="Courier New"/>
          <w:sz w:val="12"/>
          <w:szCs w:val="12"/>
          <w:color w:val="auto"/>
        </w:rPr>
        <w:t>Convertible</w:t>
        <w:tab/>
        <w:t>Debentures</w:t>
      </w:r>
    </w:p>
    <w:p>
      <w:pPr>
        <w:spacing w:after="0" w:line="6" w:lineRule="exact"/>
        <w:rPr>
          <w:sz w:val="20"/>
          <w:szCs w:val="20"/>
          <w:color w:val="auto"/>
        </w:rPr>
      </w:pPr>
    </w:p>
    <w:p>
      <w:pPr>
        <w:ind w:left="4660"/>
        <w:spacing w:after="0"/>
        <w:tabs>
          <w:tab w:leader="none" w:pos="5680" w:val="left"/>
          <w:tab w:leader="none" w:pos="6200" w:val="left"/>
        </w:tabs>
        <w:rPr>
          <w:sz w:val="20"/>
          <w:szCs w:val="20"/>
          <w:color w:val="auto"/>
        </w:rPr>
      </w:pPr>
      <w:r>
        <w:rPr>
          <w:rFonts w:ascii="Courier New" w:cs="Courier New" w:eastAsia="Courier New" w:hAnsi="Courier New"/>
          <w:sz w:val="12"/>
          <w:szCs w:val="12"/>
          <w:color w:val="auto"/>
        </w:rPr>
        <w:t>rescheduled</w:t>
        <w:tab/>
        <w:t>under</w:t>
        <w:tab/>
        <w:t>any</w:t>
      </w:r>
    </w:p>
    <w:p>
      <w:pPr>
        <w:spacing w:after="0" w:line="6" w:lineRule="exact"/>
        <w:rPr>
          <w:sz w:val="20"/>
          <w:szCs w:val="20"/>
          <w:color w:val="auto"/>
        </w:rPr>
      </w:pPr>
    </w:p>
    <w:p>
      <w:pPr>
        <w:ind w:left="4660"/>
        <w:spacing w:after="0"/>
        <w:tabs>
          <w:tab w:leader="none" w:pos="5520" w:val="left"/>
        </w:tabs>
        <w:rPr>
          <w:sz w:val="20"/>
          <w:szCs w:val="20"/>
          <w:color w:val="auto"/>
        </w:rPr>
      </w:pPr>
      <w:r>
        <w:rPr>
          <w:rFonts w:ascii="Courier New" w:cs="Courier New" w:eastAsia="Courier New" w:hAnsi="Courier New"/>
          <w:sz w:val="12"/>
          <w:szCs w:val="12"/>
          <w:color w:val="auto"/>
        </w:rPr>
        <w:t>such</w:t>
      </w:r>
      <w:r>
        <w:rPr>
          <w:sz w:val="20"/>
          <w:szCs w:val="20"/>
          <w:color w:val="auto"/>
        </w:rPr>
        <w:tab/>
      </w:r>
      <w:r>
        <w:rPr>
          <w:rFonts w:ascii="Courier New" w:cs="Courier New" w:eastAsia="Courier New" w:hAnsi="Courier New"/>
          <w:sz w:val="12"/>
          <w:szCs w:val="12"/>
          <w:color w:val="auto"/>
        </w:rPr>
        <w:t>rescheduling</w:t>
      </w:r>
    </w:p>
    <w:p>
      <w:pPr>
        <w:spacing w:after="0" w:line="6" w:lineRule="exact"/>
        <w:rPr>
          <w:sz w:val="20"/>
          <w:szCs w:val="20"/>
          <w:color w:val="auto"/>
        </w:rPr>
      </w:pPr>
    </w:p>
    <w:p>
      <w:pPr>
        <w:ind w:left="4660"/>
        <w:spacing w:after="0"/>
        <w:tabs>
          <w:tab w:leader="none" w:pos="5600" w:val="left"/>
        </w:tabs>
        <w:rPr>
          <w:sz w:val="20"/>
          <w:szCs w:val="20"/>
          <w:color w:val="auto"/>
        </w:rPr>
      </w:pPr>
      <w:r>
        <w:rPr>
          <w:rFonts w:ascii="Courier New" w:cs="Courier New" w:eastAsia="Courier New" w:hAnsi="Courier New"/>
          <w:sz w:val="12"/>
          <w:szCs w:val="12"/>
          <w:color w:val="auto"/>
        </w:rPr>
        <w:t>agreement,</w:t>
        <w:tab/>
        <w:t>hereinafter</w:t>
      </w:r>
    </w:p>
    <w:p>
      <w:pPr>
        <w:spacing w:after="0" w:line="6" w:lineRule="exact"/>
        <w:rPr>
          <w:sz w:val="20"/>
          <w:szCs w:val="20"/>
          <w:color w:val="auto"/>
        </w:rPr>
      </w:pPr>
    </w:p>
    <w:p>
      <w:pPr>
        <w:jc w:val="both"/>
        <w:ind w:left="4660"/>
        <w:spacing w:after="0"/>
        <w:tabs>
          <w:tab w:leader="none" w:pos="5160" w:val="left"/>
          <w:tab w:leader="none" w:pos="6200" w:val="left"/>
        </w:tabs>
        <w:rPr>
          <w:sz w:val="20"/>
          <w:szCs w:val="20"/>
          <w:color w:val="auto"/>
        </w:rPr>
      </w:pPr>
      <w:r>
        <w:rPr>
          <w:rFonts w:ascii="Courier New" w:cs="Courier New" w:eastAsia="Courier New" w:hAnsi="Courier New"/>
          <w:sz w:val="12"/>
          <w:szCs w:val="12"/>
          <w:color w:val="auto"/>
        </w:rPr>
        <w:t>"THE</w:t>
        <w:tab/>
        <w:t>RESCHEDULED</w:t>
        <w:tab/>
        <w:t>ECD</w:t>
      </w:r>
    </w:p>
    <w:p>
      <w:pPr>
        <w:spacing w:after="0" w:line="6" w:lineRule="exact"/>
        <w:rPr>
          <w:sz w:val="20"/>
          <w:szCs w:val="20"/>
          <w:color w:val="auto"/>
        </w:rPr>
      </w:pPr>
    </w:p>
    <w:p>
      <w:pPr>
        <w:ind w:left="4660"/>
        <w:spacing w:after="0"/>
        <w:tabs>
          <w:tab w:leader="none" w:pos="5680" w:val="left"/>
          <w:tab w:leader="none" w:pos="6200" w:val="left"/>
        </w:tabs>
        <w:rPr>
          <w:sz w:val="20"/>
          <w:szCs w:val="20"/>
          <w:color w:val="auto"/>
        </w:rPr>
      </w:pPr>
      <w:r>
        <w:rPr>
          <w:rFonts w:ascii="Courier New" w:cs="Courier New" w:eastAsia="Courier New" w:hAnsi="Courier New"/>
          <w:sz w:val="12"/>
          <w:szCs w:val="12"/>
          <w:color w:val="auto"/>
        </w:rPr>
        <w:t>PAYMENTS"</w:t>
      </w:r>
      <w:r>
        <w:rPr>
          <w:sz w:val="20"/>
          <w:szCs w:val="20"/>
          <w:color w:val="auto"/>
        </w:rPr>
        <w:tab/>
      </w:r>
      <w:r>
        <w:rPr>
          <w:rFonts w:ascii="Courier New" w:cs="Courier New" w:eastAsia="Courier New" w:hAnsi="Courier New"/>
          <w:sz w:val="12"/>
          <w:szCs w:val="12"/>
          <w:color w:val="auto"/>
        </w:rPr>
        <w:t>and</w:t>
      </w:r>
      <w:r>
        <w:rPr>
          <w:sz w:val="20"/>
          <w:szCs w:val="20"/>
          <w:color w:val="auto"/>
        </w:rPr>
        <w:tab/>
      </w:r>
      <w:r>
        <w:rPr>
          <w:rFonts w:ascii="Courier New" w:cs="Courier New" w:eastAsia="Courier New" w:hAnsi="Courier New"/>
          <w:sz w:val="12"/>
          <w:szCs w:val="12"/>
          <w:color w:val="auto"/>
        </w:rPr>
        <w:t>all</w:t>
      </w:r>
    </w:p>
    <w:p>
      <w:pPr>
        <w:spacing w:after="0" w:line="6" w:lineRule="exact"/>
        <w:rPr>
          <w:sz w:val="20"/>
          <w:szCs w:val="20"/>
          <w:color w:val="auto"/>
        </w:rPr>
      </w:pPr>
    </w:p>
    <w:p>
      <w:pPr>
        <w:ind w:left="4660"/>
        <w:spacing w:after="0"/>
        <w:tabs>
          <w:tab w:leader="none" w:pos="5520" w:val="left"/>
          <w:tab w:leader="none" w:pos="6260" w:val="left"/>
        </w:tabs>
        <w:rPr>
          <w:sz w:val="20"/>
          <w:szCs w:val="20"/>
          <w:color w:val="auto"/>
        </w:rPr>
      </w:pPr>
      <w:r>
        <w:rPr>
          <w:rFonts w:ascii="Courier New" w:cs="Courier New" w:eastAsia="Courier New" w:hAnsi="Courier New"/>
          <w:sz w:val="12"/>
          <w:szCs w:val="12"/>
          <w:color w:val="auto"/>
        </w:rPr>
        <w:t>payments,</w:t>
        <w:tab/>
        <w:t>whether</w:t>
        <w:tab/>
        <w:t>of</w:t>
      </w:r>
    </w:p>
    <w:p>
      <w:pPr>
        <w:spacing w:after="0" w:line="6" w:lineRule="exact"/>
        <w:rPr>
          <w:sz w:val="20"/>
          <w:szCs w:val="20"/>
          <w:color w:val="auto"/>
        </w:rPr>
      </w:pPr>
    </w:p>
    <w:p>
      <w:pPr>
        <w:ind w:left="4660"/>
        <w:spacing w:after="0"/>
        <w:tabs>
          <w:tab w:leader="none" w:pos="5380" w:val="left"/>
          <w:tab w:leader="none" w:pos="5740" w:val="left"/>
        </w:tabs>
        <w:rPr>
          <w:sz w:val="20"/>
          <w:szCs w:val="20"/>
          <w:color w:val="auto"/>
        </w:rPr>
      </w:pPr>
      <w:r>
        <w:rPr>
          <w:rFonts w:ascii="Courier New" w:cs="Courier New" w:eastAsia="Courier New" w:hAnsi="Courier New"/>
          <w:sz w:val="12"/>
          <w:szCs w:val="12"/>
          <w:color w:val="auto"/>
        </w:rPr>
        <w:t>Interest</w:t>
        <w:tab/>
        <w:t>or</w:t>
        <w:tab/>
        <w:t>principal</w:t>
      </w:r>
    </w:p>
    <w:p>
      <w:pPr>
        <w:spacing w:after="0" w:line="6" w:lineRule="exact"/>
        <w:rPr>
          <w:sz w:val="20"/>
          <w:szCs w:val="20"/>
          <w:color w:val="auto"/>
        </w:rPr>
      </w:pPr>
    </w:p>
    <w:p>
      <w:pPr>
        <w:ind w:left="4660"/>
        <w:spacing w:after="0"/>
        <w:tabs>
          <w:tab w:leader="none" w:pos="5160" w:val="left"/>
          <w:tab w:leader="none" w:pos="5680" w:val="left"/>
        </w:tabs>
        <w:rPr>
          <w:sz w:val="20"/>
          <w:szCs w:val="20"/>
          <w:color w:val="auto"/>
        </w:rPr>
      </w:pPr>
      <w:r>
        <w:rPr>
          <w:rFonts w:ascii="Courier New" w:cs="Courier New" w:eastAsia="Courier New" w:hAnsi="Courier New"/>
          <w:sz w:val="12"/>
          <w:szCs w:val="12"/>
          <w:color w:val="auto"/>
        </w:rPr>
        <w:t>under</w:t>
        <w:tab/>
        <w:t>this</w:t>
        <w:tab/>
        <w:t>Agreement,</w:t>
      </w:r>
    </w:p>
    <w:p>
      <w:pPr>
        <w:spacing w:after="0" w:line="6" w:lineRule="exact"/>
        <w:rPr>
          <w:sz w:val="20"/>
          <w:szCs w:val="20"/>
          <w:color w:val="auto"/>
        </w:rPr>
      </w:pPr>
    </w:p>
    <w:p>
      <w:pPr>
        <w:ind w:left="4660"/>
        <w:spacing w:after="0"/>
        <w:tabs>
          <w:tab w:leader="none" w:pos="5600" w:val="left"/>
          <w:tab w:leader="none" w:pos="6120" w:val="left"/>
        </w:tabs>
        <w:rPr>
          <w:sz w:val="20"/>
          <w:szCs w:val="20"/>
          <w:color w:val="auto"/>
        </w:rPr>
      </w:pPr>
      <w:r>
        <w:rPr>
          <w:rFonts w:ascii="Courier New" w:cs="Courier New" w:eastAsia="Courier New" w:hAnsi="Courier New"/>
          <w:sz w:val="12"/>
          <w:szCs w:val="12"/>
          <w:color w:val="auto"/>
        </w:rPr>
        <w:t>rescheduled</w:t>
        <w:tab/>
        <w:t>under</w:t>
        <w:tab/>
        <w:t>such</w:t>
      </w:r>
    </w:p>
    <w:p>
      <w:pPr>
        <w:spacing w:after="0" w:line="6" w:lineRule="exact"/>
        <w:rPr>
          <w:sz w:val="20"/>
          <w:szCs w:val="20"/>
          <w:color w:val="auto"/>
        </w:rPr>
      </w:pPr>
    </w:p>
    <w:p>
      <w:pPr>
        <w:ind w:left="4660"/>
        <w:spacing w:after="0"/>
        <w:tabs>
          <w:tab w:leader="none" w:pos="5680" w:val="left"/>
        </w:tabs>
        <w:rPr>
          <w:sz w:val="20"/>
          <w:szCs w:val="20"/>
          <w:color w:val="auto"/>
        </w:rPr>
      </w:pPr>
      <w:r>
        <w:rPr>
          <w:rFonts w:ascii="Courier New" w:cs="Courier New" w:eastAsia="Courier New" w:hAnsi="Courier New"/>
          <w:sz w:val="12"/>
          <w:szCs w:val="12"/>
          <w:color w:val="auto"/>
        </w:rPr>
        <w:t>rescheduling</w:t>
        <w:tab/>
        <w:t>agreement,</w:t>
      </w:r>
    </w:p>
    <w:p>
      <w:pPr>
        <w:spacing w:after="0" w:line="6" w:lineRule="exact"/>
        <w:rPr>
          <w:sz w:val="20"/>
          <w:szCs w:val="20"/>
          <w:color w:val="auto"/>
        </w:rPr>
      </w:pPr>
    </w:p>
    <w:p>
      <w:pPr>
        <w:jc w:val="both"/>
        <w:ind w:left="4660"/>
        <w:spacing w:after="0"/>
        <w:tabs>
          <w:tab w:leader="none" w:pos="6120" w:val="left"/>
        </w:tabs>
        <w:rPr>
          <w:sz w:val="20"/>
          <w:szCs w:val="20"/>
          <w:color w:val="auto"/>
        </w:rPr>
      </w:pPr>
      <w:r>
        <w:rPr>
          <w:rFonts w:ascii="Courier New" w:cs="Courier New" w:eastAsia="Courier New" w:hAnsi="Courier New"/>
          <w:sz w:val="12"/>
          <w:szCs w:val="12"/>
          <w:color w:val="auto"/>
        </w:rPr>
        <w:t>hereinafter</w:t>
      </w:r>
      <w:r>
        <w:rPr>
          <w:sz w:val="20"/>
          <w:szCs w:val="20"/>
          <w:color w:val="auto"/>
        </w:rPr>
        <w:tab/>
      </w:r>
      <w:r>
        <w:rPr>
          <w:rFonts w:ascii="Courier New" w:cs="Courier New" w:eastAsia="Courier New" w:hAnsi="Courier New"/>
          <w:sz w:val="12"/>
          <w:szCs w:val="12"/>
          <w:color w:val="auto"/>
        </w:rPr>
        <w:t>"THE</w:t>
      </w:r>
    </w:p>
    <w:p>
      <w:pPr>
        <w:spacing w:after="0" w:line="6" w:lineRule="exact"/>
        <w:rPr>
          <w:sz w:val="20"/>
          <w:szCs w:val="20"/>
          <w:color w:val="auto"/>
        </w:rPr>
      </w:pPr>
    </w:p>
    <w:p>
      <w:pPr>
        <w:jc w:val="both"/>
        <w:ind w:left="4660"/>
        <w:spacing w:after="0"/>
        <w:tabs>
          <w:tab w:leader="none" w:pos="5820" w:val="left"/>
        </w:tabs>
        <w:rPr>
          <w:sz w:val="20"/>
          <w:szCs w:val="20"/>
          <w:color w:val="auto"/>
        </w:rPr>
      </w:pPr>
      <w:r>
        <w:rPr>
          <w:rFonts w:ascii="Courier New" w:cs="Courier New" w:eastAsia="Courier New" w:hAnsi="Courier New"/>
          <w:sz w:val="12"/>
          <w:szCs w:val="12"/>
          <w:color w:val="auto"/>
        </w:rPr>
        <w:t>RESCHEDULED</w:t>
      </w:r>
      <w:r>
        <w:rPr>
          <w:sz w:val="20"/>
          <w:szCs w:val="20"/>
          <w:color w:val="auto"/>
        </w:rPr>
        <w:tab/>
      </w:r>
      <w:r>
        <w:rPr>
          <w:rFonts w:ascii="Courier New" w:cs="Courier New" w:eastAsia="Courier New" w:hAnsi="Courier New"/>
          <w:sz w:val="12"/>
          <w:szCs w:val="12"/>
          <w:color w:val="auto"/>
        </w:rPr>
        <w:t>FACILITY</w:t>
      </w:r>
    </w:p>
    <w:p>
      <w:pPr>
        <w:spacing w:after="0" w:line="6" w:lineRule="exact"/>
        <w:rPr>
          <w:sz w:val="20"/>
          <w:szCs w:val="20"/>
          <w:color w:val="auto"/>
        </w:rPr>
      </w:pPr>
    </w:p>
    <w:p>
      <w:pPr>
        <w:jc w:val="right"/>
        <w:ind w:right="2579"/>
        <w:spacing w:after="0"/>
        <w:tabs>
          <w:tab w:leader="none" w:pos="580" w:val="left"/>
        </w:tabs>
        <w:rPr>
          <w:sz w:val="20"/>
          <w:szCs w:val="20"/>
          <w:color w:val="auto"/>
        </w:rPr>
      </w:pPr>
      <w:r>
        <w:rPr>
          <w:rFonts w:ascii="Courier New" w:cs="Courier New" w:eastAsia="Courier New" w:hAnsi="Courier New"/>
          <w:sz w:val="12"/>
          <w:szCs w:val="12"/>
          <w:color w:val="auto"/>
        </w:rPr>
        <w:t>PAYMENTS").</w:t>
      </w:r>
      <w:r>
        <w:rPr>
          <w:sz w:val="20"/>
          <w:szCs w:val="20"/>
          <w:color w:val="auto"/>
        </w:rPr>
        <w:tab/>
      </w:r>
      <w:r>
        <w:rPr>
          <w:rFonts w:ascii="Courier New" w:cs="Courier New" w:eastAsia="Courier New" w:hAnsi="Courier New"/>
          <w:sz w:val="12"/>
          <w:szCs w:val="12"/>
          <w:color w:val="auto"/>
        </w:rPr>
        <w:t>Pursuant</w:t>
      </w:r>
    </w:p>
    <w:p>
      <w:pPr>
        <w:spacing w:after="0" w:line="6" w:lineRule="exact"/>
        <w:rPr>
          <w:sz w:val="20"/>
          <w:szCs w:val="20"/>
          <w:color w:val="auto"/>
        </w:rPr>
      </w:pPr>
    </w:p>
    <w:p>
      <w:pPr>
        <w:ind w:left="4660"/>
        <w:spacing w:after="0"/>
        <w:tabs>
          <w:tab w:leader="none" w:pos="5300" w:val="left"/>
          <w:tab w:leader="none" w:pos="6120" w:val="left"/>
        </w:tabs>
        <w:rPr>
          <w:sz w:val="20"/>
          <w:szCs w:val="20"/>
          <w:color w:val="auto"/>
        </w:rPr>
      </w:pPr>
      <w:r>
        <w:rPr>
          <w:rFonts w:ascii="Courier New" w:cs="Courier New" w:eastAsia="Courier New" w:hAnsi="Courier New"/>
          <w:sz w:val="12"/>
          <w:szCs w:val="12"/>
          <w:color w:val="auto"/>
        </w:rPr>
        <w:t>to</w:t>
      </w:r>
      <w:r>
        <w:rPr>
          <w:sz w:val="20"/>
          <w:szCs w:val="20"/>
          <w:color w:val="auto"/>
        </w:rPr>
        <w:tab/>
      </w:r>
      <w:r>
        <w:rPr>
          <w:rFonts w:ascii="Courier New" w:cs="Courier New" w:eastAsia="Courier New" w:hAnsi="Courier New"/>
          <w:sz w:val="12"/>
          <w:szCs w:val="12"/>
          <w:color w:val="auto"/>
        </w:rPr>
        <w:t>any</w:t>
      </w:r>
      <w:r>
        <w:rPr>
          <w:sz w:val="20"/>
          <w:szCs w:val="20"/>
          <w:color w:val="auto"/>
        </w:rPr>
        <w:tab/>
      </w:r>
      <w:r>
        <w:rPr>
          <w:rFonts w:ascii="Courier New" w:cs="Courier New" w:eastAsia="Courier New" w:hAnsi="Courier New"/>
          <w:sz w:val="12"/>
          <w:szCs w:val="12"/>
          <w:color w:val="auto"/>
        </w:rPr>
        <w:t>such</w:t>
      </w:r>
    </w:p>
    <w:p>
      <w:pPr>
        <w:spacing w:after="0" w:line="6" w:lineRule="exact"/>
        <w:rPr>
          <w:sz w:val="20"/>
          <w:szCs w:val="20"/>
          <w:color w:val="auto"/>
        </w:rPr>
      </w:pPr>
    </w:p>
    <w:p>
      <w:pPr>
        <w:ind w:left="4660"/>
        <w:spacing w:after="0"/>
        <w:tabs>
          <w:tab w:leader="none" w:pos="5680" w:val="left"/>
        </w:tabs>
        <w:rPr>
          <w:sz w:val="20"/>
          <w:szCs w:val="20"/>
          <w:color w:val="auto"/>
        </w:rPr>
      </w:pPr>
      <w:r>
        <w:rPr>
          <w:rFonts w:ascii="Courier New" w:cs="Courier New" w:eastAsia="Courier New" w:hAnsi="Courier New"/>
          <w:sz w:val="12"/>
          <w:szCs w:val="12"/>
          <w:color w:val="auto"/>
        </w:rPr>
        <w:t>rescheduling</w:t>
        <w:tab/>
        <w:t>agreement,</w:t>
      </w:r>
    </w:p>
    <w:p>
      <w:pPr>
        <w:spacing w:after="0" w:line="6" w:lineRule="exact"/>
        <w:rPr>
          <w:sz w:val="20"/>
          <w:szCs w:val="20"/>
          <w:color w:val="auto"/>
        </w:rPr>
      </w:pPr>
    </w:p>
    <w:p>
      <w:pPr>
        <w:ind w:left="4660"/>
        <w:spacing w:after="0"/>
        <w:tabs>
          <w:tab w:leader="none" w:pos="5020" w:val="left"/>
          <w:tab w:leader="none" w:pos="5740" w:val="left"/>
          <w:tab w:leader="none" w:pos="6260" w:val="left"/>
        </w:tabs>
        <w:rPr>
          <w:sz w:val="20"/>
          <w:szCs w:val="20"/>
          <w:color w:val="auto"/>
        </w:rPr>
      </w:pPr>
      <w:r>
        <w:rPr>
          <w:rFonts w:ascii="Courier New" w:cs="Courier New" w:eastAsia="Courier New" w:hAnsi="Courier New"/>
          <w:sz w:val="12"/>
          <w:szCs w:val="12"/>
          <w:color w:val="auto"/>
        </w:rPr>
        <w:t>the</w:t>
        <w:tab/>
        <w:t>Borrower</w:t>
        <w:tab/>
        <w:t>shall</w:t>
        <w:tab/>
        <w:t>be</w:t>
      </w:r>
    </w:p>
    <w:p>
      <w:pPr>
        <w:spacing w:after="0" w:line="6" w:lineRule="exact"/>
        <w:rPr>
          <w:sz w:val="20"/>
          <w:szCs w:val="20"/>
          <w:color w:val="auto"/>
        </w:rPr>
      </w:pPr>
    </w:p>
    <w:p>
      <w:pPr>
        <w:ind w:left="4660"/>
        <w:spacing w:after="0"/>
        <w:tabs>
          <w:tab w:leader="none" w:pos="5460" w:val="left"/>
          <w:tab w:leader="none" w:pos="5740" w:val="left"/>
          <w:tab w:leader="none" w:pos="6120" w:val="left"/>
        </w:tabs>
        <w:rPr>
          <w:sz w:val="20"/>
          <w:szCs w:val="20"/>
          <w:color w:val="auto"/>
        </w:rPr>
      </w:pPr>
      <w:r>
        <w:rPr>
          <w:rFonts w:ascii="Courier New" w:cs="Courier New" w:eastAsia="Courier New" w:hAnsi="Courier New"/>
          <w:sz w:val="12"/>
          <w:szCs w:val="12"/>
          <w:color w:val="auto"/>
        </w:rPr>
        <w:t>entitled,</w:t>
        <w:tab/>
        <w:t>on</w:t>
        <w:tab/>
        <w:t>any</w:t>
        <w:tab/>
        <w:t>date</w:t>
      </w:r>
    </w:p>
    <w:p>
      <w:pPr>
        <w:spacing w:after="0" w:line="6" w:lineRule="exact"/>
        <w:rPr>
          <w:sz w:val="20"/>
          <w:szCs w:val="20"/>
          <w:color w:val="auto"/>
        </w:rPr>
      </w:pPr>
    </w:p>
    <w:p>
      <w:pPr>
        <w:ind w:left="4660"/>
        <w:spacing w:after="0"/>
        <w:tabs>
          <w:tab w:leader="none" w:pos="5080" w:val="left"/>
          <w:tab w:leader="none" w:pos="5820" w:val="left"/>
          <w:tab w:leader="none" w:pos="6200" w:val="left"/>
        </w:tabs>
        <w:rPr>
          <w:sz w:val="20"/>
          <w:szCs w:val="20"/>
          <w:color w:val="auto"/>
        </w:rPr>
      </w:pPr>
      <w:r>
        <w:rPr>
          <w:rFonts w:ascii="Courier New" w:cs="Courier New" w:eastAsia="Courier New" w:hAnsi="Courier New"/>
          <w:sz w:val="12"/>
          <w:szCs w:val="12"/>
          <w:color w:val="auto"/>
        </w:rPr>
        <w:t>for</w:t>
        <w:tab/>
        <w:t>payment</w:t>
        <w:tab/>
        <w:t>of</w:t>
        <w:tab/>
        <w:t>any</w:t>
      </w:r>
    </w:p>
    <w:p>
      <w:pPr>
        <w:spacing w:after="0" w:line="6" w:lineRule="exact"/>
        <w:rPr>
          <w:sz w:val="20"/>
          <w:szCs w:val="20"/>
          <w:color w:val="auto"/>
        </w:rPr>
      </w:pPr>
    </w:p>
    <w:p>
      <w:pPr>
        <w:ind w:left="4660"/>
        <w:spacing w:after="0"/>
        <w:tabs>
          <w:tab w:leader="none" w:pos="5600" w:val="left"/>
        </w:tabs>
        <w:rPr>
          <w:sz w:val="20"/>
          <w:szCs w:val="20"/>
          <w:color w:val="auto"/>
        </w:rPr>
      </w:pPr>
      <w:r>
        <w:rPr>
          <w:rFonts w:ascii="Courier New" w:cs="Courier New" w:eastAsia="Courier New" w:hAnsi="Courier New"/>
          <w:sz w:val="12"/>
          <w:szCs w:val="12"/>
          <w:color w:val="auto"/>
        </w:rPr>
        <w:t>Rescheduled</w:t>
        <w:tab/>
        <w:t>ECD Payment</w:t>
      </w:r>
    </w:p>
    <w:p>
      <w:pPr>
        <w:spacing w:after="0" w:line="6" w:lineRule="exact"/>
        <w:rPr>
          <w:sz w:val="20"/>
          <w:szCs w:val="20"/>
          <w:color w:val="auto"/>
        </w:rPr>
      </w:pPr>
    </w:p>
    <w:p>
      <w:pPr>
        <w:ind w:left="4660"/>
        <w:spacing w:after="0"/>
        <w:tabs>
          <w:tab w:leader="none" w:pos="6200" w:val="left"/>
        </w:tabs>
        <w:rPr>
          <w:sz w:val="20"/>
          <w:szCs w:val="20"/>
          <w:color w:val="auto"/>
        </w:rPr>
      </w:pPr>
      <w:r>
        <w:rPr>
          <w:rFonts w:ascii="Courier New" w:cs="Courier New" w:eastAsia="Courier New" w:hAnsi="Courier New"/>
          <w:sz w:val="12"/>
          <w:szCs w:val="12"/>
          <w:color w:val="auto"/>
        </w:rPr>
        <w:t>("RESCHEDULED</w:t>
      </w:r>
      <w:r>
        <w:rPr>
          <w:sz w:val="20"/>
          <w:szCs w:val="20"/>
          <w:color w:val="auto"/>
        </w:rPr>
        <w:tab/>
      </w:r>
      <w:r>
        <w:rPr>
          <w:rFonts w:ascii="Courier New" w:cs="Courier New" w:eastAsia="Courier New" w:hAnsi="Courier New"/>
          <w:sz w:val="12"/>
          <w:szCs w:val="12"/>
          <w:color w:val="auto"/>
        </w:rPr>
        <w:t>ECD</w:t>
      </w:r>
    </w:p>
    <w:p>
      <w:pPr>
        <w:spacing w:after="0" w:line="6" w:lineRule="exact"/>
        <w:rPr>
          <w:sz w:val="20"/>
          <w:szCs w:val="20"/>
          <w:color w:val="auto"/>
        </w:rPr>
      </w:pPr>
    </w:p>
    <w:p>
      <w:pPr>
        <w:ind w:left="4660"/>
        <w:spacing w:after="0"/>
        <w:tabs>
          <w:tab w:leader="none" w:pos="5900" w:val="left"/>
        </w:tabs>
        <w:rPr>
          <w:sz w:val="20"/>
          <w:szCs w:val="20"/>
          <w:color w:val="auto"/>
        </w:rPr>
      </w:pPr>
      <w:r>
        <w:rPr>
          <w:rFonts w:ascii="Courier New" w:cs="Courier New" w:eastAsia="Courier New" w:hAnsi="Courier New"/>
          <w:sz w:val="12"/>
          <w:szCs w:val="12"/>
          <w:color w:val="auto"/>
        </w:rPr>
        <w:t>PAYMENT DATE"),</w:t>
        <w:tab/>
        <w:t>to pay,</w:t>
      </w:r>
    </w:p>
    <w:p>
      <w:pPr>
        <w:spacing w:after="0" w:line="6" w:lineRule="exact"/>
        <w:rPr>
          <w:sz w:val="20"/>
          <w:szCs w:val="20"/>
          <w:color w:val="auto"/>
        </w:rPr>
      </w:pPr>
    </w:p>
    <w:p>
      <w:pPr>
        <w:jc w:val="both"/>
        <w:ind w:left="4660"/>
        <w:spacing w:after="0"/>
        <w:tabs>
          <w:tab w:leader="none" w:pos="5080" w:val="left"/>
          <w:tab w:leader="none" w:pos="5820" w:val="left"/>
          <w:tab w:leader="none" w:pos="6200" w:val="left"/>
        </w:tabs>
        <w:rPr>
          <w:sz w:val="20"/>
          <w:szCs w:val="20"/>
          <w:color w:val="auto"/>
        </w:rPr>
      </w:pPr>
      <w:r>
        <w:rPr>
          <w:rFonts w:ascii="Courier New" w:cs="Courier New" w:eastAsia="Courier New" w:hAnsi="Courier New"/>
          <w:sz w:val="12"/>
          <w:szCs w:val="12"/>
          <w:color w:val="auto"/>
        </w:rPr>
        <w:t>in</w:t>
      </w:r>
      <w:r>
        <w:rPr>
          <w:sz w:val="20"/>
          <w:szCs w:val="20"/>
          <w:color w:val="auto"/>
        </w:rPr>
        <w:tab/>
      </w:r>
      <w:r>
        <w:rPr>
          <w:rFonts w:ascii="Courier New" w:cs="Courier New" w:eastAsia="Courier New" w:hAnsi="Courier New"/>
          <w:sz w:val="12"/>
          <w:szCs w:val="12"/>
          <w:color w:val="auto"/>
        </w:rPr>
        <w:t>respect</w:t>
        <w:tab/>
        <w:t>of</w:t>
        <w:tab/>
        <w:t>the</w:t>
      </w:r>
    </w:p>
    <w:p>
      <w:pPr>
        <w:spacing w:after="0" w:line="6" w:lineRule="exact"/>
        <w:rPr>
          <w:sz w:val="20"/>
          <w:szCs w:val="20"/>
          <w:color w:val="auto"/>
        </w:rPr>
      </w:pPr>
    </w:p>
    <w:p>
      <w:pPr>
        <w:ind w:left="4660"/>
        <w:spacing w:after="0"/>
        <w:tabs>
          <w:tab w:leader="none" w:pos="6200" w:val="left"/>
        </w:tabs>
        <w:rPr>
          <w:sz w:val="20"/>
          <w:szCs w:val="20"/>
          <w:color w:val="auto"/>
        </w:rPr>
      </w:pPr>
      <w:r>
        <w:rPr>
          <w:rFonts w:ascii="Courier New" w:cs="Courier New" w:eastAsia="Courier New" w:hAnsi="Courier New"/>
          <w:sz w:val="12"/>
          <w:szCs w:val="12"/>
          <w:color w:val="auto"/>
        </w:rPr>
        <w:t>Rescheduled</w:t>
      </w:r>
      <w:r>
        <w:rPr>
          <w:sz w:val="20"/>
          <w:szCs w:val="20"/>
          <w:color w:val="auto"/>
        </w:rPr>
        <w:tab/>
      </w:r>
      <w:r>
        <w:rPr>
          <w:rFonts w:ascii="Courier New" w:cs="Courier New" w:eastAsia="Courier New" w:hAnsi="Courier New"/>
          <w:sz w:val="12"/>
          <w:szCs w:val="12"/>
          <w:color w:val="auto"/>
        </w:rPr>
        <w:t>ECD</w:t>
      </w:r>
    </w:p>
    <w:p>
      <w:pPr>
        <w:spacing w:after="0" w:line="6" w:lineRule="exact"/>
        <w:rPr>
          <w:sz w:val="20"/>
          <w:szCs w:val="20"/>
          <w:color w:val="auto"/>
        </w:rPr>
      </w:pPr>
    </w:p>
    <w:p>
      <w:pPr>
        <w:ind w:left="4660"/>
        <w:spacing w:after="0"/>
        <w:tabs>
          <w:tab w:leader="none" w:pos="5460" w:val="left"/>
          <w:tab w:leader="none" w:pos="5740" w:val="left"/>
        </w:tabs>
        <w:rPr>
          <w:sz w:val="20"/>
          <w:szCs w:val="20"/>
          <w:color w:val="auto"/>
        </w:rPr>
      </w:pPr>
      <w:r>
        <w:rPr>
          <w:rFonts w:ascii="Courier New" w:cs="Courier New" w:eastAsia="Courier New" w:hAnsi="Courier New"/>
          <w:sz w:val="12"/>
          <w:szCs w:val="12"/>
          <w:color w:val="auto"/>
        </w:rPr>
        <w:t>Payments,</w:t>
        <w:tab/>
        <w:t>an</w:t>
        <w:tab/>
        <w:t>aggregate</w:t>
      </w:r>
    </w:p>
    <w:p>
      <w:pPr>
        <w:spacing w:after="0" w:line="6" w:lineRule="exact"/>
        <w:rPr>
          <w:sz w:val="20"/>
          <w:szCs w:val="20"/>
          <w:color w:val="auto"/>
        </w:rPr>
      </w:pPr>
    </w:p>
    <w:p>
      <w:pPr>
        <w:ind w:left="4660"/>
        <w:spacing w:after="0"/>
        <w:tabs>
          <w:tab w:leader="none" w:pos="5300" w:val="left"/>
          <w:tab w:leader="none" w:pos="5740" w:val="left"/>
        </w:tabs>
        <w:rPr>
          <w:sz w:val="20"/>
          <w:szCs w:val="20"/>
          <w:color w:val="auto"/>
        </w:rPr>
      </w:pPr>
      <w:r>
        <w:rPr>
          <w:rFonts w:ascii="Courier New" w:cs="Courier New" w:eastAsia="Courier New" w:hAnsi="Courier New"/>
          <w:sz w:val="12"/>
          <w:szCs w:val="12"/>
          <w:color w:val="auto"/>
        </w:rPr>
        <w:t>amount</w:t>
        <w:tab/>
        <w:t>(of</w:t>
        <w:tab/>
        <w:t>principal</w:t>
      </w:r>
    </w:p>
    <w:p>
      <w:pPr>
        <w:spacing w:after="0" w:line="6" w:lineRule="exact"/>
        <w:rPr>
          <w:sz w:val="20"/>
          <w:szCs w:val="20"/>
          <w:color w:val="auto"/>
        </w:rPr>
      </w:pPr>
    </w:p>
    <w:p>
      <w:pPr>
        <w:ind w:left="4660"/>
        <w:spacing w:after="0"/>
        <w:tabs>
          <w:tab w:leader="none" w:pos="5240" w:val="left"/>
        </w:tabs>
        <w:rPr>
          <w:sz w:val="20"/>
          <w:szCs w:val="20"/>
          <w:color w:val="auto"/>
        </w:rPr>
      </w:pPr>
      <w:r>
        <w:rPr>
          <w:rFonts w:ascii="Courier New" w:cs="Courier New" w:eastAsia="Courier New" w:hAnsi="Courier New"/>
          <w:sz w:val="12"/>
          <w:szCs w:val="12"/>
          <w:color w:val="auto"/>
        </w:rPr>
        <w:t>and/or</w:t>
        <w:tab/>
        <w:t>Interest) which,</w:t>
      </w:r>
    </w:p>
    <w:p>
      <w:pPr>
        <w:spacing w:after="0" w:line="6" w:lineRule="exact"/>
        <w:rPr>
          <w:sz w:val="20"/>
          <w:szCs w:val="20"/>
          <w:color w:val="auto"/>
        </w:rPr>
      </w:pPr>
    </w:p>
    <w:p>
      <w:pPr>
        <w:jc w:val="both"/>
        <w:ind w:left="4660"/>
        <w:spacing w:after="0"/>
        <w:tabs>
          <w:tab w:leader="none" w:pos="5600" w:val="left"/>
          <w:tab w:leader="none" w:pos="6200" w:val="left"/>
        </w:tabs>
        <w:rPr>
          <w:sz w:val="20"/>
          <w:szCs w:val="20"/>
          <w:color w:val="auto"/>
        </w:rPr>
      </w:pPr>
      <w:r>
        <w:rPr>
          <w:rFonts w:ascii="Courier New" w:cs="Courier New" w:eastAsia="Courier New" w:hAnsi="Courier New"/>
          <w:sz w:val="12"/>
          <w:szCs w:val="12"/>
          <w:color w:val="auto"/>
        </w:rPr>
        <w:t>together</w:t>
      </w:r>
      <w:r>
        <w:rPr>
          <w:sz w:val="20"/>
          <w:szCs w:val="20"/>
          <w:color w:val="auto"/>
        </w:rPr>
        <w:tab/>
      </w:r>
      <w:r>
        <w:rPr>
          <w:rFonts w:ascii="Courier New" w:cs="Courier New" w:eastAsia="Courier New" w:hAnsi="Courier New"/>
          <w:sz w:val="12"/>
          <w:szCs w:val="12"/>
          <w:color w:val="auto"/>
        </w:rPr>
        <w:t>with</w:t>
      </w:r>
      <w:r>
        <w:rPr>
          <w:sz w:val="20"/>
          <w:szCs w:val="20"/>
          <w:color w:val="auto"/>
        </w:rPr>
        <w:tab/>
      </w:r>
      <w:r>
        <w:rPr>
          <w:rFonts w:ascii="Courier New" w:cs="Courier New" w:eastAsia="Courier New" w:hAnsi="Courier New"/>
          <w:sz w:val="12"/>
          <w:szCs w:val="12"/>
          <w:color w:val="auto"/>
        </w:rPr>
        <w:t>the</w:t>
      </w:r>
    </w:p>
    <w:p>
      <w:pPr>
        <w:spacing w:after="0" w:line="6" w:lineRule="exact"/>
        <w:rPr>
          <w:sz w:val="20"/>
          <w:szCs w:val="20"/>
          <w:color w:val="auto"/>
        </w:rPr>
      </w:pPr>
    </w:p>
    <w:p>
      <w:pPr>
        <w:ind w:left="4660"/>
        <w:spacing w:after="0"/>
        <w:tabs>
          <w:tab w:leader="none" w:pos="5680" w:val="left"/>
          <w:tab w:leader="none" w:pos="6200" w:val="left"/>
        </w:tabs>
        <w:rPr>
          <w:sz w:val="20"/>
          <w:szCs w:val="20"/>
          <w:color w:val="auto"/>
        </w:rPr>
      </w:pPr>
      <w:r>
        <w:rPr>
          <w:rFonts w:ascii="Courier New" w:cs="Courier New" w:eastAsia="Courier New" w:hAnsi="Courier New"/>
          <w:sz w:val="12"/>
          <w:szCs w:val="12"/>
          <w:color w:val="auto"/>
        </w:rPr>
        <w:t>aggregate</w:t>
      </w:r>
      <w:r>
        <w:rPr>
          <w:sz w:val="20"/>
          <w:szCs w:val="20"/>
          <w:color w:val="auto"/>
        </w:rPr>
        <w:tab/>
      </w:r>
      <w:r>
        <w:rPr>
          <w:rFonts w:ascii="Courier New" w:cs="Courier New" w:eastAsia="Courier New" w:hAnsi="Courier New"/>
          <w:sz w:val="12"/>
          <w:szCs w:val="12"/>
          <w:color w:val="auto"/>
        </w:rPr>
        <w:t>of</w:t>
      </w:r>
      <w:r>
        <w:rPr>
          <w:sz w:val="20"/>
          <w:szCs w:val="20"/>
          <w:color w:val="auto"/>
        </w:rPr>
        <w:tab/>
      </w:r>
      <w:r>
        <w:rPr>
          <w:rFonts w:ascii="Courier New" w:cs="Courier New" w:eastAsia="Courier New" w:hAnsi="Courier New"/>
          <w:sz w:val="12"/>
          <w:szCs w:val="12"/>
          <w:color w:val="auto"/>
        </w:rPr>
        <w:t>all</w:t>
      </w:r>
    </w:p>
    <w:p>
      <w:pPr>
        <w:spacing w:after="0" w:line="6" w:lineRule="exact"/>
        <w:rPr>
          <w:sz w:val="20"/>
          <w:szCs w:val="20"/>
          <w:color w:val="auto"/>
        </w:rPr>
      </w:pPr>
    </w:p>
    <w:p>
      <w:pPr>
        <w:ind w:left="4660"/>
        <w:spacing w:after="0"/>
        <w:tabs>
          <w:tab w:leader="none" w:pos="5380" w:val="left"/>
          <w:tab w:leader="none" w:pos="5740" w:val="left"/>
        </w:tabs>
        <w:rPr>
          <w:sz w:val="20"/>
          <w:szCs w:val="20"/>
          <w:color w:val="auto"/>
        </w:rPr>
      </w:pPr>
      <w:r>
        <w:rPr>
          <w:rFonts w:ascii="Courier New" w:cs="Courier New" w:eastAsia="Courier New" w:hAnsi="Courier New"/>
          <w:sz w:val="12"/>
          <w:szCs w:val="12"/>
          <w:color w:val="auto"/>
        </w:rPr>
        <w:t>payments</w:t>
        <w:tab/>
        <w:t>(of</w:t>
        <w:tab/>
        <w:t>principal</w:t>
      </w:r>
    </w:p>
    <w:p>
      <w:pPr>
        <w:spacing w:after="0" w:line="6" w:lineRule="exact"/>
        <w:rPr>
          <w:sz w:val="20"/>
          <w:szCs w:val="20"/>
          <w:color w:val="auto"/>
        </w:rPr>
      </w:pPr>
    </w:p>
    <w:p>
      <w:pPr>
        <w:ind w:left="4660"/>
        <w:spacing w:after="0"/>
        <w:tabs>
          <w:tab w:leader="none" w:pos="5740" w:val="left"/>
        </w:tabs>
        <w:rPr>
          <w:sz w:val="20"/>
          <w:szCs w:val="20"/>
          <w:color w:val="auto"/>
        </w:rPr>
      </w:pPr>
      <w:r>
        <w:rPr>
          <w:rFonts w:ascii="Courier New" w:cs="Courier New" w:eastAsia="Courier New" w:hAnsi="Courier New"/>
          <w:sz w:val="12"/>
          <w:szCs w:val="12"/>
          <w:color w:val="auto"/>
        </w:rPr>
        <w:t>and/or</w:t>
      </w:r>
      <w:r>
        <w:rPr>
          <w:sz w:val="20"/>
          <w:szCs w:val="20"/>
          <w:color w:val="auto"/>
        </w:rPr>
        <w:tab/>
      </w:r>
      <w:r>
        <w:rPr>
          <w:rFonts w:ascii="Courier New" w:cs="Courier New" w:eastAsia="Courier New" w:hAnsi="Courier New"/>
          <w:sz w:val="12"/>
          <w:szCs w:val="12"/>
          <w:color w:val="auto"/>
        </w:rPr>
        <w:t>Interest)</w:t>
      </w:r>
    </w:p>
    <w:p>
      <w:pPr>
        <w:spacing w:after="0" w:line="6" w:lineRule="exact"/>
        <w:rPr>
          <w:sz w:val="20"/>
          <w:szCs w:val="20"/>
          <w:color w:val="auto"/>
        </w:rPr>
      </w:pPr>
    </w:p>
    <w:p>
      <w:pPr>
        <w:ind w:left="4660"/>
        <w:spacing w:after="0"/>
        <w:tabs>
          <w:tab w:leader="none" w:pos="5380" w:val="left"/>
          <w:tab w:leader="none" w:pos="5820" w:val="left"/>
        </w:tabs>
        <w:rPr>
          <w:sz w:val="20"/>
          <w:szCs w:val="20"/>
          <w:color w:val="auto"/>
        </w:rPr>
      </w:pPr>
      <w:r>
        <w:rPr>
          <w:rFonts w:ascii="Courier New" w:cs="Courier New" w:eastAsia="Courier New" w:hAnsi="Courier New"/>
          <w:sz w:val="12"/>
          <w:szCs w:val="12"/>
          <w:color w:val="auto"/>
        </w:rPr>
        <w:t>actually</w:t>
        <w:tab/>
        <w:t>made</w:t>
        <w:tab/>
        <w:t>prior to</w:t>
      </w:r>
    </w:p>
    <w:p>
      <w:pPr>
        <w:spacing w:after="0" w:line="6" w:lineRule="exact"/>
        <w:rPr>
          <w:sz w:val="20"/>
          <w:szCs w:val="20"/>
          <w:color w:val="auto"/>
        </w:rPr>
      </w:pPr>
    </w:p>
    <w:p>
      <w:pPr>
        <w:ind w:left="4660"/>
        <w:spacing w:after="0"/>
        <w:tabs>
          <w:tab w:leader="none" w:pos="5160" w:val="left"/>
          <w:tab w:leader="none" w:pos="6200" w:val="left"/>
        </w:tabs>
        <w:rPr>
          <w:sz w:val="20"/>
          <w:szCs w:val="20"/>
          <w:color w:val="auto"/>
        </w:rPr>
      </w:pPr>
      <w:r>
        <w:rPr>
          <w:rFonts w:ascii="Courier New" w:cs="Courier New" w:eastAsia="Courier New" w:hAnsi="Courier New"/>
          <w:sz w:val="12"/>
          <w:szCs w:val="12"/>
          <w:color w:val="auto"/>
        </w:rPr>
        <w:t>such</w:t>
        <w:tab/>
        <w:t>Rescheduled</w:t>
        <w:tab/>
        <w:t>ECD</w:t>
      </w:r>
    </w:p>
    <w:p>
      <w:pPr>
        <w:spacing w:after="0" w:line="6" w:lineRule="exact"/>
        <w:rPr>
          <w:sz w:val="20"/>
          <w:szCs w:val="20"/>
          <w:color w:val="auto"/>
        </w:rPr>
      </w:pPr>
    </w:p>
    <w:p>
      <w:pPr>
        <w:ind w:left="4660"/>
        <w:spacing w:after="0"/>
        <w:tabs>
          <w:tab w:leader="none" w:pos="5300" w:val="left"/>
        </w:tabs>
        <w:rPr>
          <w:sz w:val="20"/>
          <w:szCs w:val="20"/>
          <w:color w:val="auto"/>
        </w:rPr>
      </w:pPr>
      <w:r>
        <w:rPr>
          <w:rFonts w:ascii="Courier New" w:cs="Courier New" w:eastAsia="Courier New" w:hAnsi="Courier New"/>
          <w:sz w:val="12"/>
          <w:szCs w:val="12"/>
          <w:color w:val="auto"/>
        </w:rPr>
        <w:t>Payment</w:t>
        <w:tab/>
        <w:t>Date in respect</w:t>
      </w:r>
    </w:p>
    <w:p>
      <w:pPr>
        <w:spacing w:after="0" w:line="6" w:lineRule="exact"/>
        <w:rPr>
          <w:sz w:val="20"/>
          <w:szCs w:val="20"/>
          <w:color w:val="auto"/>
        </w:rPr>
      </w:pPr>
    </w:p>
    <w:p>
      <w:pPr>
        <w:ind w:left="4660"/>
        <w:spacing w:after="0"/>
        <w:tabs>
          <w:tab w:leader="none" w:pos="5240" w:val="left"/>
          <w:tab w:leader="none" w:pos="6200" w:val="left"/>
        </w:tabs>
        <w:rPr>
          <w:sz w:val="20"/>
          <w:szCs w:val="20"/>
          <w:color w:val="auto"/>
        </w:rPr>
      </w:pPr>
      <w:r>
        <w:rPr>
          <w:rFonts w:ascii="Courier New" w:cs="Courier New" w:eastAsia="Courier New" w:hAnsi="Courier New"/>
          <w:sz w:val="12"/>
          <w:szCs w:val="12"/>
          <w:color w:val="auto"/>
        </w:rPr>
        <w:t>of the</w:t>
        <w:tab/>
        <w:t>Rescheduled</w:t>
        <w:tab/>
        <w:t>ECD</w:t>
      </w:r>
    </w:p>
    <w:p>
      <w:pPr>
        <w:spacing w:after="0" w:line="6" w:lineRule="exact"/>
        <w:rPr>
          <w:sz w:val="20"/>
          <w:szCs w:val="20"/>
          <w:color w:val="auto"/>
        </w:rPr>
      </w:pPr>
    </w:p>
    <w:p>
      <w:pPr>
        <w:ind w:left="4660"/>
        <w:spacing w:after="0"/>
        <w:tabs>
          <w:tab w:leader="none" w:pos="5520" w:val="left"/>
          <w:tab w:leader="none" w:pos="6120" w:val="left"/>
        </w:tabs>
        <w:rPr>
          <w:sz w:val="20"/>
          <w:szCs w:val="20"/>
          <w:color w:val="auto"/>
        </w:rPr>
      </w:pPr>
      <w:r>
        <w:rPr>
          <w:rFonts w:ascii="Courier New" w:cs="Courier New" w:eastAsia="Courier New" w:hAnsi="Courier New"/>
          <w:sz w:val="12"/>
          <w:szCs w:val="12"/>
          <w:color w:val="auto"/>
        </w:rPr>
        <w:t>Payments</w:t>
      </w:r>
      <w:r>
        <w:rPr>
          <w:sz w:val="20"/>
          <w:szCs w:val="20"/>
          <w:color w:val="auto"/>
        </w:rPr>
        <w:tab/>
      </w:r>
      <w:r>
        <w:rPr>
          <w:rFonts w:ascii="Courier New" w:cs="Courier New" w:eastAsia="Courier New" w:hAnsi="Courier New"/>
          <w:sz w:val="12"/>
          <w:szCs w:val="12"/>
          <w:color w:val="auto"/>
        </w:rPr>
        <w:t>under</w:t>
        <w:tab/>
        <w:t>such</w:t>
      </w:r>
    </w:p>
    <w:p>
      <w:pPr>
        <w:spacing w:after="0" w:line="6" w:lineRule="exact"/>
        <w:rPr>
          <w:sz w:val="20"/>
          <w:szCs w:val="20"/>
          <w:color w:val="auto"/>
        </w:rPr>
      </w:pPr>
    </w:p>
    <w:p>
      <w:pPr>
        <w:ind w:left="4660"/>
        <w:spacing w:after="0"/>
        <w:tabs>
          <w:tab w:leader="none" w:pos="5680" w:val="left"/>
        </w:tabs>
        <w:rPr>
          <w:sz w:val="20"/>
          <w:szCs w:val="20"/>
          <w:color w:val="auto"/>
        </w:rPr>
      </w:pPr>
      <w:r>
        <w:rPr>
          <w:rFonts w:ascii="Courier New" w:cs="Courier New" w:eastAsia="Courier New" w:hAnsi="Courier New"/>
          <w:sz w:val="12"/>
          <w:szCs w:val="12"/>
          <w:color w:val="auto"/>
        </w:rPr>
        <w:t>rescheduling</w:t>
        <w:tab/>
        <w:t>agreement,</w:t>
      </w:r>
    </w:p>
    <w:p>
      <w:pPr>
        <w:spacing w:after="0" w:line="6" w:lineRule="exact"/>
        <w:rPr>
          <w:sz w:val="20"/>
          <w:szCs w:val="20"/>
          <w:color w:val="auto"/>
        </w:rPr>
      </w:pPr>
    </w:p>
    <w:p>
      <w:pPr>
        <w:jc w:val="both"/>
        <w:ind w:left="4660"/>
        <w:spacing w:after="0"/>
        <w:tabs>
          <w:tab w:leader="none" w:pos="5600" w:val="left"/>
          <w:tab w:leader="none" w:pos="6120" w:val="left"/>
        </w:tabs>
        <w:rPr>
          <w:sz w:val="20"/>
          <w:szCs w:val="20"/>
          <w:color w:val="auto"/>
        </w:rPr>
      </w:pPr>
      <w:r>
        <w:rPr>
          <w:rFonts w:ascii="Courier New" w:cs="Courier New" w:eastAsia="Courier New" w:hAnsi="Courier New"/>
          <w:sz w:val="12"/>
          <w:szCs w:val="12"/>
          <w:color w:val="auto"/>
        </w:rPr>
        <w:t>comprises</w:t>
      </w:r>
      <w:r>
        <w:rPr>
          <w:sz w:val="20"/>
          <w:szCs w:val="20"/>
          <w:color w:val="auto"/>
        </w:rPr>
        <w:tab/>
      </w:r>
      <w:r>
        <w:rPr>
          <w:rFonts w:ascii="Courier New" w:cs="Courier New" w:eastAsia="Courier New" w:hAnsi="Courier New"/>
          <w:sz w:val="12"/>
          <w:szCs w:val="12"/>
          <w:color w:val="auto"/>
        </w:rPr>
        <w:t>the</w:t>
      </w:r>
      <w:r>
        <w:rPr>
          <w:sz w:val="20"/>
          <w:szCs w:val="20"/>
          <w:color w:val="auto"/>
        </w:rPr>
        <w:tab/>
      </w:r>
      <w:r>
        <w:rPr>
          <w:rFonts w:ascii="Courier New" w:cs="Courier New" w:eastAsia="Courier New" w:hAnsi="Courier New"/>
          <w:sz w:val="12"/>
          <w:szCs w:val="12"/>
          <w:color w:val="auto"/>
        </w:rPr>
        <w:t>same</w:t>
      </w:r>
    </w:p>
    <w:p>
      <w:pPr>
        <w:spacing w:after="0" w:line="6" w:lineRule="exact"/>
        <w:rPr>
          <w:sz w:val="20"/>
          <w:szCs w:val="20"/>
          <w:color w:val="auto"/>
        </w:rPr>
      </w:pPr>
    </w:p>
    <w:p>
      <w:pPr>
        <w:jc w:val="both"/>
        <w:ind w:left="4660"/>
        <w:spacing w:after="0"/>
        <w:tabs>
          <w:tab w:leader="none" w:pos="5740" w:val="left"/>
          <w:tab w:leader="none" w:pos="6200" w:val="left"/>
        </w:tabs>
        <w:rPr>
          <w:sz w:val="20"/>
          <w:szCs w:val="20"/>
          <w:color w:val="auto"/>
        </w:rPr>
      </w:pPr>
      <w:r>
        <w:rPr>
          <w:rFonts w:ascii="Courier New" w:cs="Courier New" w:eastAsia="Courier New" w:hAnsi="Courier New"/>
          <w:sz w:val="12"/>
          <w:szCs w:val="12"/>
          <w:color w:val="auto"/>
        </w:rPr>
        <w:t>percentage</w:t>
      </w:r>
      <w:r>
        <w:rPr>
          <w:sz w:val="20"/>
          <w:szCs w:val="20"/>
          <w:color w:val="auto"/>
        </w:rPr>
        <w:tab/>
      </w:r>
      <w:r>
        <w:rPr>
          <w:rFonts w:ascii="Courier New" w:cs="Courier New" w:eastAsia="Courier New" w:hAnsi="Courier New"/>
          <w:sz w:val="12"/>
          <w:szCs w:val="12"/>
          <w:color w:val="auto"/>
        </w:rPr>
        <w:t>of</w:t>
      </w:r>
      <w:r>
        <w:rPr>
          <w:sz w:val="20"/>
          <w:szCs w:val="20"/>
          <w:color w:val="auto"/>
        </w:rPr>
        <w:tab/>
      </w:r>
      <w:r>
        <w:rPr>
          <w:rFonts w:ascii="Courier New" w:cs="Courier New" w:eastAsia="Courier New" w:hAnsi="Courier New"/>
          <w:sz w:val="12"/>
          <w:szCs w:val="12"/>
          <w:color w:val="auto"/>
        </w:rPr>
        <w:t>the</w:t>
      </w:r>
    </w:p>
    <w:p>
      <w:pPr>
        <w:spacing w:after="0" w:line="6" w:lineRule="exact"/>
        <w:rPr>
          <w:sz w:val="20"/>
          <w:szCs w:val="20"/>
          <w:color w:val="auto"/>
        </w:rPr>
      </w:pPr>
    </w:p>
    <w:p>
      <w:pPr>
        <w:jc w:val="both"/>
        <w:ind w:left="4660"/>
        <w:spacing w:after="0"/>
        <w:tabs>
          <w:tab w:leader="none" w:pos="5600" w:val="left"/>
        </w:tabs>
        <w:rPr>
          <w:sz w:val="20"/>
          <w:szCs w:val="20"/>
          <w:color w:val="auto"/>
        </w:rPr>
      </w:pPr>
      <w:r>
        <w:rPr>
          <w:rFonts w:ascii="Courier New" w:cs="Courier New" w:eastAsia="Courier New" w:hAnsi="Courier New"/>
          <w:sz w:val="12"/>
          <w:szCs w:val="12"/>
          <w:color w:val="auto"/>
        </w:rPr>
        <w:t>aggregate</w:t>
      </w:r>
      <w:r>
        <w:rPr>
          <w:sz w:val="20"/>
          <w:szCs w:val="20"/>
          <w:color w:val="auto"/>
        </w:rPr>
        <w:tab/>
      </w:r>
      <w:r>
        <w:rPr>
          <w:rFonts w:ascii="Courier New" w:cs="Courier New" w:eastAsia="Courier New" w:hAnsi="Courier New"/>
          <w:sz w:val="12"/>
          <w:szCs w:val="12"/>
          <w:color w:val="auto"/>
        </w:rPr>
        <w:t>Rescheduled</w:t>
      </w:r>
    </w:p>
    <w:p>
      <w:pPr>
        <w:spacing w:after="0" w:line="289"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- 53 -</w:t>
      </w:r>
    </w:p>
    <w:p>
      <w:pPr>
        <w:spacing w:after="0" w:line="200" w:lineRule="exact"/>
        <w:rPr>
          <w:sz w:val="20"/>
          <w:szCs w:val="20"/>
          <w:color w:val="auto"/>
        </w:rPr>
      </w:pPr>
    </w:p>
    <w:p>
      <w:pPr>
        <w:spacing w:after="0" w:line="353" w:lineRule="exact"/>
        <w:rPr>
          <w:sz w:val="20"/>
          <w:szCs w:val="20"/>
          <w:color w:val="auto"/>
        </w:rPr>
      </w:pPr>
    </w:p>
    <w:p>
      <w:pPr>
        <w:ind w:left="4660"/>
        <w:spacing w:after="0"/>
        <w:tabs>
          <w:tab w:leader="none" w:pos="5820" w:val="left"/>
        </w:tabs>
        <w:rPr>
          <w:sz w:val="20"/>
          <w:szCs w:val="20"/>
          <w:color w:val="auto"/>
        </w:rPr>
      </w:pPr>
      <w:r>
        <w:rPr>
          <w:rFonts w:ascii="Courier New" w:cs="Courier New" w:eastAsia="Courier New" w:hAnsi="Courier New"/>
          <w:sz w:val="12"/>
          <w:szCs w:val="12"/>
          <w:color w:val="auto"/>
        </w:rPr>
        <w:t>ECD</w:t>
      </w:r>
      <w:r>
        <w:rPr>
          <w:sz w:val="20"/>
          <w:szCs w:val="20"/>
          <w:color w:val="auto"/>
        </w:rPr>
        <w:tab/>
      </w:r>
      <w:r>
        <w:rPr>
          <w:rFonts w:ascii="Courier New" w:cs="Courier New" w:eastAsia="Courier New" w:hAnsi="Courier New"/>
          <w:sz w:val="12"/>
          <w:szCs w:val="12"/>
          <w:color w:val="auto"/>
        </w:rPr>
        <w:t>Payments</w:t>
      </w:r>
    </w:p>
    <w:p>
      <w:pPr>
        <w:spacing w:after="0" w:line="6" w:lineRule="exact"/>
        <w:rPr>
          <w:sz w:val="20"/>
          <w:szCs w:val="20"/>
          <w:color w:val="auto"/>
        </w:rPr>
      </w:pPr>
    </w:p>
    <w:p>
      <w:pPr>
        <w:ind w:left="4660"/>
        <w:spacing w:after="0"/>
        <w:tabs>
          <w:tab w:leader="none" w:pos="5600" w:val="left"/>
          <w:tab w:leader="none" w:pos="6120" w:val="left"/>
        </w:tabs>
        <w:rPr>
          <w:sz w:val="20"/>
          <w:szCs w:val="20"/>
          <w:color w:val="auto"/>
        </w:rPr>
      </w:pPr>
      <w:r>
        <w:rPr>
          <w:rFonts w:ascii="Courier New" w:cs="Courier New" w:eastAsia="Courier New" w:hAnsi="Courier New"/>
          <w:sz w:val="12"/>
          <w:szCs w:val="12"/>
          <w:color w:val="auto"/>
        </w:rPr>
        <w:t>rescheduled</w:t>
        <w:tab/>
        <w:t>under</w:t>
        <w:tab/>
        <w:t>such</w:t>
      </w:r>
    </w:p>
    <w:p>
      <w:pPr>
        <w:spacing w:after="0" w:line="6" w:lineRule="exact"/>
        <w:rPr>
          <w:sz w:val="20"/>
          <w:szCs w:val="20"/>
          <w:color w:val="auto"/>
        </w:rPr>
      </w:pPr>
    </w:p>
    <w:p>
      <w:pPr>
        <w:ind w:left="4660"/>
        <w:spacing w:after="0"/>
        <w:tabs>
          <w:tab w:leader="none" w:pos="5740" w:val="left"/>
        </w:tabs>
        <w:rPr>
          <w:sz w:val="20"/>
          <w:szCs w:val="20"/>
          <w:color w:val="auto"/>
        </w:rPr>
      </w:pPr>
      <w:r>
        <w:rPr>
          <w:rFonts w:ascii="Courier New" w:cs="Courier New" w:eastAsia="Courier New" w:hAnsi="Courier New"/>
          <w:sz w:val="12"/>
          <w:szCs w:val="12"/>
          <w:color w:val="auto"/>
        </w:rPr>
        <w:t>rescheduling</w:t>
        <w:tab/>
        <w:t>agreement</w:t>
      </w:r>
    </w:p>
    <w:p>
      <w:pPr>
        <w:spacing w:after="0" w:line="6" w:lineRule="exact"/>
        <w:rPr>
          <w:sz w:val="20"/>
          <w:szCs w:val="20"/>
          <w:color w:val="auto"/>
        </w:rPr>
      </w:pPr>
    </w:p>
    <w:p>
      <w:pPr>
        <w:jc w:val="both"/>
        <w:ind w:left="4660"/>
        <w:spacing w:after="0"/>
        <w:tabs>
          <w:tab w:leader="none" w:pos="5160" w:val="left"/>
          <w:tab w:leader="none" w:pos="5740" w:val="left"/>
        </w:tabs>
        <w:rPr>
          <w:sz w:val="20"/>
          <w:szCs w:val="20"/>
          <w:color w:val="auto"/>
        </w:rPr>
      </w:pPr>
      <w:r>
        <w:rPr>
          <w:rFonts w:ascii="Courier New" w:cs="Courier New" w:eastAsia="Courier New" w:hAnsi="Courier New"/>
          <w:sz w:val="12"/>
          <w:szCs w:val="12"/>
          <w:color w:val="auto"/>
        </w:rPr>
        <w:t>as</w:t>
      </w:r>
      <w:r>
        <w:rPr>
          <w:sz w:val="20"/>
          <w:szCs w:val="20"/>
          <w:color w:val="auto"/>
        </w:rPr>
        <w:tab/>
      </w:r>
      <w:r>
        <w:rPr>
          <w:rFonts w:ascii="Courier New" w:cs="Courier New" w:eastAsia="Courier New" w:hAnsi="Courier New"/>
          <w:sz w:val="12"/>
          <w:szCs w:val="12"/>
          <w:color w:val="auto"/>
        </w:rPr>
        <w:t>the</w:t>
      </w:r>
      <w:r>
        <w:rPr>
          <w:sz w:val="20"/>
          <w:szCs w:val="20"/>
          <w:color w:val="auto"/>
        </w:rPr>
        <w:tab/>
      </w:r>
      <w:r>
        <w:rPr>
          <w:rFonts w:ascii="Courier New" w:cs="Courier New" w:eastAsia="Courier New" w:hAnsi="Courier New"/>
          <w:sz w:val="12"/>
          <w:szCs w:val="12"/>
          <w:color w:val="auto"/>
        </w:rPr>
        <w:t>aggregate</w:t>
      </w:r>
    </w:p>
    <w:p>
      <w:pPr>
        <w:spacing w:after="0" w:line="6" w:lineRule="exact"/>
        <w:rPr>
          <w:sz w:val="20"/>
          <w:szCs w:val="20"/>
          <w:color w:val="auto"/>
        </w:rPr>
      </w:pPr>
    </w:p>
    <w:p>
      <w:pPr>
        <w:jc w:val="both"/>
        <w:ind w:left="4660"/>
        <w:spacing w:after="0"/>
        <w:tabs>
          <w:tab w:leader="none" w:pos="5820" w:val="left"/>
        </w:tabs>
        <w:rPr>
          <w:sz w:val="20"/>
          <w:szCs w:val="20"/>
          <w:color w:val="auto"/>
        </w:rPr>
      </w:pPr>
      <w:r>
        <w:rPr>
          <w:rFonts w:ascii="Courier New" w:cs="Courier New" w:eastAsia="Courier New" w:hAnsi="Courier New"/>
          <w:sz w:val="12"/>
          <w:szCs w:val="12"/>
          <w:color w:val="auto"/>
        </w:rPr>
        <w:t>Rescheduled</w:t>
      </w:r>
      <w:r>
        <w:rPr>
          <w:sz w:val="20"/>
          <w:szCs w:val="20"/>
          <w:color w:val="auto"/>
        </w:rPr>
        <w:tab/>
      </w:r>
      <w:r>
        <w:rPr>
          <w:rFonts w:ascii="Courier New" w:cs="Courier New" w:eastAsia="Courier New" w:hAnsi="Courier New"/>
          <w:sz w:val="12"/>
          <w:szCs w:val="12"/>
          <w:color w:val="auto"/>
        </w:rPr>
        <w:t>Facility</w:t>
      </w:r>
    </w:p>
    <w:p>
      <w:pPr>
        <w:spacing w:after="0" w:line="6" w:lineRule="exact"/>
        <w:rPr>
          <w:sz w:val="20"/>
          <w:szCs w:val="20"/>
          <w:color w:val="auto"/>
        </w:rPr>
      </w:pPr>
    </w:p>
    <w:p>
      <w:pPr>
        <w:ind w:left="4660"/>
        <w:spacing w:after="0"/>
        <w:tabs>
          <w:tab w:leader="none" w:pos="5520" w:val="left"/>
          <w:tab w:leader="none" w:pos="6120" w:val="left"/>
        </w:tabs>
        <w:rPr>
          <w:sz w:val="20"/>
          <w:szCs w:val="20"/>
          <w:color w:val="auto"/>
        </w:rPr>
      </w:pPr>
      <w:r>
        <w:rPr>
          <w:rFonts w:ascii="Courier New" w:cs="Courier New" w:eastAsia="Courier New" w:hAnsi="Courier New"/>
          <w:sz w:val="12"/>
          <w:szCs w:val="12"/>
          <w:color w:val="auto"/>
        </w:rPr>
        <w:t>Payments</w:t>
      </w:r>
      <w:r>
        <w:rPr>
          <w:sz w:val="20"/>
          <w:szCs w:val="20"/>
          <w:color w:val="auto"/>
        </w:rPr>
        <w:tab/>
      </w:r>
      <w:r>
        <w:rPr>
          <w:rFonts w:ascii="Courier New" w:cs="Courier New" w:eastAsia="Courier New" w:hAnsi="Courier New"/>
          <w:sz w:val="12"/>
          <w:szCs w:val="12"/>
          <w:color w:val="auto"/>
        </w:rPr>
        <w:t>under</w:t>
        <w:tab/>
        <w:t>such</w:t>
      </w:r>
    </w:p>
    <w:p>
      <w:pPr>
        <w:spacing w:after="0" w:line="6" w:lineRule="exact"/>
        <w:rPr>
          <w:sz w:val="20"/>
          <w:szCs w:val="20"/>
          <w:color w:val="auto"/>
        </w:rPr>
      </w:pPr>
    </w:p>
    <w:p>
      <w:pPr>
        <w:ind w:left="4660"/>
        <w:spacing w:after="0"/>
        <w:tabs>
          <w:tab w:leader="none" w:pos="5740" w:val="left"/>
        </w:tabs>
        <w:rPr>
          <w:sz w:val="20"/>
          <w:szCs w:val="20"/>
          <w:color w:val="auto"/>
        </w:rPr>
      </w:pPr>
      <w:r>
        <w:rPr>
          <w:rFonts w:ascii="Courier New" w:cs="Courier New" w:eastAsia="Courier New" w:hAnsi="Courier New"/>
          <w:sz w:val="12"/>
          <w:szCs w:val="12"/>
          <w:color w:val="auto"/>
        </w:rPr>
        <w:t>rescheduling</w:t>
        <w:tab/>
        <w:t>agreement</w:t>
      </w:r>
    </w:p>
    <w:p>
      <w:pPr>
        <w:spacing w:after="0" w:line="6" w:lineRule="exact"/>
        <w:rPr>
          <w:sz w:val="20"/>
          <w:szCs w:val="20"/>
          <w:color w:val="auto"/>
        </w:rPr>
      </w:pPr>
    </w:p>
    <w:p>
      <w:pPr>
        <w:ind w:left="4660"/>
        <w:spacing w:after="0"/>
        <w:tabs>
          <w:tab w:leader="none" w:pos="5380" w:val="left"/>
          <w:tab w:leader="none" w:pos="5820" w:val="left"/>
        </w:tabs>
        <w:rPr>
          <w:sz w:val="20"/>
          <w:szCs w:val="20"/>
          <w:color w:val="auto"/>
        </w:rPr>
      </w:pPr>
      <w:r>
        <w:rPr>
          <w:rFonts w:ascii="Courier New" w:cs="Courier New" w:eastAsia="Courier New" w:hAnsi="Courier New"/>
          <w:sz w:val="12"/>
          <w:szCs w:val="12"/>
          <w:color w:val="auto"/>
        </w:rPr>
        <w:t>actually</w:t>
        <w:tab/>
        <w:t>made</w:t>
        <w:tab/>
        <w:t>prior to</w:t>
      </w:r>
    </w:p>
    <w:p>
      <w:pPr>
        <w:sectPr>
          <w:pgSz w:w="11900" w:h="16844" w:orient="portrait"/>
          <w:cols w:equalWidth="0" w:num="1">
            <w:col w:w="9019"/>
          </w:cols>
          <w:pgMar w:left="1440" w:top="141" w:right="1440" w:bottom="0" w:gutter="0" w:footer="0" w:header="0"/>
        </w:sectPr>
      </w:pPr>
    </w:p>
    <w:bookmarkStart w:id="95" w:name="page96"/>
    <w:bookmarkEnd w:id="95"/>
    <w:p>
      <w:pPr>
        <w:spacing w:after="0" w:line="26" w:lineRule="exact"/>
        <w:rPr>
          <w:sz w:val="20"/>
          <w:szCs w:val="20"/>
          <w:color w:val="auto"/>
        </w:rPr>
      </w:pPr>
    </w:p>
    <w:p>
      <w:pPr>
        <w:ind w:left="4660"/>
        <w:spacing w:after="0"/>
        <w:tabs>
          <w:tab w:leader="none" w:pos="5160" w:val="left"/>
          <w:tab w:leader="none" w:pos="6200" w:val="left"/>
        </w:tabs>
        <w:rPr>
          <w:sz w:val="20"/>
          <w:szCs w:val="20"/>
          <w:color w:val="auto"/>
        </w:rPr>
      </w:pPr>
      <w:r>
        <w:rPr>
          <w:rFonts w:ascii="Courier New" w:cs="Courier New" w:eastAsia="Courier New" w:hAnsi="Courier New"/>
          <w:sz w:val="12"/>
          <w:szCs w:val="12"/>
          <w:color w:val="auto"/>
        </w:rPr>
        <w:t>such</w:t>
        <w:tab/>
        <w:t>Rescheduled</w:t>
        <w:tab/>
        <w:t>ECD</w:t>
      </w:r>
    </w:p>
    <w:p>
      <w:pPr>
        <w:spacing w:after="0" w:line="6" w:lineRule="exact"/>
        <w:rPr>
          <w:sz w:val="20"/>
          <w:szCs w:val="20"/>
          <w:color w:val="auto"/>
        </w:rPr>
      </w:pPr>
    </w:p>
    <w:p>
      <w:pPr>
        <w:ind w:left="4660"/>
        <w:spacing w:after="0"/>
        <w:tabs>
          <w:tab w:leader="none" w:pos="5300" w:val="left"/>
          <w:tab w:leader="none" w:pos="5820" w:val="left"/>
        </w:tabs>
        <w:rPr>
          <w:sz w:val="20"/>
          <w:szCs w:val="20"/>
          <w:color w:val="auto"/>
        </w:rPr>
      </w:pPr>
      <w:r>
        <w:rPr>
          <w:rFonts w:ascii="Courier New" w:cs="Courier New" w:eastAsia="Courier New" w:hAnsi="Courier New"/>
          <w:sz w:val="12"/>
          <w:szCs w:val="12"/>
          <w:color w:val="auto"/>
        </w:rPr>
        <w:t>Payment</w:t>
        <w:tab/>
        <w:t>Date</w:t>
        <w:tab/>
        <w:t>comprise</w:t>
      </w:r>
    </w:p>
    <w:p>
      <w:pPr>
        <w:spacing w:after="0" w:line="6" w:lineRule="exact"/>
        <w:rPr>
          <w:sz w:val="20"/>
          <w:szCs w:val="20"/>
          <w:color w:val="auto"/>
        </w:rPr>
      </w:pPr>
    </w:p>
    <w:p>
      <w:pPr>
        <w:jc w:val="both"/>
        <w:ind w:left="4660"/>
        <w:spacing w:after="0"/>
        <w:tabs>
          <w:tab w:leader="none" w:pos="5160" w:val="left"/>
          <w:tab w:leader="none" w:pos="5740" w:val="left"/>
        </w:tabs>
        <w:rPr>
          <w:sz w:val="20"/>
          <w:szCs w:val="20"/>
          <w:color w:val="auto"/>
        </w:rPr>
      </w:pPr>
      <w:r>
        <w:rPr>
          <w:rFonts w:ascii="Courier New" w:cs="Courier New" w:eastAsia="Courier New" w:hAnsi="Courier New"/>
          <w:sz w:val="12"/>
          <w:szCs w:val="12"/>
          <w:color w:val="auto"/>
        </w:rPr>
        <w:t>of</w:t>
      </w:r>
      <w:r>
        <w:rPr>
          <w:sz w:val="20"/>
          <w:szCs w:val="20"/>
          <w:color w:val="auto"/>
        </w:rPr>
        <w:tab/>
      </w:r>
      <w:r>
        <w:rPr>
          <w:rFonts w:ascii="Courier New" w:cs="Courier New" w:eastAsia="Courier New" w:hAnsi="Courier New"/>
          <w:sz w:val="12"/>
          <w:szCs w:val="12"/>
          <w:color w:val="auto"/>
        </w:rPr>
        <w:t>the</w:t>
      </w:r>
      <w:r>
        <w:rPr>
          <w:sz w:val="20"/>
          <w:szCs w:val="20"/>
          <w:color w:val="auto"/>
        </w:rPr>
        <w:tab/>
      </w:r>
      <w:r>
        <w:rPr>
          <w:rFonts w:ascii="Courier New" w:cs="Courier New" w:eastAsia="Courier New" w:hAnsi="Courier New"/>
          <w:sz w:val="12"/>
          <w:szCs w:val="12"/>
          <w:color w:val="auto"/>
        </w:rPr>
        <w:t>aggregate</w:t>
      </w:r>
    </w:p>
    <w:p>
      <w:pPr>
        <w:spacing w:after="0" w:line="6" w:lineRule="exact"/>
        <w:rPr>
          <w:sz w:val="20"/>
          <w:szCs w:val="20"/>
          <w:color w:val="auto"/>
        </w:rPr>
      </w:pPr>
    </w:p>
    <w:p>
      <w:pPr>
        <w:jc w:val="both"/>
        <w:ind w:left="4660"/>
        <w:spacing w:after="0"/>
        <w:tabs>
          <w:tab w:leader="none" w:pos="5820" w:val="left"/>
        </w:tabs>
        <w:rPr>
          <w:sz w:val="20"/>
          <w:szCs w:val="20"/>
          <w:color w:val="auto"/>
        </w:rPr>
      </w:pPr>
      <w:r>
        <w:rPr>
          <w:rFonts w:ascii="Courier New" w:cs="Courier New" w:eastAsia="Courier New" w:hAnsi="Courier New"/>
          <w:sz w:val="12"/>
          <w:szCs w:val="12"/>
          <w:color w:val="auto"/>
        </w:rPr>
        <w:t>Rescheduled</w:t>
      </w:r>
      <w:r>
        <w:rPr>
          <w:sz w:val="20"/>
          <w:szCs w:val="20"/>
          <w:color w:val="auto"/>
        </w:rPr>
        <w:tab/>
      </w:r>
      <w:r>
        <w:rPr>
          <w:rFonts w:ascii="Courier New" w:cs="Courier New" w:eastAsia="Courier New" w:hAnsi="Courier New"/>
          <w:sz w:val="12"/>
          <w:szCs w:val="12"/>
          <w:color w:val="auto"/>
        </w:rPr>
        <w:t>Facility</w:t>
      </w:r>
    </w:p>
    <w:p>
      <w:pPr>
        <w:spacing w:after="0" w:line="6" w:lineRule="exact"/>
        <w:rPr>
          <w:sz w:val="20"/>
          <w:szCs w:val="20"/>
          <w:color w:val="auto"/>
        </w:rPr>
      </w:pPr>
    </w:p>
    <w:p>
      <w:pPr>
        <w:ind w:left="4660"/>
        <w:spacing w:after="0"/>
        <w:tabs>
          <w:tab w:leader="none" w:pos="5600" w:val="left"/>
        </w:tabs>
        <w:rPr>
          <w:sz w:val="20"/>
          <w:szCs w:val="20"/>
          <w:color w:val="auto"/>
        </w:rPr>
      </w:pPr>
      <w:r>
        <w:rPr>
          <w:rFonts w:ascii="Courier New" w:cs="Courier New" w:eastAsia="Courier New" w:hAnsi="Courier New"/>
          <w:sz w:val="12"/>
          <w:szCs w:val="12"/>
          <w:color w:val="auto"/>
        </w:rPr>
        <w:t>Payments</w:t>
      </w:r>
      <w:r>
        <w:rPr>
          <w:sz w:val="20"/>
          <w:szCs w:val="20"/>
          <w:color w:val="auto"/>
        </w:rPr>
        <w:tab/>
      </w:r>
      <w:r>
        <w:rPr>
          <w:rFonts w:ascii="Courier New" w:cs="Courier New" w:eastAsia="Courier New" w:hAnsi="Courier New"/>
          <w:sz w:val="12"/>
          <w:szCs w:val="12"/>
          <w:color w:val="auto"/>
        </w:rPr>
        <w:t>rescheduled</w:t>
      </w:r>
    </w:p>
    <w:p>
      <w:pPr>
        <w:spacing w:after="0" w:line="6" w:lineRule="exact"/>
        <w:rPr>
          <w:sz w:val="20"/>
          <w:szCs w:val="20"/>
          <w:color w:val="auto"/>
        </w:rPr>
      </w:pPr>
    </w:p>
    <w:p>
      <w:pPr>
        <w:ind w:left="4660"/>
        <w:spacing w:after="0"/>
        <w:tabs>
          <w:tab w:leader="none" w:pos="5520" w:val="left"/>
        </w:tabs>
        <w:rPr>
          <w:sz w:val="20"/>
          <w:szCs w:val="20"/>
          <w:color w:val="auto"/>
        </w:rPr>
      </w:pPr>
      <w:r>
        <w:rPr>
          <w:rFonts w:ascii="Courier New" w:cs="Courier New" w:eastAsia="Courier New" w:hAnsi="Courier New"/>
          <w:sz w:val="12"/>
          <w:szCs w:val="12"/>
          <w:color w:val="auto"/>
        </w:rPr>
        <w:t>under such</w:t>
        <w:tab/>
        <w:t>rescheduling</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2"/>
          <w:szCs w:val="12"/>
          <w:color w:val="auto"/>
        </w:rPr>
        <w:t>agreement; or</w:t>
      </w:r>
    </w:p>
    <w:p>
      <w:pPr>
        <w:spacing w:after="0" w:line="147" w:lineRule="exact"/>
        <w:rPr>
          <w:sz w:val="20"/>
          <w:szCs w:val="20"/>
          <w:color w:val="auto"/>
        </w:rPr>
      </w:pPr>
    </w:p>
    <w:p>
      <w:pPr>
        <w:ind w:left="4140"/>
        <w:spacing w:after="0"/>
        <w:tabs>
          <w:tab w:leader="none" w:pos="4640" w:val="left"/>
          <w:tab w:leader="none" w:pos="5380" w:val="left"/>
          <w:tab w:leader="none" w:pos="5680" w:val="left"/>
          <w:tab w:leader="none" w:pos="6260" w:val="left"/>
        </w:tabs>
        <w:rPr>
          <w:sz w:val="20"/>
          <w:szCs w:val="20"/>
          <w:color w:val="auto"/>
        </w:rPr>
      </w:pPr>
      <w:r>
        <w:rPr>
          <w:rFonts w:ascii="Courier New" w:cs="Courier New" w:eastAsia="Courier New" w:hAnsi="Courier New"/>
          <w:sz w:val="12"/>
          <w:szCs w:val="12"/>
          <w:color w:val="auto"/>
        </w:rPr>
        <w:t>(B)</w:t>
      </w:r>
      <w:r>
        <w:rPr>
          <w:sz w:val="20"/>
          <w:szCs w:val="20"/>
          <w:color w:val="auto"/>
        </w:rPr>
        <w:tab/>
      </w:r>
      <w:r>
        <w:rPr>
          <w:rFonts w:ascii="Courier New" w:cs="Courier New" w:eastAsia="Courier New" w:hAnsi="Courier New"/>
          <w:sz w:val="12"/>
          <w:szCs w:val="12"/>
          <w:color w:val="auto"/>
        </w:rPr>
        <w:t>pursuant</w:t>
        <w:tab/>
        <w:t>to</w:t>
        <w:tab/>
        <w:t>which,</w:t>
        <w:tab/>
        <w:t>to</w:t>
      </w:r>
    </w:p>
    <w:p>
      <w:pPr>
        <w:spacing w:after="0" w:line="6" w:lineRule="exact"/>
        <w:rPr>
          <w:sz w:val="20"/>
          <w:szCs w:val="20"/>
          <w:color w:val="auto"/>
        </w:rPr>
      </w:pPr>
    </w:p>
    <w:p>
      <w:pPr>
        <w:ind w:left="4660"/>
        <w:spacing w:after="0"/>
        <w:tabs>
          <w:tab w:leader="none" w:pos="5520" w:val="left"/>
          <w:tab w:leader="none" w:pos="6260" w:val="left"/>
        </w:tabs>
        <w:rPr>
          <w:sz w:val="20"/>
          <w:szCs w:val="20"/>
          <w:color w:val="auto"/>
        </w:rPr>
      </w:pPr>
      <w:r>
        <w:rPr>
          <w:rFonts w:ascii="Courier New" w:cs="Courier New" w:eastAsia="Courier New" w:hAnsi="Courier New"/>
          <w:sz w:val="12"/>
          <w:szCs w:val="12"/>
          <w:color w:val="auto"/>
        </w:rPr>
        <w:t>the extent</w:t>
        <w:tab/>
        <w:t>relating</w:t>
        <w:tab/>
        <w:t>to</w:t>
      </w:r>
    </w:p>
    <w:p>
      <w:pPr>
        <w:spacing w:after="0" w:line="6" w:lineRule="exact"/>
        <w:rPr>
          <w:sz w:val="20"/>
          <w:szCs w:val="20"/>
          <w:color w:val="auto"/>
        </w:rPr>
      </w:pPr>
    </w:p>
    <w:p>
      <w:pPr>
        <w:ind w:left="4660"/>
        <w:spacing w:after="0"/>
        <w:tabs>
          <w:tab w:leader="none" w:pos="5020" w:val="left"/>
          <w:tab w:leader="none" w:pos="5600" w:val="left"/>
        </w:tabs>
        <w:rPr>
          <w:sz w:val="20"/>
          <w:szCs w:val="20"/>
          <w:color w:val="auto"/>
        </w:rPr>
      </w:pPr>
      <w:r>
        <w:rPr>
          <w:rFonts w:ascii="Courier New" w:cs="Courier New" w:eastAsia="Courier New" w:hAnsi="Courier New"/>
          <w:sz w:val="12"/>
          <w:szCs w:val="12"/>
          <w:color w:val="auto"/>
        </w:rPr>
        <w:t>the</w:t>
        <w:tab/>
        <w:t>Equity</w:t>
        <w:tab/>
        <w:t>Convertible</w:t>
      </w:r>
    </w:p>
    <w:p>
      <w:pPr>
        <w:spacing w:after="0" w:line="6" w:lineRule="exact"/>
        <w:rPr>
          <w:sz w:val="20"/>
          <w:szCs w:val="20"/>
          <w:color w:val="auto"/>
        </w:rPr>
      </w:pPr>
    </w:p>
    <w:p>
      <w:pPr>
        <w:ind w:left="4660"/>
        <w:spacing w:after="0"/>
        <w:tabs>
          <w:tab w:leader="none" w:pos="5600" w:val="left"/>
        </w:tabs>
        <w:rPr>
          <w:sz w:val="20"/>
          <w:szCs w:val="20"/>
          <w:color w:val="auto"/>
        </w:rPr>
      </w:pPr>
      <w:r>
        <w:rPr>
          <w:rFonts w:ascii="Courier New" w:cs="Courier New" w:eastAsia="Courier New" w:hAnsi="Courier New"/>
          <w:sz w:val="12"/>
          <w:szCs w:val="12"/>
          <w:color w:val="auto"/>
        </w:rPr>
        <w:t>Debentures,</w:t>
        <w:tab/>
        <w:t>payments of</w:t>
      </w:r>
    </w:p>
    <w:p>
      <w:pPr>
        <w:spacing w:after="0" w:line="6" w:lineRule="exact"/>
        <w:rPr>
          <w:sz w:val="20"/>
          <w:szCs w:val="20"/>
          <w:color w:val="auto"/>
        </w:rPr>
      </w:pPr>
    </w:p>
    <w:p>
      <w:pPr>
        <w:ind w:left="4660"/>
        <w:spacing w:after="0"/>
        <w:tabs>
          <w:tab w:leader="none" w:pos="5460" w:val="left"/>
          <w:tab w:leader="none" w:pos="5820" w:val="left"/>
        </w:tabs>
        <w:rPr>
          <w:sz w:val="20"/>
          <w:szCs w:val="20"/>
          <w:color w:val="auto"/>
        </w:rPr>
      </w:pPr>
      <w:r>
        <w:rPr>
          <w:rFonts w:ascii="Courier New" w:cs="Courier New" w:eastAsia="Courier New" w:hAnsi="Courier New"/>
          <w:sz w:val="12"/>
          <w:szCs w:val="12"/>
          <w:color w:val="auto"/>
        </w:rPr>
        <w:t>principal</w:t>
        <w:tab/>
        <w:t>and</w:t>
        <w:tab/>
        <w:t>Interest</w:t>
      </w:r>
    </w:p>
    <w:p>
      <w:pPr>
        <w:spacing w:after="0" w:line="6" w:lineRule="exact"/>
        <w:rPr>
          <w:sz w:val="20"/>
          <w:szCs w:val="20"/>
          <w:color w:val="auto"/>
        </w:rPr>
      </w:pPr>
    </w:p>
    <w:p>
      <w:pPr>
        <w:jc w:val="both"/>
        <w:ind w:left="4660"/>
        <w:spacing w:after="0"/>
        <w:tabs>
          <w:tab w:leader="none" w:pos="5080" w:val="left"/>
          <w:tab w:leader="none" w:pos="5820" w:val="left"/>
          <w:tab w:leader="none" w:pos="6200" w:val="left"/>
        </w:tabs>
        <w:rPr>
          <w:sz w:val="20"/>
          <w:szCs w:val="20"/>
          <w:color w:val="auto"/>
        </w:rPr>
      </w:pPr>
      <w:r>
        <w:rPr>
          <w:rFonts w:ascii="Courier New" w:cs="Courier New" w:eastAsia="Courier New" w:hAnsi="Courier New"/>
          <w:sz w:val="12"/>
          <w:szCs w:val="12"/>
          <w:color w:val="auto"/>
        </w:rPr>
        <w:t>on</w:t>
      </w:r>
      <w:r>
        <w:rPr>
          <w:sz w:val="20"/>
          <w:szCs w:val="20"/>
          <w:color w:val="auto"/>
        </w:rPr>
        <w:tab/>
      </w:r>
      <w:r>
        <w:rPr>
          <w:rFonts w:ascii="Courier New" w:cs="Courier New" w:eastAsia="Courier New" w:hAnsi="Courier New"/>
          <w:sz w:val="12"/>
          <w:szCs w:val="12"/>
          <w:color w:val="auto"/>
        </w:rPr>
        <w:t>account</w:t>
        <w:tab/>
        <w:t>of</w:t>
        <w:tab/>
        <w:t>the</w:t>
      </w:r>
    </w:p>
    <w:p>
      <w:pPr>
        <w:spacing w:after="0" w:line="6" w:lineRule="exact"/>
        <w:rPr>
          <w:sz w:val="20"/>
          <w:szCs w:val="20"/>
          <w:color w:val="auto"/>
        </w:rPr>
      </w:pPr>
    </w:p>
    <w:p>
      <w:pPr>
        <w:ind w:left="4660"/>
        <w:spacing w:after="0"/>
        <w:tabs>
          <w:tab w:leader="none" w:pos="5600" w:val="left"/>
        </w:tabs>
        <w:rPr>
          <w:sz w:val="20"/>
          <w:szCs w:val="20"/>
          <w:color w:val="auto"/>
        </w:rPr>
      </w:pPr>
      <w:r>
        <w:rPr>
          <w:rFonts w:ascii="Courier New" w:cs="Courier New" w:eastAsia="Courier New" w:hAnsi="Courier New"/>
          <w:sz w:val="12"/>
          <w:szCs w:val="12"/>
          <w:color w:val="auto"/>
        </w:rPr>
        <w:t>Equity</w:t>
      </w:r>
      <w:r>
        <w:rPr>
          <w:sz w:val="20"/>
          <w:szCs w:val="20"/>
          <w:color w:val="auto"/>
        </w:rPr>
        <w:tab/>
      </w:r>
      <w:r>
        <w:rPr>
          <w:rFonts w:ascii="Courier New" w:cs="Courier New" w:eastAsia="Courier New" w:hAnsi="Courier New"/>
          <w:sz w:val="12"/>
          <w:szCs w:val="12"/>
          <w:color w:val="auto"/>
        </w:rPr>
        <w:t>Convertible</w:t>
      </w:r>
    </w:p>
    <w:p>
      <w:pPr>
        <w:spacing w:after="0" w:line="6" w:lineRule="exact"/>
        <w:rPr>
          <w:sz w:val="20"/>
          <w:szCs w:val="20"/>
          <w:color w:val="auto"/>
        </w:rPr>
      </w:pPr>
    </w:p>
    <w:p>
      <w:pPr>
        <w:ind w:left="4660"/>
        <w:spacing w:after="0"/>
        <w:tabs>
          <w:tab w:leader="none" w:pos="5520" w:val="left"/>
          <w:tab w:leader="none" w:pos="6120" w:val="left"/>
        </w:tabs>
        <w:rPr>
          <w:sz w:val="20"/>
          <w:szCs w:val="20"/>
          <w:color w:val="auto"/>
        </w:rPr>
      </w:pPr>
      <w:r>
        <w:rPr>
          <w:rFonts w:ascii="Courier New" w:cs="Courier New" w:eastAsia="Courier New" w:hAnsi="Courier New"/>
          <w:sz w:val="12"/>
          <w:szCs w:val="12"/>
          <w:color w:val="auto"/>
        </w:rPr>
        <w:t>Debentures</w:t>
        <w:tab/>
        <w:t>shall,</w:t>
        <w:tab/>
        <w:t>with</w:t>
      </w:r>
    </w:p>
    <w:p>
      <w:pPr>
        <w:spacing w:after="0" w:line="6" w:lineRule="exact"/>
        <w:rPr>
          <w:sz w:val="20"/>
          <w:szCs w:val="20"/>
          <w:color w:val="auto"/>
        </w:rPr>
      </w:pPr>
    </w:p>
    <w:p>
      <w:pPr>
        <w:jc w:val="both"/>
        <w:ind w:left="4660"/>
        <w:spacing w:after="0"/>
        <w:tabs>
          <w:tab w:leader="none" w:pos="5520" w:val="left"/>
          <w:tab w:leader="none" w:pos="6200" w:val="left"/>
        </w:tabs>
        <w:rPr>
          <w:sz w:val="20"/>
          <w:szCs w:val="20"/>
          <w:color w:val="auto"/>
        </w:rPr>
      </w:pPr>
      <w:r>
        <w:rPr>
          <w:rFonts w:ascii="Courier New" w:cs="Courier New" w:eastAsia="Courier New" w:hAnsi="Courier New"/>
          <w:sz w:val="12"/>
          <w:szCs w:val="12"/>
          <w:color w:val="auto"/>
        </w:rPr>
        <w:t>effect</w:t>
      </w:r>
      <w:r>
        <w:rPr>
          <w:sz w:val="20"/>
          <w:szCs w:val="20"/>
          <w:color w:val="auto"/>
        </w:rPr>
        <w:tab/>
      </w:r>
      <w:r>
        <w:rPr>
          <w:rFonts w:ascii="Courier New" w:cs="Courier New" w:eastAsia="Courier New" w:hAnsi="Courier New"/>
          <w:sz w:val="12"/>
          <w:szCs w:val="12"/>
          <w:color w:val="auto"/>
        </w:rPr>
        <w:t>from</w:t>
      </w:r>
      <w:r>
        <w:rPr>
          <w:sz w:val="20"/>
          <w:szCs w:val="20"/>
          <w:color w:val="auto"/>
        </w:rPr>
        <w:tab/>
      </w:r>
      <w:r>
        <w:rPr>
          <w:rFonts w:ascii="Courier New" w:cs="Courier New" w:eastAsia="Courier New" w:hAnsi="Courier New"/>
          <w:sz w:val="12"/>
          <w:szCs w:val="12"/>
          <w:color w:val="auto"/>
        </w:rPr>
        <w:t>the</w:t>
      </w:r>
    </w:p>
    <w:p>
      <w:pPr>
        <w:spacing w:after="0" w:line="6" w:lineRule="exact"/>
        <w:rPr>
          <w:sz w:val="20"/>
          <w:szCs w:val="20"/>
          <w:color w:val="auto"/>
        </w:rPr>
      </w:pPr>
    </w:p>
    <w:p>
      <w:pPr>
        <w:jc w:val="both"/>
        <w:ind w:left="4660"/>
        <w:spacing w:after="0"/>
        <w:tabs>
          <w:tab w:leader="none" w:pos="5740" w:val="left"/>
          <w:tab w:leader="none" w:pos="6200" w:val="left"/>
        </w:tabs>
        <w:rPr>
          <w:sz w:val="20"/>
          <w:szCs w:val="20"/>
          <w:color w:val="auto"/>
        </w:rPr>
      </w:pPr>
      <w:r>
        <w:rPr>
          <w:rFonts w:ascii="Courier New" w:cs="Courier New" w:eastAsia="Courier New" w:hAnsi="Courier New"/>
          <w:sz w:val="12"/>
          <w:szCs w:val="12"/>
          <w:color w:val="auto"/>
        </w:rPr>
        <w:t>termination</w:t>
      </w:r>
      <w:r>
        <w:rPr>
          <w:sz w:val="20"/>
          <w:szCs w:val="20"/>
          <w:color w:val="auto"/>
        </w:rPr>
        <w:tab/>
      </w:r>
      <w:r>
        <w:rPr>
          <w:rFonts w:ascii="Courier New" w:cs="Courier New" w:eastAsia="Courier New" w:hAnsi="Courier New"/>
          <w:sz w:val="12"/>
          <w:szCs w:val="12"/>
          <w:color w:val="auto"/>
        </w:rPr>
        <w:t>of</w:t>
      </w:r>
      <w:r>
        <w:rPr>
          <w:sz w:val="20"/>
          <w:szCs w:val="20"/>
          <w:color w:val="auto"/>
        </w:rPr>
        <w:tab/>
      </w:r>
      <w:r>
        <w:rPr>
          <w:rFonts w:ascii="Courier New" w:cs="Courier New" w:eastAsia="Courier New" w:hAnsi="Courier New"/>
          <w:sz w:val="12"/>
          <w:szCs w:val="12"/>
          <w:color w:val="auto"/>
        </w:rPr>
        <w:t>the</w:t>
      </w:r>
    </w:p>
    <w:p>
      <w:pPr>
        <w:spacing w:after="0" w:line="6" w:lineRule="exact"/>
        <w:rPr>
          <w:sz w:val="20"/>
          <w:szCs w:val="20"/>
          <w:color w:val="auto"/>
        </w:rPr>
      </w:pPr>
    </w:p>
    <w:p>
      <w:pPr>
        <w:ind w:left="4660"/>
        <w:spacing w:after="0"/>
        <w:tabs>
          <w:tab w:leader="none" w:pos="5740" w:val="left"/>
        </w:tabs>
        <w:rPr>
          <w:sz w:val="20"/>
          <w:szCs w:val="20"/>
          <w:color w:val="auto"/>
        </w:rPr>
      </w:pPr>
      <w:r>
        <w:rPr>
          <w:rFonts w:ascii="Courier New" w:cs="Courier New" w:eastAsia="Courier New" w:hAnsi="Courier New"/>
          <w:sz w:val="12"/>
          <w:szCs w:val="12"/>
          <w:color w:val="auto"/>
        </w:rPr>
        <w:t>Relevant</w:t>
      </w:r>
      <w:r>
        <w:rPr>
          <w:sz w:val="20"/>
          <w:szCs w:val="20"/>
          <w:color w:val="auto"/>
        </w:rPr>
        <w:tab/>
      </w:r>
      <w:r>
        <w:rPr>
          <w:rFonts w:ascii="Courier New" w:cs="Courier New" w:eastAsia="Courier New" w:hAnsi="Courier New"/>
          <w:sz w:val="12"/>
          <w:szCs w:val="12"/>
          <w:color w:val="auto"/>
        </w:rPr>
        <w:t>Six-Month</w:t>
      </w:r>
    </w:p>
    <w:p>
      <w:pPr>
        <w:spacing w:after="0" w:line="6" w:lineRule="exact"/>
        <w:rPr>
          <w:sz w:val="20"/>
          <w:szCs w:val="20"/>
          <w:color w:val="auto"/>
        </w:rPr>
      </w:pPr>
    </w:p>
    <w:p>
      <w:pPr>
        <w:ind w:left="4660"/>
        <w:spacing w:after="0"/>
        <w:tabs>
          <w:tab w:leader="none" w:pos="5240" w:val="left"/>
          <w:tab w:leader="none" w:pos="5520" w:val="left"/>
          <w:tab w:leader="none" w:pos="5980" w:val="left"/>
        </w:tabs>
        <w:rPr>
          <w:sz w:val="20"/>
          <w:szCs w:val="20"/>
          <w:color w:val="auto"/>
        </w:rPr>
      </w:pPr>
      <w:r>
        <w:rPr>
          <w:rFonts w:ascii="Courier New" w:cs="Courier New" w:eastAsia="Courier New" w:hAnsi="Courier New"/>
          <w:sz w:val="12"/>
          <w:szCs w:val="12"/>
          <w:color w:val="auto"/>
        </w:rPr>
        <w:t>Period</w:t>
        <w:tab/>
        <w:t>be</w:t>
        <w:tab/>
        <w:t>made</w:t>
        <w:tab/>
        <w:t>to the</w:t>
      </w:r>
    </w:p>
    <w:p>
      <w:pPr>
        <w:spacing w:after="0" w:line="6" w:lineRule="exact"/>
        <w:rPr>
          <w:sz w:val="20"/>
          <w:szCs w:val="20"/>
          <w:color w:val="auto"/>
        </w:rPr>
      </w:pPr>
    </w:p>
    <w:p>
      <w:pPr>
        <w:ind w:left="4660"/>
        <w:spacing w:after="0"/>
        <w:tabs>
          <w:tab w:leader="none" w:pos="5300" w:val="left"/>
          <w:tab w:leader="none" w:pos="5600" w:val="left"/>
          <w:tab w:leader="none" w:pos="5980" w:val="left"/>
        </w:tabs>
        <w:rPr>
          <w:sz w:val="20"/>
          <w:szCs w:val="20"/>
          <w:color w:val="auto"/>
        </w:rPr>
      </w:pPr>
      <w:r>
        <w:rPr>
          <w:rFonts w:ascii="Courier New" w:cs="Courier New" w:eastAsia="Courier New" w:hAnsi="Courier New"/>
          <w:sz w:val="12"/>
          <w:szCs w:val="12"/>
          <w:color w:val="auto"/>
        </w:rPr>
        <w:t>holders</w:t>
        <w:tab/>
        <w:t>of</w:t>
        <w:tab/>
        <w:t>the</w:t>
        <w:tab/>
        <w:t>Equity</w:t>
      </w:r>
    </w:p>
    <w:p>
      <w:pPr>
        <w:spacing w:after="0" w:line="6" w:lineRule="exact"/>
        <w:rPr>
          <w:sz w:val="20"/>
          <w:szCs w:val="20"/>
          <w:color w:val="auto"/>
        </w:rPr>
      </w:pPr>
    </w:p>
    <w:p>
      <w:pPr>
        <w:ind w:left="4660"/>
        <w:spacing w:after="0"/>
        <w:tabs>
          <w:tab w:leader="none" w:pos="5680" w:val="left"/>
        </w:tabs>
        <w:rPr>
          <w:sz w:val="20"/>
          <w:szCs w:val="20"/>
          <w:color w:val="auto"/>
        </w:rPr>
      </w:pPr>
      <w:r>
        <w:rPr>
          <w:rFonts w:ascii="Courier New" w:cs="Courier New" w:eastAsia="Courier New" w:hAnsi="Courier New"/>
          <w:sz w:val="12"/>
          <w:szCs w:val="12"/>
          <w:color w:val="auto"/>
        </w:rPr>
        <w:t>Convertible</w:t>
        <w:tab/>
        <w:t>Debentures</w:t>
      </w:r>
    </w:p>
    <w:p>
      <w:pPr>
        <w:spacing w:after="0" w:line="6" w:lineRule="exact"/>
        <w:rPr>
          <w:sz w:val="20"/>
          <w:szCs w:val="20"/>
          <w:color w:val="auto"/>
        </w:rPr>
      </w:pPr>
    </w:p>
    <w:p>
      <w:pPr>
        <w:ind w:left="4660"/>
        <w:spacing w:after="0"/>
        <w:tabs>
          <w:tab w:leader="none" w:pos="4940" w:val="left"/>
          <w:tab w:leader="none" w:pos="5820" w:val="left"/>
        </w:tabs>
        <w:rPr>
          <w:sz w:val="20"/>
          <w:szCs w:val="20"/>
          <w:color w:val="auto"/>
        </w:rPr>
      </w:pPr>
      <w:r>
        <w:rPr>
          <w:rFonts w:ascii="Courier New" w:cs="Courier New" w:eastAsia="Courier New" w:hAnsi="Courier New"/>
          <w:sz w:val="12"/>
          <w:szCs w:val="12"/>
          <w:color w:val="auto"/>
        </w:rPr>
        <w:t>in</w:t>
        <w:tab/>
        <w:t>accordance</w:t>
        <w:tab/>
        <w:t>with the</w:t>
      </w:r>
    </w:p>
    <w:p>
      <w:pPr>
        <w:spacing w:after="0" w:line="6" w:lineRule="exact"/>
        <w:rPr>
          <w:sz w:val="20"/>
          <w:szCs w:val="20"/>
          <w:color w:val="auto"/>
        </w:rPr>
      </w:pPr>
    </w:p>
    <w:p>
      <w:pPr>
        <w:ind w:left="4660"/>
        <w:spacing w:after="0"/>
        <w:tabs>
          <w:tab w:leader="none" w:pos="5380" w:val="left"/>
        </w:tabs>
        <w:rPr>
          <w:sz w:val="20"/>
          <w:szCs w:val="20"/>
          <w:color w:val="auto"/>
        </w:rPr>
      </w:pPr>
      <w:r>
        <w:rPr>
          <w:rFonts w:ascii="Courier New" w:cs="Courier New" w:eastAsia="Courier New" w:hAnsi="Courier New"/>
          <w:sz w:val="12"/>
          <w:szCs w:val="12"/>
          <w:color w:val="auto"/>
        </w:rPr>
        <w:t>original</w:t>
        <w:tab/>
        <w:t>schedule under</w:t>
      </w:r>
    </w:p>
    <w:p>
      <w:pPr>
        <w:spacing w:after="0" w:line="6" w:lineRule="exact"/>
        <w:rPr>
          <w:sz w:val="20"/>
          <w:szCs w:val="20"/>
          <w:color w:val="auto"/>
        </w:rPr>
      </w:pPr>
    </w:p>
    <w:p>
      <w:pPr>
        <w:ind w:left="4660"/>
        <w:spacing w:after="0"/>
        <w:tabs>
          <w:tab w:leader="none" w:pos="5980" w:val="left"/>
        </w:tabs>
        <w:rPr>
          <w:sz w:val="20"/>
          <w:szCs w:val="20"/>
          <w:color w:val="auto"/>
        </w:rPr>
      </w:pPr>
      <w:r>
        <w:rPr>
          <w:rFonts w:ascii="Courier New" w:cs="Courier New" w:eastAsia="Courier New" w:hAnsi="Courier New"/>
          <w:sz w:val="12"/>
          <w:szCs w:val="12"/>
          <w:color w:val="auto"/>
        </w:rPr>
        <w:t>the terms of the</w:t>
        <w:tab/>
        <w:t>Equity</w:t>
      </w:r>
    </w:p>
    <w:p>
      <w:pPr>
        <w:spacing w:after="0" w:line="6" w:lineRule="exact"/>
        <w:rPr>
          <w:sz w:val="20"/>
          <w:szCs w:val="20"/>
          <w:color w:val="auto"/>
        </w:rPr>
      </w:pPr>
    </w:p>
    <w:p>
      <w:pPr>
        <w:ind w:left="4660"/>
        <w:spacing w:after="0"/>
        <w:tabs>
          <w:tab w:leader="none" w:pos="5600" w:val="left"/>
        </w:tabs>
        <w:rPr>
          <w:sz w:val="20"/>
          <w:szCs w:val="20"/>
          <w:color w:val="auto"/>
        </w:rPr>
      </w:pPr>
      <w:r>
        <w:rPr>
          <w:rFonts w:ascii="Courier New" w:cs="Courier New" w:eastAsia="Courier New" w:hAnsi="Courier New"/>
          <w:sz w:val="12"/>
          <w:szCs w:val="12"/>
          <w:color w:val="auto"/>
        </w:rPr>
        <w:t>Convertible</w:t>
        <w:tab/>
        <w:t>Debentures,</w:t>
      </w:r>
    </w:p>
    <w:p>
      <w:pPr>
        <w:spacing w:after="0" w:line="6" w:lineRule="exact"/>
        <w:rPr>
          <w:sz w:val="20"/>
          <w:szCs w:val="20"/>
          <w:color w:val="auto"/>
        </w:rPr>
      </w:pPr>
    </w:p>
    <w:p>
      <w:pPr>
        <w:ind w:left="4660"/>
        <w:spacing w:after="0"/>
        <w:tabs>
          <w:tab w:leader="none" w:pos="5460" w:val="left"/>
          <w:tab w:leader="none" w:pos="5900" w:val="left"/>
        </w:tabs>
        <w:rPr>
          <w:sz w:val="20"/>
          <w:szCs w:val="20"/>
          <w:color w:val="auto"/>
        </w:rPr>
      </w:pPr>
      <w:r>
        <w:rPr>
          <w:rFonts w:ascii="Courier New" w:cs="Courier New" w:eastAsia="Courier New" w:hAnsi="Courier New"/>
          <w:sz w:val="12"/>
          <w:szCs w:val="12"/>
          <w:color w:val="auto"/>
        </w:rPr>
        <w:t>provided</w:t>
        <w:tab/>
        <w:t>that</w:t>
        <w:tab/>
        <w:t>amounts</w:t>
      </w:r>
    </w:p>
    <w:p>
      <w:pPr>
        <w:spacing w:after="0" w:line="6" w:lineRule="exact"/>
        <w:rPr>
          <w:sz w:val="20"/>
          <w:szCs w:val="20"/>
          <w:color w:val="auto"/>
        </w:rPr>
      </w:pPr>
    </w:p>
    <w:p>
      <w:pPr>
        <w:ind w:left="4660"/>
        <w:spacing w:after="0"/>
        <w:tabs>
          <w:tab w:leader="none" w:pos="5020" w:val="left"/>
          <w:tab w:leader="none" w:pos="5520" w:val="left"/>
          <w:tab w:leader="none" w:pos="6200" w:val="left"/>
        </w:tabs>
        <w:rPr>
          <w:sz w:val="20"/>
          <w:szCs w:val="20"/>
          <w:color w:val="auto"/>
        </w:rPr>
      </w:pPr>
      <w:r>
        <w:rPr>
          <w:rFonts w:ascii="Courier New" w:cs="Courier New" w:eastAsia="Courier New" w:hAnsi="Courier New"/>
          <w:sz w:val="12"/>
          <w:szCs w:val="12"/>
          <w:color w:val="auto"/>
        </w:rPr>
        <w:t>not</w:t>
        <w:tab/>
        <w:t>paid</w:t>
        <w:tab/>
        <w:t>during</w:t>
        <w:tab/>
        <w:t>the</w:t>
      </w:r>
    </w:p>
    <w:p>
      <w:pPr>
        <w:spacing w:after="0" w:line="6" w:lineRule="exact"/>
        <w:rPr>
          <w:sz w:val="20"/>
          <w:szCs w:val="20"/>
          <w:color w:val="auto"/>
        </w:rPr>
      </w:pPr>
    </w:p>
    <w:p>
      <w:pPr>
        <w:jc w:val="both"/>
        <w:ind w:left="4660"/>
        <w:spacing w:after="0"/>
        <w:tabs>
          <w:tab w:leader="none" w:pos="5740" w:val="left"/>
        </w:tabs>
        <w:rPr>
          <w:sz w:val="20"/>
          <w:szCs w:val="20"/>
          <w:color w:val="auto"/>
        </w:rPr>
      </w:pPr>
      <w:r>
        <w:rPr>
          <w:rFonts w:ascii="Courier New" w:cs="Courier New" w:eastAsia="Courier New" w:hAnsi="Courier New"/>
          <w:sz w:val="12"/>
          <w:szCs w:val="12"/>
          <w:color w:val="auto"/>
        </w:rPr>
        <w:t>Relevant</w:t>
      </w:r>
      <w:r>
        <w:rPr>
          <w:sz w:val="20"/>
          <w:szCs w:val="20"/>
          <w:color w:val="auto"/>
        </w:rPr>
        <w:tab/>
      </w:r>
      <w:r>
        <w:rPr>
          <w:rFonts w:ascii="Courier New" w:cs="Courier New" w:eastAsia="Courier New" w:hAnsi="Courier New"/>
          <w:sz w:val="12"/>
          <w:szCs w:val="12"/>
          <w:color w:val="auto"/>
        </w:rPr>
        <w:t>Six-Month</w:t>
      </w:r>
    </w:p>
    <w:p>
      <w:pPr>
        <w:spacing w:after="0" w:line="6" w:lineRule="exact"/>
        <w:rPr>
          <w:sz w:val="20"/>
          <w:szCs w:val="20"/>
          <w:color w:val="auto"/>
        </w:rPr>
      </w:pPr>
    </w:p>
    <w:p>
      <w:pPr>
        <w:ind w:left="4660"/>
        <w:spacing w:after="0"/>
        <w:tabs>
          <w:tab w:leader="none" w:pos="5520" w:val="left"/>
          <w:tab w:leader="none" w:pos="6040" w:val="left"/>
        </w:tabs>
        <w:rPr>
          <w:sz w:val="20"/>
          <w:szCs w:val="20"/>
          <w:color w:val="auto"/>
        </w:rPr>
      </w:pPr>
      <w:r>
        <w:rPr>
          <w:rFonts w:ascii="Courier New" w:cs="Courier New" w:eastAsia="Courier New" w:hAnsi="Courier New"/>
          <w:sz w:val="12"/>
          <w:szCs w:val="12"/>
          <w:color w:val="auto"/>
        </w:rPr>
        <w:t>Period,</w:t>
      </w:r>
      <w:r>
        <w:rPr>
          <w:sz w:val="20"/>
          <w:szCs w:val="20"/>
          <w:color w:val="auto"/>
        </w:rPr>
        <w:tab/>
      </w:r>
      <w:r>
        <w:rPr>
          <w:rFonts w:ascii="Courier New" w:cs="Courier New" w:eastAsia="Courier New" w:hAnsi="Courier New"/>
          <w:sz w:val="12"/>
          <w:szCs w:val="12"/>
          <w:color w:val="auto"/>
        </w:rPr>
        <w:t>or</w:t>
      </w:r>
      <w:r>
        <w:rPr>
          <w:sz w:val="20"/>
          <w:szCs w:val="20"/>
          <w:color w:val="auto"/>
        </w:rPr>
        <w:tab/>
      </w:r>
      <w:r>
        <w:rPr>
          <w:rFonts w:ascii="Courier New" w:cs="Courier New" w:eastAsia="Courier New" w:hAnsi="Courier New"/>
          <w:sz w:val="12"/>
          <w:szCs w:val="12"/>
          <w:color w:val="auto"/>
        </w:rPr>
        <w:t>prior</w:t>
      </w:r>
    </w:p>
    <w:p>
      <w:pPr>
        <w:spacing w:after="0" w:line="6" w:lineRule="exact"/>
        <w:rPr>
          <w:sz w:val="20"/>
          <w:szCs w:val="20"/>
          <w:color w:val="auto"/>
        </w:rPr>
      </w:pPr>
    </w:p>
    <w:p>
      <w:pPr>
        <w:ind w:left="4660"/>
        <w:spacing w:after="0"/>
        <w:tabs>
          <w:tab w:leader="none" w:pos="5460" w:val="left"/>
          <w:tab w:leader="none" w:pos="5740" w:val="left"/>
          <w:tab w:leader="none" w:pos="6120" w:val="left"/>
        </w:tabs>
        <w:rPr>
          <w:sz w:val="20"/>
          <w:szCs w:val="20"/>
          <w:color w:val="auto"/>
        </w:rPr>
      </w:pPr>
      <w:r>
        <w:rPr>
          <w:rFonts w:ascii="Courier New" w:cs="Courier New" w:eastAsia="Courier New" w:hAnsi="Courier New"/>
          <w:sz w:val="12"/>
          <w:szCs w:val="12"/>
          <w:color w:val="auto"/>
        </w:rPr>
        <w:t>thereto,</w:t>
        <w:tab/>
        <w:t>as</w:t>
        <w:tab/>
        <w:t>the</w:t>
        <w:tab/>
        <w:t>case</w:t>
      </w:r>
    </w:p>
    <w:p>
      <w:pPr>
        <w:spacing w:after="0" w:line="6" w:lineRule="exact"/>
        <w:rPr>
          <w:sz w:val="20"/>
          <w:szCs w:val="20"/>
          <w:color w:val="auto"/>
        </w:rPr>
      </w:pPr>
    </w:p>
    <w:p>
      <w:pPr>
        <w:ind w:left="4660"/>
        <w:spacing w:after="0"/>
        <w:tabs>
          <w:tab w:leader="none" w:pos="5080" w:val="left"/>
          <w:tab w:leader="none" w:pos="5600" w:val="left"/>
          <w:tab w:leader="none" w:pos="6260" w:val="left"/>
        </w:tabs>
        <w:rPr>
          <w:sz w:val="20"/>
          <w:szCs w:val="20"/>
          <w:color w:val="auto"/>
        </w:rPr>
      </w:pPr>
      <w:r>
        <w:rPr>
          <w:rFonts w:ascii="Courier New" w:cs="Courier New" w:eastAsia="Courier New" w:hAnsi="Courier New"/>
          <w:sz w:val="12"/>
          <w:szCs w:val="12"/>
          <w:color w:val="auto"/>
        </w:rPr>
        <w:t>may</w:t>
        <w:tab/>
        <w:t>be,</w:t>
      </w:r>
      <w:r>
        <w:rPr>
          <w:sz w:val="20"/>
          <w:szCs w:val="20"/>
          <w:color w:val="auto"/>
        </w:rPr>
        <w:tab/>
      </w:r>
      <w:r>
        <w:rPr>
          <w:rFonts w:ascii="Courier New" w:cs="Courier New" w:eastAsia="Courier New" w:hAnsi="Courier New"/>
          <w:sz w:val="12"/>
          <w:szCs w:val="12"/>
          <w:color w:val="auto"/>
        </w:rPr>
        <w:t>shall</w:t>
      </w:r>
      <w:r>
        <w:rPr>
          <w:sz w:val="20"/>
          <w:szCs w:val="20"/>
          <w:color w:val="auto"/>
        </w:rPr>
        <w:tab/>
      </w:r>
      <w:r>
        <w:rPr>
          <w:rFonts w:ascii="Courier New" w:cs="Courier New" w:eastAsia="Courier New" w:hAnsi="Courier New"/>
          <w:sz w:val="12"/>
          <w:szCs w:val="12"/>
          <w:color w:val="auto"/>
        </w:rPr>
        <w:t>be</w:t>
      </w:r>
    </w:p>
    <w:p>
      <w:pPr>
        <w:spacing w:after="0" w:line="6" w:lineRule="exact"/>
        <w:rPr>
          <w:sz w:val="20"/>
          <w:szCs w:val="20"/>
          <w:color w:val="auto"/>
        </w:rPr>
      </w:pPr>
    </w:p>
    <w:p>
      <w:pPr>
        <w:ind w:left="4660"/>
        <w:spacing w:after="0"/>
        <w:tabs>
          <w:tab w:leader="none" w:pos="5520" w:val="left"/>
          <w:tab w:leader="none" w:pos="5820" w:val="left"/>
          <w:tab w:leader="none" w:pos="6120" w:val="left"/>
        </w:tabs>
        <w:rPr>
          <w:sz w:val="20"/>
          <w:szCs w:val="20"/>
          <w:color w:val="auto"/>
        </w:rPr>
      </w:pPr>
      <w:r>
        <w:rPr>
          <w:rFonts w:ascii="Courier New" w:cs="Courier New" w:eastAsia="Courier New" w:hAnsi="Courier New"/>
          <w:sz w:val="12"/>
          <w:szCs w:val="12"/>
          <w:color w:val="auto"/>
        </w:rPr>
        <w:t>postponed</w:t>
        <w:tab/>
        <w:t>to</w:t>
        <w:tab/>
        <w:t>be</w:t>
        <w:tab/>
        <w:t>paid</w:t>
      </w:r>
    </w:p>
    <w:p>
      <w:pPr>
        <w:spacing w:after="0" w:line="6" w:lineRule="exact"/>
        <w:rPr>
          <w:sz w:val="20"/>
          <w:szCs w:val="20"/>
          <w:color w:val="auto"/>
        </w:rPr>
      </w:pPr>
    </w:p>
    <w:p>
      <w:pPr>
        <w:ind w:left="4660"/>
        <w:spacing w:after="0"/>
        <w:tabs>
          <w:tab w:leader="none" w:pos="5160" w:val="left"/>
          <w:tab w:leader="none" w:pos="5680" w:val="left"/>
          <w:tab w:leader="none" w:pos="6040" w:val="left"/>
        </w:tabs>
        <w:rPr>
          <w:sz w:val="20"/>
          <w:szCs w:val="20"/>
          <w:color w:val="auto"/>
        </w:rPr>
      </w:pPr>
      <w:r>
        <w:rPr>
          <w:rFonts w:ascii="Courier New" w:cs="Courier New" w:eastAsia="Courier New" w:hAnsi="Courier New"/>
          <w:sz w:val="12"/>
          <w:szCs w:val="12"/>
          <w:color w:val="auto"/>
        </w:rPr>
        <w:t>pro</w:t>
      </w:r>
      <w:r>
        <w:rPr>
          <w:sz w:val="20"/>
          <w:szCs w:val="20"/>
          <w:color w:val="auto"/>
        </w:rPr>
        <w:tab/>
      </w:r>
      <w:r>
        <w:rPr>
          <w:rFonts w:ascii="Courier New" w:cs="Courier New" w:eastAsia="Courier New" w:hAnsi="Courier New"/>
          <w:sz w:val="12"/>
          <w:szCs w:val="12"/>
          <w:color w:val="auto"/>
        </w:rPr>
        <w:t>rata</w:t>
        <w:tab/>
        <w:t>to</w:t>
        <w:tab/>
        <w:t>those</w:t>
      </w:r>
    </w:p>
    <w:p>
      <w:pPr>
        <w:spacing w:after="0" w:line="6" w:lineRule="exact"/>
        <w:rPr>
          <w:sz w:val="20"/>
          <w:szCs w:val="20"/>
          <w:color w:val="auto"/>
        </w:rPr>
      </w:pPr>
    </w:p>
    <w:p>
      <w:pPr>
        <w:ind w:left="4660"/>
        <w:spacing w:after="0"/>
        <w:tabs>
          <w:tab w:leader="none" w:pos="5460" w:val="left"/>
          <w:tab w:leader="none" w:pos="5820" w:val="left"/>
          <w:tab w:leader="none" w:pos="6260" w:val="left"/>
        </w:tabs>
        <w:rPr>
          <w:sz w:val="20"/>
          <w:szCs w:val="20"/>
          <w:color w:val="auto"/>
        </w:rPr>
      </w:pPr>
      <w:r>
        <w:rPr>
          <w:rFonts w:ascii="Courier New" w:cs="Courier New" w:eastAsia="Courier New" w:hAnsi="Courier New"/>
          <w:sz w:val="12"/>
          <w:szCs w:val="12"/>
          <w:color w:val="auto"/>
        </w:rPr>
        <w:t>payments</w:t>
        <w:tab/>
        <w:t>not</w:t>
        <w:tab/>
        <w:t>made</w:t>
        <w:tab/>
        <w:t>to</w:t>
      </w:r>
    </w:p>
    <w:p>
      <w:pPr>
        <w:spacing w:after="0" w:line="6" w:lineRule="exact"/>
        <w:rPr>
          <w:sz w:val="20"/>
          <w:szCs w:val="20"/>
          <w:color w:val="auto"/>
        </w:rPr>
      </w:pPr>
    </w:p>
    <w:p>
      <w:pPr>
        <w:ind w:left="4660"/>
        <w:spacing w:after="0"/>
        <w:tabs>
          <w:tab w:leader="none" w:pos="5020" w:val="left"/>
          <w:tab w:leader="none" w:pos="5600" w:val="left"/>
          <w:tab w:leader="none" w:pos="6200" w:val="left"/>
        </w:tabs>
        <w:rPr>
          <w:sz w:val="20"/>
          <w:szCs w:val="20"/>
          <w:color w:val="auto"/>
        </w:rPr>
      </w:pPr>
      <w:r>
        <w:rPr>
          <w:rFonts w:ascii="Courier New" w:cs="Courier New" w:eastAsia="Courier New" w:hAnsi="Courier New"/>
          <w:sz w:val="12"/>
          <w:szCs w:val="12"/>
          <w:color w:val="auto"/>
        </w:rPr>
        <w:t>the</w:t>
        <w:tab/>
        <w:t>Banks</w:t>
        <w:tab/>
        <w:t>during</w:t>
        <w:tab/>
        <w:t>the</w:t>
      </w:r>
    </w:p>
    <w:p>
      <w:pPr>
        <w:spacing w:after="0" w:line="6" w:lineRule="exact"/>
        <w:rPr>
          <w:sz w:val="20"/>
          <w:szCs w:val="20"/>
          <w:color w:val="auto"/>
        </w:rPr>
      </w:pPr>
    </w:p>
    <w:p>
      <w:pPr>
        <w:jc w:val="both"/>
        <w:ind w:left="4660"/>
        <w:spacing w:after="0"/>
        <w:tabs>
          <w:tab w:leader="none" w:pos="5740" w:val="left"/>
        </w:tabs>
        <w:rPr>
          <w:sz w:val="20"/>
          <w:szCs w:val="20"/>
          <w:color w:val="auto"/>
        </w:rPr>
      </w:pPr>
      <w:r>
        <w:rPr>
          <w:rFonts w:ascii="Courier New" w:cs="Courier New" w:eastAsia="Courier New" w:hAnsi="Courier New"/>
          <w:sz w:val="12"/>
          <w:szCs w:val="12"/>
          <w:color w:val="auto"/>
        </w:rPr>
        <w:t>Relevant</w:t>
      </w:r>
      <w:r>
        <w:rPr>
          <w:sz w:val="20"/>
          <w:szCs w:val="20"/>
          <w:color w:val="auto"/>
        </w:rPr>
        <w:tab/>
      </w:r>
      <w:r>
        <w:rPr>
          <w:rFonts w:ascii="Courier New" w:cs="Courier New" w:eastAsia="Courier New" w:hAnsi="Courier New"/>
          <w:sz w:val="12"/>
          <w:szCs w:val="12"/>
          <w:color w:val="auto"/>
        </w:rPr>
        <w:t>Six-Month</w:t>
      </w:r>
    </w:p>
    <w:p>
      <w:pPr>
        <w:spacing w:after="0" w:line="6" w:lineRule="exact"/>
        <w:rPr>
          <w:sz w:val="20"/>
          <w:szCs w:val="20"/>
          <w:color w:val="auto"/>
        </w:rPr>
      </w:pPr>
    </w:p>
    <w:p>
      <w:pPr>
        <w:jc w:val="both"/>
        <w:ind w:left="4660"/>
        <w:spacing w:after="0"/>
        <w:tabs>
          <w:tab w:leader="none" w:pos="5520" w:val="left"/>
          <w:tab w:leader="none" w:pos="6040" w:val="left"/>
        </w:tabs>
        <w:rPr>
          <w:sz w:val="20"/>
          <w:szCs w:val="20"/>
          <w:color w:val="auto"/>
        </w:rPr>
      </w:pPr>
      <w:r>
        <w:rPr>
          <w:rFonts w:ascii="Courier New" w:cs="Courier New" w:eastAsia="Courier New" w:hAnsi="Courier New"/>
          <w:sz w:val="12"/>
          <w:szCs w:val="12"/>
          <w:color w:val="auto"/>
        </w:rPr>
        <w:t>Period</w:t>
      </w:r>
      <w:r>
        <w:rPr>
          <w:sz w:val="20"/>
          <w:szCs w:val="20"/>
          <w:color w:val="auto"/>
        </w:rPr>
        <w:tab/>
      </w:r>
      <w:r>
        <w:rPr>
          <w:rFonts w:ascii="Courier New" w:cs="Courier New" w:eastAsia="Courier New" w:hAnsi="Courier New"/>
          <w:sz w:val="12"/>
          <w:szCs w:val="12"/>
          <w:color w:val="auto"/>
        </w:rPr>
        <w:t>or</w:t>
      </w:r>
      <w:r>
        <w:rPr>
          <w:sz w:val="20"/>
          <w:szCs w:val="20"/>
          <w:color w:val="auto"/>
        </w:rPr>
        <w:tab/>
      </w:r>
      <w:r>
        <w:rPr>
          <w:rFonts w:ascii="Courier New" w:cs="Courier New" w:eastAsia="Courier New" w:hAnsi="Courier New"/>
          <w:sz w:val="12"/>
          <w:szCs w:val="12"/>
          <w:color w:val="auto"/>
        </w:rPr>
        <w:t>prior</w:t>
      </w:r>
    </w:p>
    <w:p>
      <w:pPr>
        <w:spacing w:after="0" w:line="6" w:lineRule="exact"/>
        <w:rPr>
          <w:sz w:val="20"/>
          <w:szCs w:val="20"/>
          <w:color w:val="auto"/>
        </w:rPr>
      </w:pPr>
    </w:p>
    <w:p>
      <w:pPr>
        <w:ind w:left="4660"/>
        <w:spacing w:after="0"/>
        <w:tabs>
          <w:tab w:leader="none" w:pos="5900" w:val="left"/>
        </w:tabs>
        <w:rPr>
          <w:sz w:val="20"/>
          <w:szCs w:val="20"/>
          <w:color w:val="auto"/>
        </w:rPr>
      </w:pPr>
      <w:r>
        <w:rPr>
          <w:rFonts w:ascii="Courier New" w:cs="Courier New" w:eastAsia="Courier New" w:hAnsi="Courier New"/>
          <w:sz w:val="12"/>
          <w:szCs w:val="12"/>
          <w:color w:val="auto"/>
        </w:rPr>
        <w:t>thereto,</w:t>
      </w:r>
      <w:r>
        <w:rPr>
          <w:sz w:val="20"/>
          <w:szCs w:val="20"/>
          <w:color w:val="auto"/>
        </w:rPr>
        <w:tab/>
      </w:r>
      <w:r>
        <w:rPr>
          <w:rFonts w:ascii="Courier New" w:cs="Courier New" w:eastAsia="Courier New" w:hAnsi="Courier New"/>
          <w:sz w:val="12"/>
          <w:szCs w:val="12"/>
          <w:color w:val="auto"/>
        </w:rPr>
        <w:t>MUTATIS</w:t>
      </w:r>
    </w:p>
    <w:p>
      <w:pPr>
        <w:spacing w:after="0" w:line="6" w:lineRule="exact"/>
        <w:rPr>
          <w:sz w:val="20"/>
          <w:szCs w:val="20"/>
          <w:color w:val="auto"/>
        </w:rPr>
      </w:pPr>
    </w:p>
    <w:p>
      <w:pPr>
        <w:ind w:left="4660"/>
        <w:spacing w:after="0"/>
        <w:tabs>
          <w:tab w:leader="none" w:pos="5460" w:val="left"/>
        </w:tabs>
        <w:rPr>
          <w:sz w:val="20"/>
          <w:szCs w:val="20"/>
          <w:color w:val="auto"/>
        </w:rPr>
      </w:pPr>
      <w:r>
        <w:rPr>
          <w:rFonts w:ascii="Courier New" w:cs="Courier New" w:eastAsia="Courier New" w:hAnsi="Courier New"/>
          <w:sz w:val="12"/>
          <w:szCs w:val="12"/>
          <w:color w:val="auto"/>
        </w:rPr>
        <w:t>MUTANDIS,</w:t>
        <w:tab/>
        <w:t>in accordance</w:t>
      </w:r>
    </w:p>
    <w:p>
      <w:pPr>
        <w:spacing w:after="0" w:line="6" w:lineRule="exact"/>
        <w:rPr>
          <w:sz w:val="20"/>
          <w:szCs w:val="20"/>
          <w:color w:val="auto"/>
        </w:rPr>
      </w:pPr>
    </w:p>
    <w:p>
      <w:pPr>
        <w:ind w:left="4660"/>
        <w:spacing w:after="0"/>
        <w:tabs>
          <w:tab w:leader="none" w:pos="5380" w:val="left"/>
          <w:tab w:leader="none" w:pos="6260" w:val="left"/>
        </w:tabs>
        <w:rPr>
          <w:sz w:val="20"/>
          <w:szCs w:val="20"/>
          <w:color w:val="auto"/>
        </w:rPr>
      </w:pPr>
      <w:r>
        <w:rPr>
          <w:rFonts w:ascii="Courier New" w:cs="Courier New" w:eastAsia="Courier New" w:hAnsi="Courier New"/>
          <w:sz w:val="12"/>
          <w:szCs w:val="12"/>
          <w:color w:val="auto"/>
        </w:rPr>
        <w:t>with the</w:t>
        <w:tab/>
        <w:t>provisions</w:t>
        <w:tab/>
        <w:t>of</w:t>
      </w:r>
    </w:p>
    <w:p>
      <w:pPr>
        <w:spacing w:after="0" w:line="6" w:lineRule="exact"/>
        <w:rPr>
          <w:sz w:val="20"/>
          <w:szCs w:val="20"/>
          <w:color w:val="auto"/>
        </w:rPr>
      </w:pPr>
    </w:p>
    <w:p>
      <w:pPr>
        <w:ind w:left="4660"/>
        <w:spacing w:after="0"/>
        <w:tabs>
          <w:tab w:leader="none" w:pos="5460" w:val="left"/>
        </w:tabs>
        <w:rPr>
          <w:sz w:val="20"/>
          <w:szCs w:val="20"/>
          <w:color w:val="auto"/>
        </w:rPr>
      </w:pPr>
      <w:r>
        <w:rPr>
          <w:rFonts w:ascii="Courier New" w:cs="Courier New" w:eastAsia="Courier New" w:hAnsi="Courier New"/>
          <w:sz w:val="12"/>
          <w:szCs w:val="12"/>
          <w:color w:val="auto"/>
        </w:rPr>
        <w:t>paragraph</w:t>
        <w:tab/>
        <w:t>(ii)(2)(A) of</w:t>
      </w:r>
    </w:p>
    <w:p>
      <w:pPr>
        <w:spacing w:after="0" w:line="6" w:lineRule="exact"/>
        <w:rPr>
          <w:sz w:val="20"/>
          <w:szCs w:val="20"/>
          <w:color w:val="auto"/>
        </w:rPr>
      </w:pPr>
    </w:p>
    <w:p>
      <w:pPr>
        <w:ind w:left="4660"/>
        <w:spacing w:after="0"/>
        <w:tabs>
          <w:tab w:leader="none" w:pos="5080" w:val="left"/>
          <w:tab w:leader="none" w:pos="5680" w:val="left"/>
        </w:tabs>
        <w:rPr>
          <w:sz w:val="20"/>
          <w:szCs w:val="20"/>
          <w:color w:val="auto"/>
        </w:rPr>
      </w:pPr>
      <w:r>
        <w:rPr>
          <w:rFonts w:ascii="Courier New" w:cs="Courier New" w:eastAsia="Courier New" w:hAnsi="Courier New"/>
          <w:sz w:val="12"/>
          <w:szCs w:val="12"/>
          <w:color w:val="auto"/>
        </w:rPr>
        <w:t>this</w:t>
        <w:tab/>
        <w:t>clause</w:t>
        <w:tab/>
        <w:t>1.1.118(j)</w:t>
      </w:r>
    </w:p>
    <w:p>
      <w:pPr>
        <w:spacing w:after="0" w:line="6" w:lineRule="exact"/>
        <w:rPr>
          <w:sz w:val="20"/>
          <w:szCs w:val="20"/>
          <w:color w:val="auto"/>
        </w:rPr>
      </w:pPr>
    </w:p>
    <w:p>
      <w:pPr>
        <w:ind w:left="4660"/>
        <w:spacing w:after="0"/>
        <w:tabs>
          <w:tab w:leader="none" w:pos="5160" w:val="left"/>
          <w:tab w:leader="none" w:pos="5520" w:val="left"/>
          <w:tab w:leader="none" w:pos="5900" w:val="left"/>
        </w:tabs>
        <w:rPr>
          <w:sz w:val="20"/>
          <w:szCs w:val="20"/>
          <w:color w:val="auto"/>
        </w:rPr>
      </w:pPr>
      <w:r>
        <w:rPr>
          <w:rFonts w:ascii="Courier New" w:cs="Courier New" w:eastAsia="Courier New" w:hAnsi="Courier New"/>
          <w:sz w:val="12"/>
          <w:szCs w:val="12"/>
          <w:color w:val="auto"/>
        </w:rPr>
        <w:t>above</w:t>
        <w:tab/>
        <w:t>and</w:t>
        <w:tab/>
        <w:t>the</w:t>
        <w:tab/>
        <w:t>holders</w:t>
      </w:r>
    </w:p>
    <w:p>
      <w:pPr>
        <w:spacing w:after="0" w:line="6" w:lineRule="exact"/>
        <w:rPr>
          <w:sz w:val="20"/>
          <w:szCs w:val="20"/>
          <w:color w:val="auto"/>
        </w:rPr>
      </w:pPr>
    </w:p>
    <w:p>
      <w:pPr>
        <w:ind w:left="4660"/>
        <w:spacing w:after="0"/>
        <w:tabs>
          <w:tab w:leader="none" w:pos="5240" w:val="left"/>
          <w:tab w:leader="none" w:pos="5980" w:val="left"/>
        </w:tabs>
        <w:rPr>
          <w:sz w:val="20"/>
          <w:szCs w:val="20"/>
          <w:color w:val="auto"/>
        </w:rPr>
      </w:pPr>
      <w:r>
        <w:rPr>
          <w:rFonts w:ascii="Courier New" w:cs="Courier New" w:eastAsia="Courier New" w:hAnsi="Courier New"/>
          <w:sz w:val="12"/>
          <w:szCs w:val="12"/>
          <w:color w:val="auto"/>
        </w:rPr>
        <w:t>of</w:t>
      </w:r>
      <w:r>
        <w:rPr>
          <w:sz w:val="20"/>
          <w:szCs w:val="20"/>
          <w:color w:val="auto"/>
        </w:rPr>
        <w:tab/>
      </w:r>
      <w:r>
        <w:rPr>
          <w:rFonts w:ascii="Courier New" w:cs="Courier New" w:eastAsia="Courier New" w:hAnsi="Courier New"/>
          <w:sz w:val="12"/>
          <w:szCs w:val="12"/>
          <w:color w:val="auto"/>
        </w:rPr>
        <w:t>the</w:t>
      </w:r>
      <w:r>
        <w:rPr>
          <w:sz w:val="20"/>
          <w:szCs w:val="20"/>
          <w:color w:val="auto"/>
        </w:rPr>
        <w:tab/>
      </w:r>
      <w:r>
        <w:rPr>
          <w:rFonts w:ascii="Courier New" w:cs="Courier New" w:eastAsia="Courier New" w:hAnsi="Courier New"/>
          <w:sz w:val="12"/>
          <w:szCs w:val="12"/>
          <w:color w:val="auto"/>
        </w:rPr>
        <w:t>Equity</w:t>
      </w:r>
    </w:p>
    <w:p>
      <w:pPr>
        <w:spacing w:after="0" w:line="6" w:lineRule="exact"/>
        <w:rPr>
          <w:sz w:val="20"/>
          <w:szCs w:val="20"/>
          <w:color w:val="auto"/>
        </w:rPr>
      </w:pPr>
    </w:p>
    <w:p>
      <w:pPr>
        <w:ind w:left="4660"/>
        <w:spacing w:after="0"/>
        <w:tabs>
          <w:tab w:leader="none" w:pos="5680" w:val="left"/>
        </w:tabs>
        <w:rPr>
          <w:sz w:val="20"/>
          <w:szCs w:val="20"/>
          <w:color w:val="auto"/>
        </w:rPr>
      </w:pPr>
      <w:r>
        <w:rPr>
          <w:rFonts w:ascii="Courier New" w:cs="Courier New" w:eastAsia="Courier New" w:hAnsi="Courier New"/>
          <w:sz w:val="12"/>
          <w:szCs w:val="12"/>
          <w:color w:val="auto"/>
        </w:rPr>
        <w:t>Convertible</w:t>
        <w:tab/>
        <w:t>Debentures</w:t>
      </w:r>
    </w:p>
    <w:p>
      <w:pPr>
        <w:spacing w:after="0" w:line="6" w:lineRule="exact"/>
        <w:rPr>
          <w:sz w:val="20"/>
          <w:szCs w:val="20"/>
          <w:color w:val="auto"/>
        </w:rPr>
      </w:pPr>
    </w:p>
    <w:p>
      <w:pPr>
        <w:ind w:left="4660"/>
        <w:spacing w:after="0"/>
        <w:tabs>
          <w:tab w:leader="none" w:pos="5160" w:val="left"/>
          <w:tab w:leader="none" w:pos="5460" w:val="left"/>
        </w:tabs>
        <w:rPr>
          <w:sz w:val="20"/>
          <w:szCs w:val="20"/>
          <w:color w:val="auto"/>
        </w:rPr>
      </w:pPr>
      <w:r>
        <w:rPr>
          <w:rFonts w:ascii="Courier New" w:cs="Courier New" w:eastAsia="Courier New" w:hAnsi="Courier New"/>
          <w:sz w:val="12"/>
          <w:szCs w:val="12"/>
          <w:color w:val="auto"/>
        </w:rPr>
        <w:t>shall</w:t>
        <w:tab/>
        <w:t>be</w:t>
        <w:tab/>
        <w:t>bound by such</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2"/>
          <w:szCs w:val="12"/>
          <w:color w:val="auto"/>
        </w:rPr>
        <w:t>an agreement.</w:t>
      </w:r>
    </w:p>
    <w:p>
      <w:pPr>
        <w:spacing w:after="0" w:line="289"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- 54 -</w:t>
      </w:r>
    </w:p>
    <w:p>
      <w:pPr>
        <w:spacing w:after="0" w:line="200" w:lineRule="exact"/>
        <w:rPr>
          <w:sz w:val="20"/>
          <w:szCs w:val="20"/>
          <w:color w:val="auto"/>
        </w:rPr>
      </w:pPr>
    </w:p>
    <w:p>
      <w:pPr>
        <w:spacing w:after="0" w:line="353" w:lineRule="exact"/>
        <w:rPr>
          <w:sz w:val="20"/>
          <w:szCs w:val="20"/>
          <w:color w:val="auto"/>
        </w:rPr>
      </w:pPr>
    </w:p>
    <w:p>
      <w:pPr>
        <w:ind w:left="4140"/>
        <w:spacing w:after="0"/>
        <w:tabs>
          <w:tab w:leader="none" w:pos="4800" w:val="left"/>
          <w:tab w:leader="none" w:pos="5460" w:val="left"/>
          <w:tab w:leader="none" w:pos="6260" w:val="left"/>
        </w:tabs>
        <w:rPr>
          <w:sz w:val="20"/>
          <w:szCs w:val="20"/>
          <w:color w:val="auto"/>
        </w:rPr>
      </w:pPr>
      <w:r>
        <w:rPr>
          <w:rFonts w:ascii="Courier New" w:cs="Courier New" w:eastAsia="Courier New" w:hAnsi="Courier New"/>
          <w:sz w:val="12"/>
          <w:szCs w:val="12"/>
          <w:color w:val="auto"/>
        </w:rPr>
        <w:t>For the</w:t>
        <w:tab/>
        <w:t>removal</w:t>
        <w:tab/>
        <w:t>of doubt,</w:t>
        <w:tab/>
        <w:t>in</w:t>
      </w:r>
    </w:p>
    <w:p>
      <w:pPr>
        <w:spacing w:after="0" w:line="6" w:lineRule="exact"/>
        <w:rPr>
          <w:sz w:val="20"/>
          <w:szCs w:val="20"/>
          <w:color w:val="auto"/>
        </w:rPr>
      </w:pPr>
    </w:p>
    <w:p>
      <w:pPr>
        <w:ind w:left="4140"/>
        <w:spacing w:after="0"/>
        <w:tabs>
          <w:tab w:leader="none" w:pos="5460" w:val="left"/>
          <w:tab w:leader="none" w:pos="6260" w:val="left"/>
        </w:tabs>
        <w:rPr>
          <w:sz w:val="20"/>
          <w:szCs w:val="20"/>
          <w:color w:val="auto"/>
        </w:rPr>
      </w:pPr>
      <w:r>
        <w:rPr>
          <w:rFonts w:ascii="Courier New" w:cs="Courier New" w:eastAsia="Courier New" w:hAnsi="Courier New"/>
          <w:sz w:val="12"/>
          <w:szCs w:val="12"/>
          <w:color w:val="auto"/>
        </w:rPr>
        <w:t>the event of the</w:t>
        <w:tab/>
        <w:t>existence</w:t>
        <w:tab/>
        <w:t>of</w:t>
      </w:r>
    </w:p>
    <w:p>
      <w:pPr>
        <w:spacing w:after="0" w:line="6" w:lineRule="exact"/>
        <w:rPr>
          <w:sz w:val="20"/>
          <w:szCs w:val="20"/>
          <w:color w:val="auto"/>
        </w:rPr>
      </w:pPr>
    </w:p>
    <w:p>
      <w:pPr>
        <w:ind w:left="4140"/>
        <w:spacing w:after="0"/>
        <w:tabs>
          <w:tab w:leader="none" w:pos="4360" w:val="left"/>
          <w:tab w:leader="none" w:pos="5020" w:val="left"/>
          <w:tab w:leader="none" w:pos="5520" w:val="left"/>
          <w:tab w:leader="none" w:pos="5900" w:val="left"/>
          <w:tab w:leader="none" w:pos="6200" w:val="left"/>
        </w:tabs>
        <w:rPr>
          <w:sz w:val="20"/>
          <w:szCs w:val="20"/>
          <w:color w:val="auto"/>
        </w:rPr>
      </w:pPr>
      <w:r>
        <w:rPr>
          <w:rFonts w:ascii="Courier New" w:cs="Courier New" w:eastAsia="Courier New" w:hAnsi="Courier New"/>
          <w:sz w:val="12"/>
          <w:szCs w:val="12"/>
          <w:color w:val="auto"/>
        </w:rPr>
        <w:t>a</w:t>
        <w:tab/>
        <w:t>Default</w:t>
        <w:tab/>
        <w:t>under</w:t>
        <w:tab/>
        <w:t>any</w:t>
        <w:tab/>
        <w:t>of</w:t>
        <w:tab/>
        <w:t>the</w:t>
      </w:r>
    </w:p>
    <w:p>
      <w:pPr>
        <w:spacing w:after="0" w:line="6" w:lineRule="exact"/>
        <w:rPr>
          <w:sz w:val="20"/>
          <w:szCs w:val="20"/>
          <w:color w:val="auto"/>
        </w:rPr>
      </w:pPr>
    </w:p>
    <w:p>
      <w:pPr>
        <w:ind w:left="4140"/>
        <w:spacing w:after="0"/>
        <w:tabs>
          <w:tab w:leader="none" w:pos="4860" w:val="left"/>
          <w:tab w:leader="none" w:pos="5680" w:val="left"/>
          <w:tab w:leader="none" w:pos="6260" w:val="left"/>
        </w:tabs>
        <w:rPr>
          <w:sz w:val="20"/>
          <w:szCs w:val="20"/>
          <w:color w:val="auto"/>
        </w:rPr>
      </w:pPr>
      <w:r>
        <w:rPr>
          <w:rFonts w:ascii="Courier New" w:cs="Courier New" w:eastAsia="Courier New" w:hAnsi="Courier New"/>
          <w:sz w:val="12"/>
          <w:szCs w:val="12"/>
          <w:color w:val="auto"/>
        </w:rPr>
        <w:t>Finance</w:t>
        <w:tab/>
        <w:t>Documents</w:t>
        <w:tab/>
        <w:t>during</w:t>
        <w:tab/>
        <w:t>or</w:t>
      </w:r>
    </w:p>
    <w:p>
      <w:pPr>
        <w:spacing w:after="0" w:line="6" w:lineRule="exact"/>
        <w:rPr>
          <w:sz w:val="20"/>
          <w:szCs w:val="20"/>
          <w:color w:val="auto"/>
        </w:rPr>
      </w:pPr>
    </w:p>
    <w:p>
      <w:pPr>
        <w:ind w:left="4140"/>
        <w:spacing w:after="0"/>
        <w:tabs>
          <w:tab w:leader="none" w:pos="4940" w:val="left"/>
          <w:tab w:leader="none" w:pos="5980" w:val="left"/>
        </w:tabs>
        <w:rPr>
          <w:sz w:val="20"/>
          <w:szCs w:val="20"/>
          <w:color w:val="auto"/>
        </w:rPr>
      </w:pPr>
      <w:r>
        <w:rPr>
          <w:rFonts w:ascii="Courier New" w:cs="Courier New" w:eastAsia="Courier New" w:hAnsi="Courier New"/>
          <w:sz w:val="12"/>
          <w:szCs w:val="12"/>
          <w:color w:val="auto"/>
        </w:rPr>
        <w:t>after any</w:t>
        <w:tab/>
        <w:t>Rescheduling</w:t>
        <w:tab/>
        <w:t>Period</w:t>
      </w:r>
    </w:p>
    <w:p>
      <w:pPr>
        <w:spacing w:after="0" w:line="6" w:lineRule="exact"/>
        <w:rPr>
          <w:sz w:val="20"/>
          <w:szCs w:val="20"/>
          <w:color w:val="auto"/>
        </w:rPr>
      </w:pPr>
    </w:p>
    <w:p>
      <w:pPr>
        <w:ind w:left="4140"/>
        <w:spacing w:after="0"/>
        <w:tabs>
          <w:tab w:leader="none" w:pos="5020" w:val="left"/>
          <w:tab w:leader="none" w:pos="5980" w:val="left"/>
        </w:tabs>
        <w:rPr>
          <w:sz w:val="20"/>
          <w:szCs w:val="20"/>
          <w:color w:val="auto"/>
        </w:rPr>
      </w:pPr>
      <w:r>
        <w:rPr>
          <w:rFonts w:ascii="Courier New" w:cs="Courier New" w:eastAsia="Courier New" w:hAnsi="Courier New"/>
          <w:sz w:val="12"/>
          <w:szCs w:val="12"/>
          <w:color w:val="auto"/>
        </w:rPr>
        <w:t>(including</w:t>
        <w:tab/>
        <w:t>non-payment</w:t>
        <w:tab/>
        <w:t>on due</w:t>
      </w:r>
    </w:p>
    <w:p>
      <w:pPr>
        <w:spacing w:after="0" w:line="6" w:lineRule="exact"/>
        <w:rPr>
          <w:sz w:val="20"/>
          <w:szCs w:val="20"/>
          <w:color w:val="auto"/>
        </w:rPr>
      </w:pPr>
    </w:p>
    <w:p>
      <w:pPr>
        <w:ind w:left="4140"/>
        <w:spacing w:after="0"/>
        <w:tabs>
          <w:tab w:leader="none" w:pos="4640" w:val="left"/>
          <w:tab w:leader="none" w:pos="5020" w:val="left"/>
          <w:tab w:leader="none" w:pos="5520" w:val="left"/>
          <w:tab w:leader="none" w:pos="6260" w:val="left"/>
        </w:tabs>
        <w:rPr>
          <w:sz w:val="20"/>
          <w:szCs w:val="20"/>
          <w:color w:val="auto"/>
        </w:rPr>
      </w:pPr>
      <w:r>
        <w:rPr>
          <w:rFonts w:ascii="Courier New" w:cs="Courier New" w:eastAsia="Courier New" w:hAnsi="Courier New"/>
          <w:sz w:val="12"/>
          <w:szCs w:val="12"/>
          <w:color w:val="auto"/>
        </w:rPr>
        <w:t>date</w:t>
        <w:tab/>
        <w:t>of</w:t>
        <w:tab/>
        <w:t>any</w:t>
      </w:r>
      <w:r>
        <w:rPr>
          <w:sz w:val="20"/>
          <w:szCs w:val="20"/>
          <w:color w:val="auto"/>
        </w:rPr>
        <w:tab/>
      </w:r>
      <w:r>
        <w:rPr>
          <w:rFonts w:ascii="Courier New" w:cs="Courier New" w:eastAsia="Courier New" w:hAnsi="Courier New"/>
          <w:sz w:val="12"/>
          <w:szCs w:val="12"/>
          <w:color w:val="auto"/>
        </w:rPr>
        <w:t>amount</w:t>
      </w:r>
      <w:r>
        <w:rPr>
          <w:sz w:val="20"/>
          <w:szCs w:val="20"/>
          <w:color w:val="auto"/>
        </w:rPr>
        <w:tab/>
      </w:r>
      <w:r>
        <w:rPr>
          <w:rFonts w:ascii="Courier New" w:cs="Courier New" w:eastAsia="Courier New" w:hAnsi="Courier New"/>
          <w:sz w:val="12"/>
          <w:szCs w:val="12"/>
          <w:color w:val="auto"/>
        </w:rPr>
        <w:t>of</w:t>
      </w:r>
    </w:p>
    <w:p>
      <w:pPr>
        <w:spacing w:after="0" w:line="6" w:lineRule="exact"/>
        <w:rPr>
          <w:sz w:val="20"/>
          <w:szCs w:val="20"/>
          <w:color w:val="auto"/>
        </w:rPr>
      </w:pPr>
    </w:p>
    <w:p>
      <w:pPr>
        <w:ind w:left="4140"/>
        <w:spacing w:after="0"/>
        <w:tabs>
          <w:tab w:leader="none" w:pos="5900" w:val="left"/>
        </w:tabs>
        <w:rPr>
          <w:sz w:val="20"/>
          <w:szCs w:val="20"/>
          <w:color w:val="auto"/>
        </w:rPr>
      </w:pPr>
      <w:r>
        <w:rPr>
          <w:rFonts w:ascii="Courier New" w:cs="Courier New" w:eastAsia="Courier New" w:hAnsi="Courier New"/>
          <w:sz w:val="12"/>
          <w:szCs w:val="12"/>
          <w:color w:val="auto"/>
        </w:rPr>
        <w:t>principal or Interest,</w:t>
        <w:tab/>
        <w:t>whether</w:t>
      </w:r>
    </w:p>
    <w:p>
      <w:pPr>
        <w:spacing w:after="0" w:line="6" w:lineRule="exact"/>
        <w:rPr>
          <w:sz w:val="20"/>
          <w:szCs w:val="20"/>
          <w:color w:val="auto"/>
        </w:rPr>
      </w:pPr>
    </w:p>
    <w:p>
      <w:pPr>
        <w:ind w:left="4140"/>
        <w:spacing w:after="0"/>
        <w:tabs>
          <w:tab w:leader="none" w:pos="4860" w:val="left"/>
          <w:tab w:leader="none" w:pos="5160" w:val="left"/>
          <w:tab w:leader="none" w:pos="5520" w:val="left"/>
        </w:tabs>
        <w:rPr>
          <w:sz w:val="20"/>
          <w:szCs w:val="20"/>
          <w:color w:val="auto"/>
        </w:rPr>
      </w:pPr>
      <w:r>
        <w:rPr>
          <w:rFonts w:ascii="Courier New" w:cs="Courier New" w:eastAsia="Courier New" w:hAnsi="Courier New"/>
          <w:sz w:val="12"/>
          <w:szCs w:val="12"/>
          <w:color w:val="auto"/>
        </w:rPr>
        <w:t>pursuant</w:t>
        <w:tab/>
        <w:t>to</w:t>
        <w:tab/>
        <w:t>any</w:t>
        <w:tab/>
        <w:t>rescheduling</w:t>
      </w:r>
    </w:p>
    <w:p>
      <w:pPr>
        <w:spacing w:after="0" w:line="6" w:lineRule="exact"/>
        <w:rPr>
          <w:sz w:val="20"/>
          <w:szCs w:val="20"/>
          <w:color w:val="auto"/>
        </w:rPr>
      </w:pPr>
    </w:p>
    <w:p>
      <w:pPr>
        <w:ind w:left="4140"/>
        <w:spacing w:after="0"/>
        <w:tabs>
          <w:tab w:leader="none" w:pos="4940" w:val="left"/>
          <w:tab w:leader="none" w:pos="5240" w:val="left"/>
          <w:tab w:leader="none" w:pos="6200" w:val="left"/>
        </w:tabs>
        <w:rPr>
          <w:sz w:val="20"/>
          <w:szCs w:val="20"/>
          <w:color w:val="auto"/>
        </w:rPr>
      </w:pPr>
      <w:r>
        <w:rPr>
          <w:rFonts w:ascii="Courier New" w:cs="Courier New" w:eastAsia="Courier New" w:hAnsi="Courier New"/>
          <w:sz w:val="12"/>
          <w:szCs w:val="12"/>
          <w:color w:val="auto"/>
        </w:rPr>
        <w:t>agreement</w:t>
        <w:tab/>
        <w:t>or</w:t>
        <w:tab/>
        <w:t>otherwise),</w:t>
        <w:tab/>
        <w:t>the</w:t>
      </w:r>
    </w:p>
    <w:p>
      <w:pPr>
        <w:spacing w:after="0" w:line="6" w:lineRule="exact"/>
        <w:rPr>
          <w:sz w:val="20"/>
          <w:szCs w:val="20"/>
          <w:color w:val="auto"/>
        </w:rPr>
      </w:pPr>
    </w:p>
    <w:p>
      <w:pPr>
        <w:jc w:val="both"/>
        <w:ind w:left="4140"/>
        <w:spacing w:after="0"/>
        <w:tabs>
          <w:tab w:leader="none" w:pos="5460" w:val="left"/>
          <w:tab w:leader="none" w:pos="6120" w:val="left"/>
        </w:tabs>
        <w:rPr>
          <w:sz w:val="20"/>
          <w:szCs w:val="20"/>
          <w:color w:val="auto"/>
        </w:rPr>
      </w:pPr>
      <w:r>
        <w:rPr>
          <w:rFonts w:ascii="Courier New" w:cs="Courier New" w:eastAsia="Courier New" w:hAnsi="Courier New"/>
          <w:sz w:val="12"/>
          <w:szCs w:val="12"/>
          <w:color w:val="auto"/>
        </w:rPr>
        <w:t>provisions</w:t>
      </w:r>
      <w:r>
        <w:rPr>
          <w:sz w:val="20"/>
          <w:szCs w:val="20"/>
          <w:color w:val="auto"/>
        </w:rPr>
        <w:tab/>
      </w:r>
      <w:r>
        <w:rPr>
          <w:rFonts w:ascii="Courier New" w:cs="Courier New" w:eastAsia="Courier New" w:hAnsi="Courier New"/>
          <w:sz w:val="12"/>
          <w:szCs w:val="12"/>
          <w:color w:val="auto"/>
        </w:rPr>
        <w:t>of</w:t>
      </w:r>
      <w:r>
        <w:rPr>
          <w:sz w:val="20"/>
          <w:szCs w:val="20"/>
          <w:color w:val="auto"/>
        </w:rPr>
        <w:tab/>
      </w:r>
      <w:r>
        <w:rPr>
          <w:rFonts w:ascii="Courier New" w:cs="Courier New" w:eastAsia="Courier New" w:hAnsi="Courier New"/>
          <w:sz w:val="12"/>
          <w:szCs w:val="12"/>
          <w:color w:val="auto"/>
        </w:rPr>
        <w:t>this</w:t>
      </w:r>
    </w:p>
    <w:p>
      <w:pPr>
        <w:spacing w:after="0" w:line="6" w:lineRule="exact"/>
        <w:rPr>
          <w:sz w:val="20"/>
          <w:szCs w:val="20"/>
          <w:color w:val="auto"/>
        </w:rPr>
      </w:pPr>
    </w:p>
    <w:p>
      <w:pPr>
        <w:ind w:left="4140"/>
        <w:spacing w:after="0"/>
        <w:tabs>
          <w:tab w:leader="none" w:pos="5460" w:val="left"/>
          <w:tab w:leader="none" w:pos="6040" w:val="left"/>
        </w:tabs>
        <w:rPr>
          <w:sz w:val="20"/>
          <w:szCs w:val="20"/>
          <w:color w:val="auto"/>
        </w:rPr>
      </w:pPr>
      <w:r>
        <w:rPr>
          <w:rFonts w:ascii="Courier New" w:cs="Courier New" w:eastAsia="Courier New" w:hAnsi="Courier New"/>
          <w:sz w:val="12"/>
          <w:szCs w:val="12"/>
          <w:color w:val="auto"/>
        </w:rPr>
        <w:t>paragraph (ii)</w:t>
      </w:r>
      <w:r>
        <w:rPr>
          <w:sz w:val="20"/>
          <w:szCs w:val="20"/>
          <w:color w:val="auto"/>
        </w:rPr>
        <w:tab/>
      </w:r>
      <w:r>
        <w:rPr>
          <w:rFonts w:ascii="Courier New" w:cs="Courier New" w:eastAsia="Courier New" w:hAnsi="Courier New"/>
          <w:sz w:val="12"/>
          <w:szCs w:val="12"/>
          <w:color w:val="auto"/>
        </w:rPr>
        <w:t>shall</w:t>
        <w:tab/>
        <w:t>again</w:t>
      </w:r>
    </w:p>
    <w:p>
      <w:pPr>
        <w:spacing w:after="0" w:line="6" w:lineRule="exact"/>
        <w:rPr>
          <w:sz w:val="20"/>
          <w:szCs w:val="20"/>
          <w:color w:val="auto"/>
        </w:rPr>
      </w:pPr>
    </w:p>
    <w:p>
      <w:pPr>
        <w:ind w:left="4140"/>
        <w:spacing w:after="0"/>
        <w:tabs>
          <w:tab w:leader="none" w:pos="4720" w:val="left"/>
          <w:tab w:leader="none" w:pos="5380" w:val="left"/>
          <w:tab w:leader="none" w:pos="6120" w:val="left"/>
        </w:tabs>
        <w:rPr>
          <w:sz w:val="20"/>
          <w:szCs w:val="20"/>
          <w:color w:val="auto"/>
        </w:rPr>
      </w:pPr>
      <w:r>
        <w:rPr>
          <w:rFonts w:ascii="Courier New" w:cs="Courier New" w:eastAsia="Courier New" w:hAnsi="Courier New"/>
          <w:sz w:val="12"/>
          <w:szCs w:val="12"/>
          <w:color w:val="auto"/>
        </w:rPr>
        <w:t>apply,</w:t>
        <w:tab/>
        <w:t>MUTATIS</w:t>
        <w:tab/>
        <w:t>MUTANDIS</w:t>
        <w:tab/>
        <w:t>(all</w:t>
      </w:r>
    </w:p>
    <w:p>
      <w:pPr>
        <w:spacing w:after="0" w:line="6" w:lineRule="exact"/>
        <w:rPr>
          <w:sz w:val="20"/>
          <w:szCs w:val="20"/>
          <w:color w:val="auto"/>
        </w:rPr>
      </w:pPr>
    </w:p>
    <w:p>
      <w:pPr>
        <w:ind w:left="4140"/>
        <w:spacing w:after="0"/>
        <w:tabs>
          <w:tab w:leader="none" w:pos="5020" w:val="left"/>
          <w:tab w:leader="none" w:pos="6120" w:val="left"/>
        </w:tabs>
        <w:rPr>
          <w:sz w:val="20"/>
          <w:szCs w:val="20"/>
          <w:color w:val="auto"/>
        </w:rPr>
      </w:pPr>
      <w:r>
        <w:rPr>
          <w:rFonts w:ascii="Courier New" w:cs="Courier New" w:eastAsia="Courier New" w:hAnsi="Courier New"/>
          <w:sz w:val="12"/>
          <w:szCs w:val="12"/>
          <w:color w:val="auto"/>
        </w:rPr>
        <w:t>without</w:t>
      </w:r>
      <w:r>
        <w:rPr>
          <w:sz w:val="20"/>
          <w:szCs w:val="20"/>
          <w:color w:val="auto"/>
        </w:rPr>
        <w:tab/>
      </w:r>
      <w:r>
        <w:rPr>
          <w:rFonts w:ascii="Courier New" w:cs="Courier New" w:eastAsia="Courier New" w:hAnsi="Courier New"/>
          <w:sz w:val="12"/>
          <w:szCs w:val="12"/>
          <w:color w:val="auto"/>
        </w:rPr>
        <w:t>derogating</w:t>
      </w:r>
      <w:r>
        <w:rPr>
          <w:sz w:val="20"/>
          <w:szCs w:val="20"/>
          <w:color w:val="auto"/>
        </w:rPr>
        <w:tab/>
      </w:r>
      <w:r>
        <w:rPr>
          <w:rFonts w:ascii="Courier New" w:cs="Courier New" w:eastAsia="Courier New" w:hAnsi="Courier New"/>
          <w:sz w:val="12"/>
          <w:szCs w:val="12"/>
          <w:color w:val="auto"/>
        </w:rPr>
        <w:t>from</w:t>
      </w:r>
    </w:p>
    <w:p>
      <w:pPr>
        <w:spacing w:after="0" w:line="6" w:lineRule="exact"/>
        <w:rPr>
          <w:sz w:val="20"/>
          <w:szCs w:val="20"/>
          <w:color w:val="auto"/>
        </w:rPr>
      </w:pPr>
    </w:p>
    <w:p>
      <w:pPr>
        <w:ind w:left="4140"/>
        <w:spacing w:after="0"/>
        <w:rPr>
          <w:sz w:val="20"/>
          <w:szCs w:val="20"/>
          <w:color w:val="auto"/>
        </w:rPr>
      </w:pPr>
      <w:r>
        <w:rPr>
          <w:rFonts w:ascii="Courier New" w:cs="Courier New" w:eastAsia="Courier New" w:hAnsi="Courier New"/>
          <w:sz w:val="12"/>
          <w:szCs w:val="12"/>
          <w:color w:val="auto"/>
        </w:rPr>
        <w:t>paragraph (iii) below);</w:t>
      </w:r>
    </w:p>
    <w:p>
      <w:pPr>
        <w:spacing w:after="0" w:line="289"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- 55 -</w:t>
      </w:r>
    </w:p>
    <w:p>
      <w:pPr>
        <w:spacing w:after="0" w:line="200" w:lineRule="exact"/>
        <w:rPr>
          <w:sz w:val="20"/>
          <w:szCs w:val="20"/>
          <w:color w:val="auto"/>
        </w:rPr>
      </w:pPr>
    </w:p>
    <w:p>
      <w:pPr>
        <w:spacing w:after="0" w:line="353" w:lineRule="exact"/>
        <w:rPr>
          <w:sz w:val="20"/>
          <w:szCs w:val="20"/>
          <w:color w:val="auto"/>
        </w:rPr>
      </w:pPr>
    </w:p>
    <w:p>
      <w:pPr>
        <w:jc w:val="both"/>
        <w:ind w:left="4140" w:right="2579" w:hanging="506"/>
        <w:spacing w:after="0" w:line="249" w:lineRule="auto"/>
        <w:tabs>
          <w:tab w:leader="none" w:pos="4140"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the removal of doubt, notwithstanding anything to</w:t>
      </w:r>
    </w:p>
    <w:p>
      <w:pPr>
        <w:spacing w:after="0" w:line="1" w:lineRule="exact"/>
        <w:rPr>
          <w:rFonts w:ascii="Courier New" w:cs="Courier New" w:eastAsia="Courier New" w:hAnsi="Courier New"/>
          <w:sz w:val="12"/>
          <w:szCs w:val="12"/>
          <w:color w:val="auto"/>
        </w:rPr>
      </w:pPr>
    </w:p>
    <w:p>
      <w:pPr>
        <w:ind w:left="4140" w:right="2579"/>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contrary in this paragraph (j):</w:t>
      </w:r>
    </w:p>
    <w:p>
      <w:pPr>
        <w:spacing w:after="0" w:line="138" w:lineRule="exact"/>
        <w:rPr>
          <w:rFonts w:ascii="Courier New" w:cs="Courier New" w:eastAsia="Courier New" w:hAnsi="Courier New"/>
          <w:sz w:val="12"/>
          <w:szCs w:val="12"/>
          <w:color w:val="auto"/>
        </w:rPr>
      </w:pPr>
    </w:p>
    <w:p>
      <w:pPr>
        <w:ind w:left="4660" w:hanging="510"/>
        <w:spacing w:after="0"/>
        <w:tabs>
          <w:tab w:leader="none" w:pos="4660" w:val="left"/>
        </w:tabs>
        <w:numPr>
          <w:ilvl w:val="1"/>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that:</w:t>
      </w:r>
    </w:p>
    <w:p>
      <w:pPr>
        <w:spacing w:after="0" w:line="147" w:lineRule="exact"/>
        <w:rPr>
          <w:rFonts w:ascii="Courier New" w:cs="Courier New" w:eastAsia="Courier New" w:hAnsi="Courier New"/>
          <w:sz w:val="12"/>
          <w:szCs w:val="12"/>
          <w:color w:val="auto"/>
        </w:rPr>
      </w:pPr>
    </w:p>
    <w:p>
      <w:pPr>
        <w:ind w:left="4960" w:hanging="295"/>
        <w:spacing w:after="0"/>
        <w:tabs>
          <w:tab w:leader="none" w:pos="4960" w:val="left"/>
        </w:tabs>
        <w:numPr>
          <w:ilvl w:val="2"/>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holders  of the</w:t>
      </w:r>
    </w:p>
    <w:p>
      <w:pPr>
        <w:spacing w:after="0" w:line="5" w:lineRule="exact"/>
        <w:rPr>
          <w:rFonts w:ascii="Courier New" w:cs="Courier New" w:eastAsia="Courier New" w:hAnsi="Courier New"/>
          <w:sz w:val="12"/>
          <w:szCs w:val="12"/>
          <w:color w:val="auto"/>
        </w:rPr>
      </w:pPr>
    </w:p>
    <w:p>
      <w:pPr>
        <w:jc w:val="both"/>
        <w:ind w:left="466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Equity Convertible Debentures (or anybody acting on their behalf, including the trustee)</w:t>
      </w:r>
    </w:p>
    <w:p>
      <w:pPr>
        <w:spacing w:after="0" w:line="2" w:lineRule="exact"/>
        <w:rPr>
          <w:rFonts w:ascii="Courier New" w:cs="Courier New" w:eastAsia="Courier New" w:hAnsi="Courier New"/>
          <w:sz w:val="12"/>
          <w:szCs w:val="12"/>
          <w:color w:val="auto"/>
        </w:rPr>
      </w:pPr>
    </w:p>
    <w:p>
      <w:pPr>
        <w:jc w:val="both"/>
        <w:ind w:left="4660" w:right="257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shall institute any Proceedings against the Borrower, save only for</w:t>
      </w:r>
    </w:p>
    <w:p>
      <w:pPr>
        <w:spacing w:after="0" w:line="1" w:lineRule="exact"/>
        <w:rPr>
          <w:rFonts w:ascii="Courier New" w:cs="Courier New" w:eastAsia="Courier New" w:hAnsi="Courier New"/>
          <w:sz w:val="12"/>
          <w:szCs w:val="12"/>
          <w:color w:val="auto"/>
        </w:rPr>
      </w:pPr>
    </w:p>
    <w:p>
      <w:pPr>
        <w:ind w:left="466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ExcludedProceedings.</w:t>
      </w:r>
    </w:p>
    <w:p>
      <w:pPr>
        <w:spacing w:after="0" w:line="5" w:lineRule="exact"/>
        <w:rPr>
          <w:rFonts w:ascii="Courier New" w:cs="Courier New" w:eastAsia="Courier New" w:hAnsi="Courier New"/>
          <w:sz w:val="12"/>
          <w:szCs w:val="12"/>
          <w:color w:val="auto"/>
        </w:rPr>
      </w:pPr>
    </w:p>
    <w:p>
      <w:pPr>
        <w:jc w:val="both"/>
        <w:ind w:left="4660" w:right="257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"EXCLUDED PROCEEDINGS" shall mean any of the following:</w:t>
      </w:r>
    </w:p>
    <w:p>
      <w:pPr>
        <w:spacing w:after="0" w:line="140" w:lineRule="exact"/>
        <w:rPr>
          <w:sz w:val="20"/>
          <w:szCs w:val="20"/>
          <w:color w:val="auto"/>
        </w:rPr>
      </w:pPr>
    </w:p>
    <w:tbl>
      <w:tblPr>
        <w:tblLayout w:type="fixed"/>
        <w:tblInd w:w="4660" w:type="dxa"/>
        <w:tblCellMar>
          <w:top w:w="0" w:type="dxa"/>
          <w:left w:w="0" w:type="dxa"/>
          <w:bottom w:w="0" w:type="dxa"/>
          <w:right w:w="0" w:type="dxa"/>
        </w:tblCellMar>
      </w:tblPr>
      <w:tr>
        <w:trPr>
          <w:trHeight w:val="138"/>
        </w:trPr>
        <w:tc>
          <w:tcPr>
            <w:tcW w:w="1340" w:type="dxa"/>
            <w:vAlign w:val="bottom"/>
            <w:gridSpan w:val="5"/>
          </w:tcPr>
          <w:p>
            <w:pPr>
              <w:spacing w:after="0"/>
              <w:rPr>
                <w:sz w:val="20"/>
                <w:szCs w:val="20"/>
                <w:color w:val="auto"/>
              </w:rPr>
            </w:pPr>
            <w:r>
              <w:rPr>
                <w:rFonts w:ascii="Courier New" w:cs="Courier New" w:eastAsia="Courier New" w:hAnsi="Courier New"/>
                <w:sz w:val="12"/>
                <w:szCs w:val="12"/>
                <w:color w:val="auto"/>
              </w:rPr>
              <w:t>(I) Proceedings</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where</w:t>
            </w:r>
          </w:p>
        </w:tc>
      </w:tr>
      <w:tr>
        <w:trPr>
          <w:trHeight w:val="142"/>
        </w:trPr>
        <w:tc>
          <w:tcPr>
            <w:tcW w:w="300" w:type="dxa"/>
            <w:vAlign w:val="bottom"/>
          </w:tcPr>
          <w:p>
            <w:pPr>
              <w:spacing w:after="0"/>
              <w:rPr>
                <w:sz w:val="20"/>
                <w:szCs w:val="20"/>
                <w:color w:val="auto"/>
              </w:rPr>
            </w:pPr>
            <w:r>
              <w:rPr>
                <w:rFonts w:ascii="Courier New" w:cs="Courier New" w:eastAsia="Courier New" w:hAnsi="Courier New"/>
                <w:sz w:val="12"/>
                <w:szCs w:val="12"/>
                <w:color w:val="auto"/>
              </w:rPr>
              <w:t>the</w:t>
            </w: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sole</w:t>
            </w:r>
          </w:p>
        </w:tc>
        <w:tc>
          <w:tcPr>
            <w:tcW w:w="52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w w:val="94"/>
              </w:rPr>
              <w:t>claim</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of the</w:t>
            </w:r>
          </w:p>
        </w:tc>
      </w:tr>
      <w:tr>
        <w:trPr>
          <w:trHeight w:val="142"/>
        </w:trPr>
        <w:tc>
          <w:tcPr>
            <w:tcW w:w="600" w:type="dxa"/>
            <w:vAlign w:val="bottom"/>
            <w:gridSpan w:val="2"/>
          </w:tcPr>
          <w:p>
            <w:pPr>
              <w:spacing w:after="0"/>
              <w:rPr>
                <w:sz w:val="20"/>
                <w:szCs w:val="20"/>
                <w:color w:val="auto"/>
              </w:rPr>
            </w:pPr>
            <w:r>
              <w:rPr>
                <w:rFonts w:ascii="Courier New" w:cs="Courier New" w:eastAsia="Courier New" w:hAnsi="Courier New"/>
                <w:sz w:val="12"/>
                <w:szCs w:val="12"/>
                <w:color w:val="auto"/>
              </w:rPr>
              <w:t>holders</w:t>
            </w:r>
          </w:p>
        </w:tc>
        <w:tc>
          <w:tcPr>
            <w:tcW w:w="220" w:type="dxa"/>
            <w:vAlign w:val="bottom"/>
          </w:tcPr>
          <w:p>
            <w:pPr>
              <w:jc w:val="center"/>
              <w:spacing w:after="0"/>
              <w:rPr>
                <w:sz w:val="20"/>
                <w:szCs w:val="20"/>
                <w:color w:val="auto"/>
              </w:rPr>
            </w:pPr>
            <w:r>
              <w:rPr>
                <w:rFonts w:ascii="Courier New" w:cs="Courier New" w:eastAsia="Courier New" w:hAnsi="Courier New"/>
                <w:sz w:val="12"/>
                <w:szCs w:val="12"/>
                <w:color w:val="auto"/>
              </w:rPr>
              <w:t>of</w:t>
            </w:r>
          </w:p>
        </w:tc>
        <w:tc>
          <w:tcPr>
            <w:tcW w:w="52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the</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Equity</w:t>
            </w:r>
          </w:p>
        </w:tc>
      </w:tr>
      <w:tr>
        <w:trPr>
          <w:trHeight w:val="142"/>
        </w:trPr>
        <w:tc>
          <w:tcPr>
            <w:tcW w:w="820" w:type="dxa"/>
            <w:vAlign w:val="bottom"/>
            <w:gridSpan w:val="3"/>
          </w:tcPr>
          <w:p>
            <w:pPr>
              <w:spacing w:after="0"/>
              <w:rPr>
                <w:sz w:val="20"/>
                <w:szCs w:val="20"/>
                <w:color w:val="auto"/>
              </w:rPr>
            </w:pPr>
            <w:r>
              <w:rPr>
                <w:rFonts w:ascii="Courier New" w:cs="Courier New" w:eastAsia="Courier New" w:hAnsi="Courier New"/>
                <w:sz w:val="12"/>
                <w:szCs w:val="12"/>
                <w:color w:val="auto"/>
              </w:rPr>
              <w:t>Convertible</w:t>
            </w:r>
          </w:p>
        </w:tc>
        <w:tc>
          <w:tcPr>
            <w:tcW w:w="22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9"/>
              </w:rPr>
              <w:t>Debentures</w:t>
            </w:r>
          </w:p>
        </w:tc>
      </w:tr>
      <w:tr>
        <w:trPr>
          <w:trHeight w:val="142"/>
        </w:trPr>
        <w:tc>
          <w:tcPr>
            <w:tcW w:w="300" w:type="dxa"/>
            <w:vAlign w:val="bottom"/>
          </w:tcPr>
          <w:p>
            <w:pPr>
              <w:spacing w:after="0"/>
              <w:rPr>
                <w:sz w:val="20"/>
                <w:szCs w:val="20"/>
                <w:color w:val="auto"/>
              </w:rPr>
            </w:pPr>
            <w:r>
              <w:rPr>
                <w:rFonts w:ascii="Courier New" w:cs="Courier New" w:eastAsia="Courier New" w:hAnsi="Courier New"/>
                <w:sz w:val="12"/>
                <w:szCs w:val="12"/>
                <w:color w:val="auto"/>
              </w:rPr>
              <w:t>is</w:t>
            </w: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rPr>
              <w:t>in</w:t>
            </w:r>
          </w:p>
        </w:tc>
        <w:tc>
          <w:tcPr>
            <w:tcW w:w="22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respect</w:t>
            </w: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040" w:type="dxa"/>
            <w:vAlign w:val="bottom"/>
            <w:gridSpan w:val="4"/>
          </w:tcPr>
          <w:p>
            <w:pPr>
              <w:spacing w:after="0"/>
              <w:rPr>
                <w:sz w:val="20"/>
                <w:szCs w:val="20"/>
                <w:color w:val="auto"/>
              </w:rPr>
            </w:pPr>
            <w:r>
              <w:rPr>
                <w:rFonts w:ascii="Courier New" w:cs="Courier New" w:eastAsia="Courier New" w:hAnsi="Courier New"/>
                <w:sz w:val="12"/>
                <w:szCs w:val="12"/>
                <w:color w:val="auto"/>
              </w:rPr>
              <w:t>failure by the</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Borrower</w:t>
            </w:r>
          </w:p>
        </w:tc>
      </w:tr>
      <w:tr>
        <w:trPr>
          <w:trHeight w:val="142"/>
        </w:trPr>
        <w:tc>
          <w:tcPr>
            <w:tcW w:w="300" w:type="dxa"/>
            <w:vAlign w:val="bottom"/>
          </w:tcPr>
          <w:p>
            <w:pPr>
              <w:spacing w:after="0"/>
              <w:rPr>
                <w:sz w:val="20"/>
                <w:szCs w:val="20"/>
                <w:color w:val="auto"/>
              </w:rPr>
            </w:pPr>
            <w:r>
              <w:rPr>
                <w:rFonts w:ascii="Courier New" w:cs="Courier New" w:eastAsia="Courier New" w:hAnsi="Courier New"/>
                <w:sz w:val="12"/>
                <w:szCs w:val="12"/>
                <w:color w:val="auto"/>
              </w:rPr>
              <w:t>to</w:t>
            </w: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make</w:t>
            </w:r>
          </w:p>
        </w:tc>
        <w:tc>
          <w:tcPr>
            <w:tcW w:w="220" w:type="dxa"/>
            <w:vAlign w:val="bottom"/>
          </w:tcPr>
          <w:p>
            <w:pPr>
              <w:ind w:left="60"/>
              <w:spacing w:after="0"/>
              <w:rPr>
                <w:sz w:val="20"/>
                <w:szCs w:val="20"/>
                <w:color w:val="auto"/>
              </w:rPr>
            </w:pPr>
            <w:r>
              <w:rPr>
                <w:rFonts w:ascii="Courier New" w:cs="Courier New" w:eastAsia="Courier New" w:hAnsi="Courier New"/>
                <w:sz w:val="12"/>
                <w:szCs w:val="12"/>
                <w:color w:val="auto"/>
              </w:rPr>
              <w:t>a</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payment</w:t>
            </w:r>
          </w:p>
        </w:tc>
      </w:tr>
      <w:tr>
        <w:trPr>
          <w:trHeight w:val="142"/>
        </w:trPr>
        <w:tc>
          <w:tcPr>
            <w:tcW w:w="820" w:type="dxa"/>
            <w:vAlign w:val="bottom"/>
            <w:gridSpan w:val="3"/>
          </w:tcPr>
          <w:p>
            <w:pPr>
              <w:spacing w:after="0"/>
              <w:rPr>
                <w:sz w:val="20"/>
                <w:szCs w:val="20"/>
                <w:color w:val="auto"/>
              </w:rPr>
            </w:pPr>
            <w:r>
              <w:rPr>
                <w:rFonts w:ascii="Courier New" w:cs="Courier New" w:eastAsia="Courier New" w:hAnsi="Courier New"/>
                <w:sz w:val="12"/>
                <w:szCs w:val="12"/>
                <w:color w:val="auto"/>
              </w:rPr>
              <w:t>permitted</w:t>
            </w:r>
          </w:p>
        </w:tc>
        <w:tc>
          <w:tcPr>
            <w:tcW w:w="96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to be paid by</w:t>
            </w:r>
          </w:p>
        </w:tc>
      </w:tr>
      <w:tr>
        <w:trPr>
          <w:trHeight w:val="142"/>
        </w:trPr>
        <w:tc>
          <w:tcPr>
            <w:tcW w:w="300" w:type="dxa"/>
            <w:vAlign w:val="bottom"/>
          </w:tcPr>
          <w:p>
            <w:pPr>
              <w:spacing w:after="0"/>
              <w:rPr>
                <w:sz w:val="20"/>
                <w:szCs w:val="20"/>
                <w:color w:val="auto"/>
              </w:rPr>
            </w:pPr>
            <w:r>
              <w:rPr>
                <w:rFonts w:ascii="Courier New" w:cs="Courier New" w:eastAsia="Courier New" w:hAnsi="Courier New"/>
                <w:sz w:val="12"/>
                <w:szCs w:val="12"/>
                <w:color w:val="auto"/>
              </w:rPr>
              <w:t>the</w:t>
            </w:r>
          </w:p>
        </w:tc>
        <w:tc>
          <w:tcPr>
            <w:tcW w:w="740" w:type="dxa"/>
            <w:vAlign w:val="bottom"/>
            <w:gridSpan w:val="3"/>
          </w:tcPr>
          <w:p>
            <w:pPr>
              <w:jc w:val="center"/>
              <w:ind w:left="79"/>
              <w:spacing w:after="0"/>
              <w:rPr>
                <w:sz w:val="20"/>
                <w:szCs w:val="20"/>
                <w:color w:val="auto"/>
              </w:rPr>
            </w:pPr>
            <w:r>
              <w:rPr>
                <w:rFonts w:ascii="Courier New" w:cs="Courier New" w:eastAsia="Courier New" w:hAnsi="Courier New"/>
                <w:sz w:val="12"/>
                <w:szCs w:val="12"/>
                <w:color w:val="auto"/>
              </w:rPr>
              <w:t>Borrower</w:t>
            </w:r>
          </w:p>
        </w:tc>
        <w:tc>
          <w:tcPr>
            <w:tcW w:w="5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to</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the</w:t>
            </w:r>
          </w:p>
        </w:tc>
      </w:tr>
      <w:tr>
        <w:trPr>
          <w:trHeight w:val="142"/>
        </w:trPr>
        <w:tc>
          <w:tcPr>
            <w:tcW w:w="600" w:type="dxa"/>
            <w:vAlign w:val="bottom"/>
            <w:gridSpan w:val="2"/>
          </w:tcPr>
          <w:p>
            <w:pPr>
              <w:spacing w:after="0"/>
              <w:rPr>
                <w:sz w:val="20"/>
                <w:szCs w:val="20"/>
                <w:color w:val="auto"/>
              </w:rPr>
            </w:pPr>
            <w:r>
              <w:rPr>
                <w:rFonts w:ascii="Courier New" w:cs="Courier New" w:eastAsia="Courier New" w:hAnsi="Courier New"/>
                <w:sz w:val="12"/>
                <w:szCs w:val="12"/>
                <w:color w:val="auto"/>
              </w:rPr>
              <w:t>holders</w:t>
            </w:r>
          </w:p>
        </w:tc>
        <w:tc>
          <w:tcPr>
            <w:tcW w:w="220" w:type="dxa"/>
            <w:vAlign w:val="bottom"/>
          </w:tcPr>
          <w:p>
            <w:pPr>
              <w:jc w:val="center"/>
              <w:spacing w:after="0"/>
              <w:rPr>
                <w:sz w:val="20"/>
                <w:szCs w:val="20"/>
                <w:color w:val="auto"/>
              </w:rPr>
            </w:pPr>
            <w:r>
              <w:rPr>
                <w:rFonts w:ascii="Courier New" w:cs="Courier New" w:eastAsia="Courier New" w:hAnsi="Courier New"/>
                <w:sz w:val="12"/>
                <w:szCs w:val="12"/>
                <w:color w:val="auto"/>
              </w:rPr>
              <w:t>of</w:t>
            </w:r>
          </w:p>
        </w:tc>
        <w:tc>
          <w:tcPr>
            <w:tcW w:w="52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the</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Equity</w:t>
            </w:r>
          </w:p>
        </w:tc>
      </w:tr>
      <w:tr>
        <w:trPr>
          <w:trHeight w:val="142"/>
        </w:trPr>
        <w:tc>
          <w:tcPr>
            <w:tcW w:w="820" w:type="dxa"/>
            <w:vAlign w:val="bottom"/>
            <w:gridSpan w:val="3"/>
          </w:tcPr>
          <w:p>
            <w:pPr>
              <w:spacing w:after="0"/>
              <w:rPr>
                <w:sz w:val="20"/>
                <w:szCs w:val="20"/>
                <w:color w:val="auto"/>
              </w:rPr>
            </w:pPr>
            <w:r>
              <w:rPr>
                <w:rFonts w:ascii="Courier New" w:cs="Courier New" w:eastAsia="Courier New" w:hAnsi="Courier New"/>
                <w:sz w:val="12"/>
                <w:szCs w:val="12"/>
                <w:color w:val="auto"/>
              </w:rPr>
              <w:t>Convertible</w:t>
            </w:r>
          </w:p>
        </w:tc>
        <w:tc>
          <w:tcPr>
            <w:tcW w:w="22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9"/>
              </w:rPr>
              <w:t>Debentures</w:t>
            </w:r>
          </w:p>
        </w:tc>
      </w:tr>
      <w:tr>
        <w:trPr>
          <w:trHeight w:val="142"/>
        </w:trPr>
        <w:tc>
          <w:tcPr>
            <w:tcW w:w="300" w:type="dxa"/>
            <w:vAlign w:val="bottom"/>
          </w:tcPr>
          <w:p>
            <w:pPr>
              <w:spacing w:after="0"/>
              <w:rPr>
                <w:sz w:val="20"/>
                <w:szCs w:val="20"/>
                <w:color w:val="auto"/>
              </w:rPr>
            </w:pPr>
            <w:r>
              <w:rPr>
                <w:rFonts w:ascii="Courier New" w:cs="Courier New" w:eastAsia="Courier New" w:hAnsi="Courier New"/>
                <w:sz w:val="12"/>
                <w:szCs w:val="12"/>
                <w:color w:val="auto"/>
              </w:rPr>
              <w:t>in</w:t>
            </w:r>
          </w:p>
        </w:tc>
        <w:tc>
          <w:tcPr>
            <w:tcW w:w="1040" w:type="dxa"/>
            <w:vAlign w:val="bottom"/>
            <w:gridSpan w:val="4"/>
          </w:tcPr>
          <w:p>
            <w:pPr>
              <w:jc w:val="right"/>
              <w:ind w:right="99"/>
              <w:spacing w:after="0"/>
              <w:rPr>
                <w:sz w:val="20"/>
                <w:szCs w:val="20"/>
                <w:color w:val="auto"/>
              </w:rPr>
            </w:pPr>
            <w:r>
              <w:rPr>
                <w:rFonts w:ascii="Courier New" w:cs="Courier New" w:eastAsia="Courier New" w:hAnsi="Courier New"/>
                <w:sz w:val="12"/>
                <w:szCs w:val="12"/>
                <w:color w:val="auto"/>
              </w:rPr>
              <w:t>accordance</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with</w:t>
            </w:r>
          </w:p>
        </w:tc>
      </w:tr>
      <w:tr>
        <w:trPr>
          <w:trHeight w:val="142"/>
        </w:trPr>
        <w:tc>
          <w:tcPr>
            <w:tcW w:w="1340" w:type="dxa"/>
            <w:vAlign w:val="bottom"/>
            <w:gridSpan w:val="5"/>
          </w:tcPr>
          <w:p>
            <w:pPr>
              <w:spacing w:after="0"/>
              <w:rPr>
                <w:sz w:val="20"/>
                <w:szCs w:val="20"/>
                <w:color w:val="auto"/>
              </w:rPr>
            </w:pPr>
            <w:r>
              <w:rPr>
                <w:rFonts w:ascii="Courier New" w:cs="Courier New" w:eastAsia="Courier New" w:hAnsi="Courier New"/>
                <w:sz w:val="12"/>
                <w:szCs w:val="12"/>
                <w:color w:val="auto"/>
              </w:rPr>
              <w:t>paragraph (ii)(1)</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above</w:t>
            </w:r>
          </w:p>
        </w:tc>
      </w:tr>
      <w:tr>
        <w:trPr>
          <w:trHeight w:val="142"/>
        </w:trPr>
        <w:tc>
          <w:tcPr>
            <w:tcW w:w="300" w:type="dxa"/>
            <w:vAlign w:val="bottom"/>
          </w:tcPr>
          <w:p>
            <w:pPr>
              <w:spacing w:after="0"/>
              <w:rPr>
                <w:sz w:val="20"/>
                <w:szCs w:val="20"/>
                <w:color w:val="auto"/>
              </w:rPr>
            </w:pPr>
            <w:r>
              <w:rPr>
                <w:rFonts w:ascii="Courier New" w:cs="Courier New" w:eastAsia="Courier New" w:hAnsi="Courier New"/>
                <w:sz w:val="12"/>
                <w:szCs w:val="12"/>
                <w:color w:val="auto"/>
              </w:rPr>
              <w:t>(in</w:t>
            </w: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w w:val="92"/>
              </w:rPr>
              <w:t>the</w:t>
            </w:r>
          </w:p>
        </w:tc>
        <w:tc>
          <w:tcPr>
            <w:tcW w:w="220" w:type="dxa"/>
            <w:vAlign w:val="bottom"/>
          </w:tcPr>
          <w:p>
            <w:pPr>
              <w:spacing w:after="0"/>
              <w:rPr>
                <w:sz w:val="12"/>
                <w:szCs w:val="12"/>
                <w:color w:val="auto"/>
              </w:rPr>
            </w:pPr>
          </w:p>
        </w:tc>
        <w:tc>
          <w:tcPr>
            <w:tcW w:w="52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w w:val="94"/>
              </w:rPr>
              <w:t>event</w:t>
            </w:r>
          </w:p>
        </w:tc>
        <w:tc>
          <w:tcPr>
            <w:tcW w:w="220" w:type="dxa"/>
            <w:vAlign w:val="bottom"/>
          </w:tcPr>
          <w:p>
            <w:pPr>
              <w:ind w:left="60"/>
              <w:spacing w:after="0"/>
              <w:rPr>
                <w:sz w:val="20"/>
                <w:szCs w:val="20"/>
                <w:color w:val="auto"/>
              </w:rPr>
            </w:pPr>
            <w:r>
              <w:rPr>
                <w:rFonts w:ascii="Courier New" w:cs="Courier New" w:eastAsia="Courier New" w:hAnsi="Courier New"/>
                <w:sz w:val="12"/>
                <w:szCs w:val="12"/>
                <w:color w:val="auto"/>
                <w:w w:val="96"/>
              </w:rPr>
              <w:t>of</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a</w:t>
            </w:r>
          </w:p>
        </w:tc>
      </w:tr>
      <w:tr>
        <w:trPr>
          <w:trHeight w:val="142"/>
        </w:trPr>
        <w:tc>
          <w:tcPr>
            <w:tcW w:w="600" w:type="dxa"/>
            <w:vAlign w:val="bottom"/>
            <w:gridSpan w:val="2"/>
          </w:tcPr>
          <w:p>
            <w:pPr>
              <w:spacing w:after="0"/>
              <w:rPr>
                <w:sz w:val="20"/>
                <w:szCs w:val="20"/>
                <w:color w:val="auto"/>
              </w:rPr>
            </w:pPr>
            <w:r>
              <w:rPr>
                <w:rFonts w:ascii="Courier New" w:cs="Courier New" w:eastAsia="Courier New" w:hAnsi="Courier New"/>
                <w:sz w:val="12"/>
                <w:szCs w:val="12"/>
                <w:color w:val="auto"/>
              </w:rPr>
              <w:t>payment</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to</w:t>
            </w: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the</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Banks</w:t>
            </w:r>
          </w:p>
        </w:tc>
      </w:tr>
      <w:tr>
        <w:trPr>
          <w:trHeight w:val="142"/>
        </w:trPr>
        <w:tc>
          <w:tcPr>
            <w:tcW w:w="600" w:type="dxa"/>
            <w:vAlign w:val="bottom"/>
            <w:gridSpan w:val="2"/>
          </w:tcPr>
          <w:p>
            <w:pPr>
              <w:spacing w:after="0"/>
              <w:rPr>
                <w:sz w:val="20"/>
                <w:szCs w:val="20"/>
                <w:color w:val="auto"/>
              </w:rPr>
            </w:pPr>
            <w:r>
              <w:rPr>
                <w:rFonts w:ascii="Courier New" w:cs="Courier New" w:eastAsia="Courier New" w:hAnsi="Courier New"/>
                <w:sz w:val="12"/>
                <w:szCs w:val="12"/>
                <w:color w:val="auto"/>
              </w:rPr>
              <w:t>pursuant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to</w:t>
            </w:r>
          </w:p>
        </w:tc>
      </w:tr>
      <w:tr>
        <w:trPr>
          <w:trHeight w:val="142"/>
        </w:trPr>
        <w:tc>
          <w:tcPr>
            <w:tcW w:w="1340" w:type="dxa"/>
            <w:vAlign w:val="bottom"/>
            <w:gridSpan w:val="5"/>
          </w:tcPr>
          <w:p>
            <w:pPr>
              <w:spacing w:after="0"/>
              <w:rPr>
                <w:sz w:val="20"/>
                <w:szCs w:val="20"/>
                <w:color w:val="auto"/>
              </w:rPr>
            </w:pPr>
            <w:r>
              <w:rPr>
                <w:rFonts w:ascii="Courier New" w:cs="Courier New" w:eastAsia="Courier New" w:hAnsi="Courier New"/>
                <w:sz w:val="12"/>
                <w:szCs w:val="12"/>
                <w:color w:val="auto"/>
              </w:rPr>
              <w:t>paragraph (ii)(1)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600" w:type="dxa"/>
            <w:vAlign w:val="bottom"/>
            <w:gridSpan w:val="2"/>
          </w:tcPr>
          <w:p>
            <w:pPr>
              <w:spacing w:after="0"/>
              <w:rPr>
                <w:sz w:val="20"/>
                <w:szCs w:val="20"/>
                <w:color w:val="auto"/>
              </w:rPr>
            </w:pPr>
            <w:r>
              <w:rPr>
                <w:rFonts w:ascii="Courier New" w:cs="Courier New" w:eastAsia="Courier New" w:hAnsi="Courier New"/>
                <w:sz w:val="12"/>
                <w:szCs w:val="12"/>
                <w:color w:val="auto"/>
              </w:rPr>
              <w:t>above)</w:t>
            </w: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or</w:t>
            </w:r>
          </w:p>
        </w:tc>
        <w:tc>
          <w:tcPr>
            <w:tcW w:w="74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failure</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by</w:t>
            </w:r>
          </w:p>
        </w:tc>
      </w:tr>
      <w:tr>
        <w:trPr>
          <w:trHeight w:val="142"/>
        </w:trPr>
        <w:tc>
          <w:tcPr>
            <w:tcW w:w="300" w:type="dxa"/>
            <w:vAlign w:val="bottom"/>
          </w:tcPr>
          <w:p>
            <w:pPr>
              <w:spacing w:after="0"/>
              <w:rPr>
                <w:sz w:val="20"/>
                <w:szCs w:val="20"/>
                <w:color w:val="auto"/>
              </w:rPr>
            </w:pPr>
            <w:r>
              <w:rPr>
                <w:rFonts w:ascii="Courier New" w:cs="Courier New" w:eastAsia="Courier New" w:hAnsi="Courier New"/>
                <w:sz w:val="12"/>
                <w:szCs w:val="12"/>
                <w:color w:val="auto"/>
              </w:rPr>
              <w:t>the</w:t>
            </w:r>
          </w:p>
        </w:tc>
        <w:tc>
          <w:tcPr>
            <w:tcW w:w="74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Borrower</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to make a</w:t>
            </w:r>
          </w:p>
        </w:tc>
      </w:tr>
      <w:tr>
        <w:trPr>
          <w:trHeight w:val="142"/>
        </w:trPr>
        <w:tc>
          <w:tcPr>
            <w:tcW w:w="600" w:type="dxa"/>
            <w:vAlign w:val="bottom"/>
            <w:gridSpan w:val="2"/>
          </w:tcPr>
          <w:p>
            <w:pPr>
              <w:spacing w:after="0"/>
              <w:rPr>
                <w:sz w:val="20"/>
                <w:szCs w:val="20"/>
                <w:color w:val="auto"/>
              </w:rPr>
            </w:pPr>
            <w:r>
              <w:rPr>
                <w:rFonts w:ascii="Courier New" w:cs="Courier New" w:eastAsia="Courier New" w:hAnsi="Courier New"/>
                <w:sz w:val="12"/>
                <w:szCs w:val="12"/>
                <w:color w:val="auto"/>
              </w:rPr>
              <w:t>payment</w:t>
            </w:r>
          </w:p>
        </w:tc>
        <w:tc>
          <w:tcPr>
            <w:tcW w:w="22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under</w:t>
            </w: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a</w:t>
            </w:r>
          </w:p>
        </w:tc>
      </w:tr>
    </w:tbl>
    <w:p>
      <w:pPr>
        <w:sectPr>
          <w:pgSz w:w="11900" w:h="16865" w:orient="portrait"/>
          <w:cols w:equalWidth="0" w:num="1">
            <w:col w:w="9019"/>
          </w:cols>
          <w:pgMar w:left="1440" w:top="141" w:right="1440" w:bottom="0" w:gutter="0" w:footer="0" w:header="0"/>
        </w:sectPr>
      </w:pPr>
    </w:p>
    <w:bookmarkStart w:id="96" w:name="page97"/>
    <w:bookmarkEnd w:id="96"/>
    <w:p>
      <w:pPr>
        <w:spacing w:after="0" w:line="5" w:lineRule="exact"/>
        <w:rPr>
          <w:sz w:val="20"/>
          <w:szCs w:val="20"/>
          <w:color w:val="auto"/>
        </w:rPr>
      </w:pPr>
    </w:p>
    <w:p>
      <w:pPr>
        <w:jc w:val="both"/>
        <w:ind w:left="4660"/>
        <w:spacing w:after="0"/>
        <w:tabs>
          <w:tab w:leader="none" w:pos="5740" w:val="left"/>
        </w:tabs>
        <w:rPr>
          <w:sz w:val="20"/>
          <w:szCs w:val="20"/>
          <w:color w:val="auto"/>
        </w:rPr>
      </w:pPr>
      <w:r>
        <w:rPr>
          <w:rFonts w:ascii="Courier New" w:cs="Courier New" w:eastAsia="Courier New" w:hAnsi="Courier New"/>
          <w:sz w:val="12"/>
          <w:szCs w:val="12"/>
          <w:color w:val="auto"/>
        </w:rPr>
        <w:t>rescheduling</w:t>
        <w:tab/>
        <w:t>agreement</w:t>
      </w:r>
    </w:p>
    <w:p>
      <w:pPr>
        <w:spacing w:after="0" w:line="6" w:lineRule="exact"/>
        <w:rPr>
          <w:sz w:val="20"/>
          <w:szCs w:val="20"/>
          <w:color w:val="auto"/>
        </w:rPr>
      </w:pPr>
    </w:p>
    <w:p>
      <w:pPr>
        <w:ind w:left="4660"/>
        <w:spacing w:after="0"/>
        <w:tabs>
          <w:tab w:leader="none" w:pos="5380" w:val="left"/>
          <w:tab w:leader="none" w:pos="6260" w:val="left"/>
        </w:tabs>
        <w:rPr>
          <w:sz w:val="20"/>
          <w:szCs w:val="20"/>
          <w:color w:val="auto"/>
        </w:rPr>
      </w:pPr>
      <w:r>
        <w:rPr>
          <w:rFonts w:ascii="Courier New" w:cs="Courier New" w:eastAsia="Courier New" w:hAnsi="Courier New"/>
          <w:sz w:val="12"/>
          <w:szCs w:val="12"/>
          <w:color w:val="auto"/>
        </w:rPr>
        <w:t>which</w:t>
      </w:r>
      <w:r>
        <w:rPr>
          <w:sz w:val="20"/>
          <w:szCs w:val="20"/>
          <w:color w:val="auto"/>
        </w:rPr>
        <w:tab/>
      </w:r>
      <w:r>
        <w:rPr>
          <w:rFonts w:ascii="Courier New" w:cs="Courier New" w:eastAsia="Courier New" w:hAnsi="Courier New"/>
          <w:sz w:val="12"/>
          <w:szCs w:val="12"/>
          <w:color w:val="auto"/>
        </w:rPr>
        <w:t>payment</w:t>
      </w:r>
      <w:r>
        <w:rPr>
          <w:sz w:val="20"/>
          <w:szCs w:val="20"/>
          <w:color w:val="auto"/>
        </w:rPr>
        <w:tab/>
      </w:r>
      <w:r>
        <w:rPr>
          <w:rFonts w:ascii="Courier New" w:cs="Courier New" w:eastAsia="Courier New" w:hAnsi="Courier New"/>
          <w:sz w:val="12"/>
          <w:szCs w:val="12"/>
          <w:color w:val="auto"/>
        </w:rPr>
        <w:t>is</w:t>
      </w:r>
    </w:p>
    <w:p>
      <w:pPr>
        <w:spacing w:after="0" w:line="6" w:lineRule="exact"/>
        <w:rPr>
          <w:sz w:val="20"/>
          <w:szCs w:val="20"/>
          <w:color w:val="auto"/>
        </w:rPr>
      </w:pPr>
    </w:p>
    <w:p>
      <w:pPr>
        <w:ind w:left="4660"/>
        <w:spacing w:after="0"/>
        <w:tabs>
          <w:tab w:leader="none" w:pos="5460" w:val="left"/>
        </w:tabs>
        <w:rPr>
          <w:sz w:val="20"/>
          <w:szCs w:val="20"/>
          <w:color w:val="auto"/>
        </w:rPr>
      </w:pPr>
      <w:r>
        <w:rPr>
          <w:rFonts w:ascii="Courier New" w:cs="Courier New" w:eastAsia="Courier New" w:hAnsi="Courier New"/>
          <w:sz w:val="12"/>
          <w:szCs w:val="12"/>
          <w:color w:val="auto"/>
        </w:rPr>
        <w:t>permitted</w:t>
        <w:tab/>
        <w:t>to be paid by</w:t>
      </w:r>
    </w:p>
    <w:p>
      <w:pPr>
        <w:spacing w:after="0" w:line="6" w:lineRule="exact"/>
        <w:rPr>
          <w:sz w:val="20"/>
          <w:szCs w:val="20"/>
          <w:color w:val="auto"/>
        </w:rPr>
      </w:pPr>
    </w:p>
    <w:p>
      <w:pPr>
        <w:ind w:left="4660"/>
        <w:spacing w:after="0"/>
        <w:tabs>
          <w:tab w:leader="none" w:pos="5080" w:val="left"/>
          <w:tab w:leader="none" w:pos="5900" w:val="left"/>
          <w:tab w:leader="none" w:pos="6200" w:val="left"/>
        </w:tabs>
        <w:rPr>
          <w:sz w:val="20"/>
          <w:szCs w:val="20"/>
          <w:color w:val="auto"/>
        </w:rPr>
      </w:pPr>
      <w:r>
        <w:rPr>
          <w:rFonts w:ascii="Courier New" w:cs="Courier New" w:eastAsia="Courier New" w:hAnsi="Courier New"/>
          <w:sz w:val="12"/>
          <w:szCs w:val="12"/>
          <w:color w:val="auto"/>
        </w:rPr>
        <w:t>the</w:t>
        <w:tab/>
        <w:t>Borrower</w:t>
        <w:tab/>
        <w:t>to</w:t>
        <w:tab/>
        <w:t>the</w:t>
      </w:r>
    </w:p>
    <w:p>
      <w:pPr>
        <w:spacing w:after="0" w:line="6" w:lineRule="exact"/>
        <w:rPr>
          <w:sz w:val="20"/>
          <w:szCs w:val="20"/>
          <w:color w:val="auto"/>
        </w:rPr>
      </w:pPr>
    </w:p>
    <w:p>
      <w:pPr>
        <w:ind w:left="4660"/>
        <w:spacing w:after="0"/>
        <w:tabs>
          <w:tab w:leader="none" w:pos="5300" w:val="left"/>
          <w:tab w:leader="none" w:pos="5600" w:val="left"/>
          <w:tab w:leader="none" w:pos="5980" w:val="left"/>
        </w:tabs>
        <w:rPr>
          <w:sz w:val="20"/>
          <w:szCs w:val="20"/>
          <w:color w:val="auto"/>
        </w:rPr>
      </w:pPr>
      <w:r>
        <w:rPr>
          <w:rFonts w:ascii="Courier New" w:cs="Courier New" w:eastAsia="Courier New" w:hAnsi="Courier New"/>
          <w:sz w:val="12"/>
          <w:szCs w:val="12"/>
          <w:color w:val="auto"/>
        </w:rPr>
        <w:t>holders</w:t>
        <w:tab/>
        <w:t>of</w:t>
        <w:tab/>
        <w:t>the</w:t>
        <w:tab/>
        <w:t>Equity</w:t>
      </w:r>
    </w:p>
    <w:p>
      <w:pPr>
        <w:spacing w:after="0" w:line="6" w:lineRule="exact"/>
        <w:rPr>
          <w:sz w:val="20"/>
          <w:szCs w:val="20"/>
          <w:color w:val="auto"/>
        </w:rPr>
      </w:pPr>
    </w:p>
    <w:p>
      <w:pPr>
        <w:ind w:left="4660"/>
        <w:spacing w:after="0"/>
        <w:tabs>
          <w:tab w:leader="none" w:pos="5680" w:val="left"/>
        </w:tabs>
        <w:rPr>
          <w:sz w:val="20"/>
          <w:szCs w:val="20"/>
          <w:color w:val="auto"/>
        </w:rPr>
      </w:pPr>
      <w:r>
        <w:rPr>
          <w:rFonts w:ascii="Courier New" w:cs="Courier New" w:eastAsia="Courier New" w:hAnsi="Courier New"/>
          <w:sz w:val="12"/>
          <w:szCs w:val="12"/>
          <w:color w:val="auto"/>
        </w:rPr>
        <w:t>Convertible</w:t>
        <w:tab/>
        <w:t>Debentures</w:t>
      </w:r>
    </w:p>
    <w:p>
      <w:pPr>
        <w:spacing w:after="0" w:line="6" w:lineRule="exact"/>
        <w:rPr>
          <w:sz w:val="20"/>
          <w:szCs w:val="20"/>
          <w:color w:val="auto"/>
        </w:rPr>
      </w:pPr>
    </w:p>
    <w:p>
      <w:pPr>
        <w:ind w:left="4660"/>
        <w:spacing w:after="0"/>
        <w:tabs>
          <w:tab w:leader="none" w:pos="5080" w:val="left"/>
          <w:tab w:leader="none" w:pos="6120" w:val="left"/>
        </w:tabs>
        <w:rPr>
          <w:sz w:val="20"/>
          <w:szCs w:val="20"/>
          <w:color w:val="auto"/>
        </w:rPr>
      </w:pPr>
      <w:r>
        <w:rPr>
          <w:rFonts w:ascii="Courier New" w:cs="Courier New" w:eastAsia="Courier New" w:hAnsi="Courier New"/>
          <w:sz w:val="12"/>
          <w:szCs w:val="12"/>
          <w:color w:val="auto"/>
        </w:rPr>
        <w:t>in</w:t>
      </w:r>
      <w:r>
        <w:rPr>
          <w:sz w:val="20"/>
          <w:szCs w:val="20"/>
          <w:color w:val="auto"/>
        </w:rPr>
        <w:tab/>
      </w:r>
      <w:r>
        <w:rPr>
          <w:rFonts w:ascii="Courier New" w:cs="Courier New" w:eastAsia="Courier New" w:hAnsi="Courier New"/>
          <w:sz w:val="12"/>
          <w:szCs w:val="12"/>
          <w:color w:val="auto"/>
        </w:rPr>
        <w:t>accordance</w:t>
      </w:r>
      <w:r>
        <w:rPr>
          <w:sz w:val="20"/>
          <w:szCs w:val="20"/>
          <w:color w:val="auto"/>
        </w:rPr>
        <w:tab/>
      </w:r>
      <w:r>
        <w:rPr>
          <w:rFonts w:ascii="Courier New" w:cs="Courier New" w:eastAsia="Courier New" w:hAnsi="Courier New"/>
          <w:sz w:val="12"/>
          <w:szCs w:val="12"/>
          <w:color w:val="auto"/>
        </w:rPr>
        <w:t>with</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2"/>
          <w:szCs w:val="12"/>
          <w:color w:val="auto"/>
        </w:rPr>
        <w:t>paragraph (ii)(2)</w:t>
      </w:r>
    </w:p>
    <w:p>
      <w:pPr>
        <w:spacing w:after="0" w:line="6" w:lineRule="exact"/>
        <w:rPr>
          <w:sz w:val="20"/>
          <w:szCs w:val="20"/>
          <w:color w:val="auto"/>
        </w:rPr>
      </w:pPr>
    </w:p>
    <w:p>
      <w:pPr>
        <w:ind w:left="4660"/>
        <w:spacing w:after="0"/>
        <w:tabs>
          <w:tab w:leader="none" w:pos="5380" w:val="left"/>
          <w:tab w:leader="none" w:pos="6260" w:val="left"/>
        </w:tabs>
        <w:rPr>
          <w:sz w:val="20"/>
          <w:szCs w:val="20"/>
          <w:color w:val="auto"/>
        </w:rPr>
      </w:pPr>
      <w:r>
        <w:rPr>
          <w:rFonts w:ascii="Courier New" w:cs="Courier New" w:eastAsia="Courier New" w:hAnsi="Courier New"/>
          <w:sz w:val="12"/>
          <w:szCs w:val="12"/>
          <w:color w:val="auto"/>
        </w:rPr>
        <w:t>above,</w:t>
      </w:r>
      <w:r>
        <w:rPr>
          <w:sz w:val="20"/>
          <w:szCs w:val="20"/>
          <w:color w:val="auto"/>
        </w:rPr>
        <w:tab/>
      </w:r>
      <w:r>
        <w:rPr>
          <w:rFonts w:ascii="Courier New" w:cs="Courier New" w:eastAsia="Courier New" w:hAnsi="Courier New"/>
          <w:sz w:val="12"/>
          <w:szCs w:val="12"/>
          <w:color w:val="auto"/>
        </w:rPr>
        <w:t>subject,</w:t>
      </w:r>
      <w:r>
        <w:rPr>
          <w:sz w:val="20"/>
          <w:szCs w:val="20"/>
          <w:color w:val="auto"/>
        </w:rPr>
        <w:tab/>
      </w:r>
      <w:r>
        <w:rPr>
          <w:rFonts w:ascii="Courier New" w:cs="Courier New" w:eastAsia="Courier New" w:hAnsi="Courier New"/>
          <w:sz w:val="12"/>
          <w:szCs w:val="12"/>
          <w:color w:val="auto"/>
        </w:rPr>
        <w:t>in</w:t>
      </w:r>
    </w:p>
    <w:p>
      <w:pPr>
        <w:spacing w:after="0" w:line="6" w:lineRule="exact"/>
        <w:rPr>
          <w:sz w:val="20"/>
          <w:szCs w:val="20"/>
          <w:color w:val="auto"/>
        </w:rPr>
      </w:pPr>
    </w:p>
    <w:p>
      <w:pPr>
        <w:ind w:left="4660"/>
        <w:spacing w:after="0"/>
        <w:tabs>
          <w:tab w:leader="none" w:pos="5240" w:val="left"/>
          <w:tab w:leader="none" w:pos="5680" w:val="left"/>
          <w:tab w:leader="none" w:pos="6260" w:val="left"/>
        </w:tabs>
        <w:rPr>
          <w:sz w:val="20"/>
          <w:szCs w:val="20"/>
          <w:color w:val="auto"/>
        </w:rPr>
      </w:pPr>
      <w:r>
        <w:rPr>
          <w:rFonts w:ascii="Courier New" w:cs="Courier New" w:eastAsia="Courier New" w:hAnsi="Courier New"/>
          <w:sz w:val="12"/>
          <w:szCs w:val="12"/>
          <w:color w:val="auto"/>
        </w:rPr>
        <w:t>either</w:t>
        <w:tab/>
        <w:t>case</w:t>
        <w:tab/>
        <w:t>above,</w:t>
        <w:tab/>
        <w:t>to</w:t>
      </w:r>
    </w:p>
    <w:p>
      <w:pPr>
        <w:spacing w:after="0" w:line="6" w:lineRule="exact"/>
        <w:rPr>
          <w:sz w:val="20"/>
          <w:szCs w:val="20"/>
          <w:color w:val="auto"/>
        </w:rPr>
      </w:pPr>
    </w:p>
    <w:p>
      <w:pPr>
        <w:ind w:left="4660"/>
        <w:spacing w:after="0"/>
        <w:tabs>
          <w:tab w:leader="none" w:pos="5080" w:val="left"/>
          <w:tab w:leader="none" w:pos="5820" w:val="left"/>
          <w:tab w:leader="none" w:pos="6200" w:val="left"/>
        </w:tabs>
        <w:rPr>
          <w:sz w:val="20"/>
          <w:szCs w:val="20"/>
          <w:color w:val="auto"/>
        </w:rPr>
      </w:pPr>
      <w:r>
        <w:rPr>
          <w:rFonts w:ascii="Courier New" w:cs="Courier New" w:eastAsia="Courier New" w:hAnsi="Courier New"/>
          <w:sz w:val="12"/>
          <w:szCs w:val="12"/>
          <w:color w:val="auto"/>
        </w:rPr>
        <w:t>the</w:t>
        <w:tab/>
        <w:t>holders</w:t>
        <w:tab/>
        <w:t>of</w:t>
        <w:tab/>
        <w:t>the</w:t>
      </w:r>
    </w:p>
    <w:p>
      <w:pPr>
        <w:spacing w:after="0" w:line="6" w:lineRule="exact"/>
        <w:rPr>
          <w:sz w:val="20"/>
          <w:szCs w:val="20"/>
          <w:color w:val="auto"/>
        </w:rPr>
      </w:pPr>
    </w:p>
    <w:p>
      <w:pPr>
        <w:ind w:left="4660"/>
        <w:spacing w:after="0"/>
        <w:tabs>
          <w:tab w:leader="none" w:pos="5600" w:val="left"/>
        </w:tabs>
        <w:rPr>
          <w:sz w:val="20"/>
          <w:szCs w:val="20"/>
          <w:color w:val="auto"/>
        </w:rPr>
      </w:pPr>
      <w:r>
        <w:rPr>
          <w:rFonts w:ascii="Courier New" w:cs="Courier New" w:eastAsia="Courier New" w:hAnsi="Courier New"/>
          <w:sz w:val="12"/>
          <w:szCs w:val="12"/>
          <w:color w:val="auto"/>
        </w:rPr>
        <w:t>Equity</w:t>
      </w:r>
      <w:r>
        <w:rPr>
          <w:sz w:val="20"/>
          <w:szCs w:val="20"/>
          <w:color w:val="auto"/>
        </w:rPr>
        <w:tab/>
      </w:r>
      <w:r>
        <w:rPr>
          <w:rFonts w:ascii="Courier New" w:cs="Courier New" w:eastAsia="Courier New" w:hAnsi="Courier New"/>
          <w:sz w:val="12"/>
          <w:szCs w:val="12"/>
          <w:color w:val="auto"/>
        </w:rPr>
        <w:t>Convertible</w:t>
      </w:r>
    </w:p>
    <w:p>
      <w:pPr>
        <w:spacing w:after="0" w:line="6" w:lineRule="exact"/>
        <w:rPr>
          <w:sz w:val="20"/>
          <w:szCs w:val="20"/>
          <w:color w:val="auto"/>
        </w:rPr>
      </w:pPr>
    </w:p>
    <w:p>
      <w:pPr>
        <w:ind w:left="4660"/>
        <w:spacing w:after="0"/>
        <w:tabs>
          <w:tab w:leader="none" w:pos="5600" w:val="left"/>
          <w:tab w:leader="none" w:pos="6040" w:val="left"/>
        </w:tabs>
        <w:rPr>
          <w:sz w:val="20"/>
          <w:szCs w:val="20"/>
          <w:color w:val="auto"/>
        </w:rPr>
      </w:pPr>
      <w:r>
        <w:rPr>
          <w:rFonts w:ascii="Courier New" w:cs="Courier New" w:eastAsia="Courier New" w:hAnsi="Courier New"/>
          <w:sz w:val="12"/>
          <w:szCs w:val="12"/>
          <w:color w:val="auto"/>
        </w:rPr>
        <w:t>Debentures</w:t>
        <w:tab/>
        <w:t>not</w:t>
        <w:tab/>
        <w:t>being</w:t>
      </w:r>
    </w:p>
    <w:p>
      <w:pPr>
        <w:spacing w:after="0" w:line="6" w:lineRule="exact"/>
        <w:rPr>
          <w:sz w:val="20"/>
          <w:szCs w:val="20"/>
          <w:color w:val="auto"/>
        </w:rPr>
      </w:pPr>
    </w:p>
    <w:p>
      <w:pPr>
        <w:ind w:left="4660"/>
        <w:spacing w:after="0"/>
        <w:tabs>
          <w:tab w:leader="none" w:pos="5520" w:val="left"/>
          <w:tab w:leader="none" w:pos="5900" w:val="left"/>
        </w:tabs>
        <w:rPr>
          <w:sz w:val="20"/>
          <w:szCs w:val="20"/>
          <w:color w:val="auto"/>
        </w:rPr>
      </w:pPr>
      <w:r>
        <w:rPr>
          <w:rFonts w:ascii="Courier New" w:cs="Courier New" w:eastAsia="Courier New" w:hAnsi="Courier New"/>
          <w:sz w:val="12"/>
          <w:szCs w:val="12"/>
          <w:color w:val="auto"/>
        </w:rPr>
        <w:t>entitled</w:t>
      </w:r>
      <w:r>
        <w:rPr>
          <w:sz w:val="20"/>
          <w:szCs w:val="20"/>
          <w:color w:val="auto"/>
        </w:rPr>
        <w:tab/>
      </w:r>
      <w:r>
        <w:rPr>
          <w:rFonts w:ascii="Courier New" w:cs="Courier New" w:eastAsia="Courier New" w:hAnsi="Courier New"/>
          <w:sz w:val="12"/>
          <w:szCs w:val="12"/>
          <w:color w:val="auto"/>
        </w:rPr>
        <w:t>to</w:t>
        <w:tab/>
        <w:t>receive</w:t>
      </w:r>
    </w:p>
    <w:p>
      <w:pPr>
        <w:spacing w:after="0" w:line="6" w:lineRule="exact"/>
        <w:rPr>
          <w:sz w:val="20"/>
          <w:szCs w:val="20"/>
          <w:color w:val="auto"/>
        </w:rPr>
      </w:pPr>
    </w:p>
    <w:p>
      <w:pPr>
        <w:ind w:left="4660"/>
        <w:spacing w:after="0"/>
        <w:tabs>
          <w:tab w:leader="none" w:pos="5160" w:val="left"/>
          <w:tab w:leader="none" w:pos="5520" w:val="left"/>
          <w:tab w:leader="none" w:pos="6040" w:val="left"/>
        </w:tabs>
        <w:rPr>
          <w:sz w:val="20"/>
          <w:szCs w:val="20"/>
          <w:color w:val="auto"/>
        </w:rPr>
      </w:pPr>
      <w:r>
        <w:rPr>
          <w:rFonts w:ascii="Courier New" w:cs="Courier New" w:eastAsia="Courier New" w:hAnsi="Courier New"/>
          <w:sz w:val="12"/>
          <w:szCs w:val="12"/>
          <w:color w:val="auto"/>
        </w:rPr>
        <w:t>under</w:t>
        <w:tab/>
        <w:t>any</w:t>
        <w:tab/>
        <w:t>such</w:t>
        <w:tab/>
        <w:t>claim</w:t>
      </w:r>
    </w:p>
    <w:p>
      <w:pPr>
        <w:spacing w:after="0" w:line="6" w:lineRule="exact"/>
        <w:rPr>
          <w:sz w:val="20"/>
          <w:szCs w:val="20"/>
          <w:color w:val="auto"/>
        </w:rPr>
      </w:pPr>
    </w:p>
    <w:p>
      <w:pPr>
        <w:ind w:left="4660"/>
        <w:spacing w:after="0"/>
        <w:tabs>
          <w:tab w:leader="none" w:pos="5020" w:val="left"/>
        </w:tabs>
        <w:rPr>
          <w:sz w:val="20"/>
          <w:szCs w:val="20"/>
          <w:color w:val="auto"/>
        </w:rPr>
      </w:pPr>
      <w:r>
        <w:rPr>
          <w:rFonts w:ascii="Courier New" w:cs="Courier New" w:eastAsia="Courier New" w:hAnsi="Courier New"/>
          <w:sz w:val="12"/>
          <w:szCs w:val="12"/>
          <w:color w:val="auto"/>
        </w:rPr>
        <w:t>any</w:t>
        <w:tab/>
        <w:t>amount in excess of</w:t>
      </w:r>
    </w:p>
    <w:p>
      <w:pPr>
        <w:spacing w:after="0" w:line="6" w:lineRule="exact"/>
        <w:rPr>
          <w:sz w:val="20"/>
          <w:szCs w:val="20"/>
          <w:color w:val="auto"/>
        </w:rPr>
      </w:pPr>
    </w:p>
    <w:p>
      <w:pPr>
        <w:ind w:left="4660"/>
        <w:spacing w:after="0"/>
        <w:tabs>
          <w:tab w:leader="none" w:pos="5020" w:val="left"/>
          <w:tab w:leader="none" w:pos="5740" w:val="left"/>
        </w:tabs>
        <w:rPr>
          <w:sz w:val="20"/>
          <w:szCs w:val="20"/>
          <w:color w:val="auto"/>
        </w:rPr>
      </w:pPr>
      <w:r>
        <w:rPr>
          <w:rFonts w:ascii="Courier New" w:cs="Courier New" w:eastAsia="Courier New" w:hAnsi="Courier New"/>
          <w:sz w:val="12"/>
          <w:szCs w:val="12"/>
          <w:color w:val="auto"/>
        </w:rPr>
        <w:t>the</w:t>
        <w:tab/>
        <w:t>relevant</w:t>
        <w:tab/>
        <w:t>permitted</w:t>
      </w:r>
    </w:p>
    <w:p>
      <w:pPr>
        <w:spacing w:after="0" w:line="6" w:lineRule="exact"/>
        <w:rPr>
          <w:sz w:val="20"/>
          <w:szCs w:val="20"/>
          <w:color w:val="auto"/>
        </w:rPr>
      </w:pPr>
    </w:p>
    <w:p>
      <w:pPr>
        <w:ind w:left="4660"/>
        <w:spacing w:after="0"/>
        <w:tabs>
          <w:tab w:leader="none" w:pos="5380" w:val="left"/>
          <w:tab w:leader="none" w:pos="5820" w:val="left"/>
          <w:tab w:leader="none" w:pos="6260" w:val="left"/>
        </w:tabs>
        <w:rPr>
          <w:sz w:val="20"/>
          <w:szCs w:val="20"/>
          <w:color w:val="auto"/>
        </w:rPr>
      </w:pPr>
      <w:r>
        <w:rPr>
          <w:rFonts w:ascii="Courier New" w:cs="Courier New" w:eastAsia="Courier New" w:hAnsi="Courier New"/>
          <w:sz w:val="12"/>
          <w:szCs w:val="12"/>
          <w:color w:val="auto"/>
        </w:rPr>
        <w:t>payment</w:t>
        <w:tab/>
        <w:t>not</w:t>
        <w:tab/>
        <w:t>made</w:t>
        <w:tab/>
        <w:t>as</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2"/>
          <w:szCs w:val="12"/>
          <w:color w:val="auto"/>
        </w:rPr>
        <w:t>aforesaid;</w:t>
      </w:r>
    </w:p>
    <w:p>
      <w:pPr>
        <w:spacing w:after="0" w:line="289"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- 56 -</w:t>
      </w:r>
    </w:p>
    <w:p>
      <w:pPr>
        <w:spacing w:after="0" w:line="200" w:lineRule="exact"/>
        <w:rPr>
          <w:sz w:val="20"/>
          <w:szCs w:val="20"/>
          <w:color w:val="auto"/>
        </w:rPr>
      </w:pPr>
    </w:p>
    <w:p>
      <w:pPr>
        <w:spacing w:after="0" w:line="353" w:lineRule="exact"/>
        <w:rPr>
          <w:sz w:val="20"/>
          <w:szCs w:val="20"/>
          <w:color w:val="auto"/>
        </w:rPr>
      </w:pPr>
    </w:p>
    <w:p>
      <w:pPr>
        <w:ind w:left="4660"/>
        <w:spacing w:after="0"/>
        <w:tabs>
          <w:tab w:leader="none" w:pos="6040" w:val="left"/>
        </w:tabs>
        <w:rPr>
          <w:sz w:val="20"/>
          <w:szCs w:val="20"/>
          <w:color w:val="auto"/>
        </w:rPr>
      </w:pPr>
      <w:r>
        <w:rPr>
          <w:rFonts w:ascii="Courier New" w:cs="Courier New" w:eastAsia="Courier New" w:hAnsi="Courier New"/>
          <w:sz w:val="12"/>
          <w:szCs w:val="12"/>
          <w:color w:val="auto"/>
        </w:rPr>
        <w:t>(II) Proceedings</w:t>
        <w:tab/>
        <w:t>where</w:t>
      </w:r>
    </w:p>
    <w:p>
      <w:pPr>
        <w:spacing w:after="0" w:line="6" w:lineRule="exact"/>
        <w:rPr>
          <w:sz w:val="20"/>
          <w:szCs w:val="20"/>
          <w:color w:val="auto"/>
        </w:rPr>
      </w:pPr>
    </w:p>
    <w:p>
      <w:pPr>
        <w:ind w:left="4660"/>
        <w:spacing w:after="0"/>
        <w:tabs>
          <w:tab w:leader="none" w:pos="5020" w:val="left"/>
          <w:tab w:leader="none" w:pos="5460" w:val="left"/>
          <w:tab w:leader="none" w:pos="5980" w:val="left"/>
        </w:tabs>
        <w:rPr>
          <w:sz w:val="20"/>
          <w:szCs w:val="20"/>
          <w:color w:val="auto"/>
        </w:rPr>
      </w:pPr>
      <w:r>
        <w:rPr>
          <w:rFonts w:ascii="Courier New" w:cs="Courier New" w:eastAsia="Courier New" w:hAnsi="Courier New"/>
          <w:sz w:val="12"/>
          <w:szCs w:val="12"/>
          <w:color w:val="auto"/>
        </w:rPr>
        <w:t>the</w:t>
        <w:tab/>
        <w:t>sole</w:t>
        <w:tab/>
        <w:t>claim</w:t>
        <w:tab/>
        <w:t>of the</w:t>
      </w:r>
    </w:p>
    <w:p>
      <w:pPr>
        <w:spacing w:after="0" w:line="6" w:lineRule="exact"/>
        <w:rPr>
          <w:sz w:val="20"/>
          <w:szCs w:val="20"/>
          <w:color w:val="auto"/>
        </w:rPr>
      </w:pPr>
    </w:p>
    <w:p>
      <w:pPr>
        <w:ind w:left="4660"/>
        <w:spacing w:after="0"/>
        <w:tabs>
          <w:tab w:leader="none" w:pos="5300" w:val="left"/>
          <w:tab w:leader="none" w:pos="5600" w:val="left"/>
          <w:tab w:leader="none" w:pos="5980" w:val="left"/>
        </w:tabs>
        <w:rPr>
          <w:sz w:val="20"/>
          <w:szCs w:val="20"/>
          <w:color w:val="auto"/>
        </w:rPr>
      </w:pPr>
      <w:r>
        <w:rPr>
          <w:rFonts w:ascii="Courier New" w:cs="Courier New" w:eastAsia="Courier New" w:hAnsi="Courier New"/>
          <w:sz w:val="12"/>
          <w:szCs w:val="12"/>
          <w:color w:val="auto"/>
        </w:rPr>
        <w:t>holders</w:t>
        <w:tab/>
        <w:t>of</w:t>
        <w:tab/>
        <w:t>the</w:t>
        <w:tab/>
        <w:t>Equity</w:t>
      </w:r>
    </w:p>
    <w:p>
      <w:pPr>
        <w:spacing w:after="0" w:line="6" w:lineRule="exact"/>
        <w:rPr>
          <w:sz w:val="20"/>
          <w:szCs w:val="20"/>
          <w:color w:val="auto"/>
        </w:rPr>
      </w:pPr>
    </w:p>
    <w:p>
      <w:pPr>
        <w:ind w:left="4660"/>
        <w:spacing w:after="0"/>
        <w:tabs>
          <w:tab w:leader="none" w:pos="5680" w:val="left"/>
        </w:tabs>
        <w:rPr>
          <w:sz w:val="20"/>
          <w:szCs w:val="20"/>
          <w:color w:val="auto"/>
        </w:rPr>
      </w:pPr>
      <w:r>
        <w:rPr>
          <w:rFonts w:ascii="Courier New" w:cs="Courier New" w:eastAsia="Courier New" w:hAnsi="Courier New"/>
          <w:sz w:val="12"/>
          <w:szCs w:val="12"/>
          <w:color w:val="auto"/>
        </w:rPr>
        <w:t>Convertible</w:t>
        <w:tab/>
        <w:t>Debentures</w:t>
      </w:r>
    </w:p>
    <w:p>
      <w:pPr>
        <w:spacing w:after="0" w:line="6" w:lineRule="exact"/>
        <w:rPr>
          <w:sz w:val="20"/>
          <w:szCs w:val="20"/>
          <w:color w:val="auto"/>
        </w:rPr>
      </w:pPr>
    </w:p>
    <w:p>
      <w:pPr>
        <w:ind w:left="4660"/>
        <w:spacing w:after="0"/>
        <w:tabs>
          <w:tab w:leader="none" w:pos="5020" w:val="left"/>
          <w:tab w:leader="none" w:pos="5460" w:val="left"/>
          <w:tab w:leader="none" w:pos="6260" w:val="left"/>
        </w:tabs>
        <w:rPr>
          <w:sz w:val="20"/>
          <w:szCs w:val="20"/>
          <w:color w:val="auto"/>
        </w:rPr>
      </w:pPr>
      <w:r>
        <w:rPr>
          <w:rFonts w:ascii="Courier New" w:cs="Courier New" w:eastAsia="Courier New" w:hAnsi="Courier New"/>
          <w:sz w:val="12"/>
          <w:szCs w:val="12"/>
          <w:color w:val="auto"/>
        </w:rPr>
        <w:t>is</w:t>
        <w:tab/>
        <w:t>in</w:t>
      </w:r>
      <w:r>
        <w:rPr>
          <w:sz w:val="20"/>
          <w:szCs w:val="20"/>
          <w:color w:val="auto"/>
        </w:rPr>
        <w:tab/>
      </w:r>
      <w:r>
        <w:rPr>
          <w:rFonts w:ascii="Courier New" w:cs="Courier New" w:eastAsia="Courier New" w:hAnsi="Courier New"/>
          <w:sz w:val="12"/>
          <w:szCs w:val="12"/>
          <w:color w:val="auto"/>
        </w:rPr>
        <w:t>respect</w:t>
      </w:r>
      <w:r>
        <w:rPr>
          <w:sz w:val="20"/>
          <w:szCs w:val="20"/>
          <w:color w:val="auto"/>
        </w:rPr>
        <w:tab/>
      </w:r>
      <w:r>
        <w:rPr>
          <w:rFonts w:ascii="Courier New" w:cs="Courier New" w:eastAsia="Courier New" w:hAnsi="Courier New"/>
          <w:sz w:val="12"/>
          <w:szCs w:val="12"/>
          <w:color w:val="auto"/>
        </w:rPr>
        <w:t>of</w:t>
      </w:r>
    </w:p>
    <w:p>
      <w:pPr>
        <w:spacing w:after="0" w:line="6" w:lineRule="exact"/>
        <w:rPr>
          <w:sz w:val="20"/>
          <w:szCs w:val="20"/>
          <w:color w:val="auto"/>
        </w:rPr>
      </w:pPr>
    </w:p>
    <w:p>
      <w:pPr>
        <w:ind w:left="4660"/>
        <w:spacing w:after="0"/>
        <w:tabs>
          <w:tab w:leader="none" w:pos="5820" w:val="left"/>
        </w:tabs>
        <w:rPr>
          <w:sz w:val="20"/>
          <w:szCs w:val="20"/>
          <w:color w:val="auto"/>
        </w:rPr>
      </w:pPr>
      <w:r>
        <w:rPr>
          <w:rFonts w:ascii="Courier New" w:cs="Courier New" w:eastAsia="Courier New" w:hAnsi="Courier New"/>
          <w:sz w:val="12"/>
          <w:szCs w:val="12"/>
          <w:color w:val="auto"/>
        </w:rPr>
        <w:t>failure by the</w:t>
        <w:tab/>
        <w:t>Borrower</w:t>
      </w:r>
    </w:p>
    <w:p>
      <w:pPr>
        <w:spacing w:after="0" w:line="6" w:lineRule="exact"/>
        <w:rPr>
          <w:sz w:val="20"/>
          <w:szCs w:val="20"/>
          <w:color w:val="auto"/>
        </w:rPr>
      </w:pPr>
    </w:p>
    <w:p>
      <w:pPr>
        <w:ind w:left="4660"/>
        <w:spacing w:after="0"/>
        <w:tabs>
          <w:tab w:leader="none" w:pos="5020" w:val="left"/>
          <w:tab w:leader="none" w:pos="5460" w:val="left"/>
          <w:tab w:leader="none" w:pos="5740" w:val="left"/>
        </w:tabs>
        <w:rPr>
          <w:sz w:val="20"/>
          <w:szCs w:val="20"/>
          <w:color w:val="auto"/>
        </w:rPr>
      </w:pPr>
      <w:r>
        <w:rPr>
          <w:rFonts w:ascii="Courier New" w:cs="Courier New" w:eastAsia="Courier New" w:hAnsi="Courier New"/>
          <w:sz w:val="12"/>
          <w:szCs w:val="12"/>
          <w:color w:val="auto"/>
        </w:rPr>
        <w:t>to</w:t>
        <w:tab/>
        <w:t>make</w:t>
        <w:tab/>
        <w:t>a</w:t>
        <w:tab/>
        <w:t>scheduled</w:t>
      </w:r>
    </w:p>
    <w:p>
      <w:pPr>
        <w:spacing w:after="0" w:line="6" w:lineRule="exact"/>
        <w:rPr>
          <w:sz w:val="20"/>
          <w:szCs w:val="20"/>
          <w:color w:val="auto"/>
        </w:rPr>
      </w:pPr>
    </w:p>
    <w:p>
      <w:pPr>
        <w:ind w:left="4660"/>
        <w:spacing w:after="0"/>
        <w:tabs>
          <w:tab w:leader="none" w:pos="5300" w:val="left"/>
          <w:tab w:leader="none" w:pos="5900" w:val="left"/>
        </w:tabs>
        <w:rPr>
          <w:sz w:val="20"/>
          <w:szCs w:val="20"/>
          <w:color w:val="auto"/>
        </w:rPr>
      </w:pPr>
      <w:r>
        <w:rPr>
          <w:rFonts w:ascii="Courier New" w:cs="Courier New" w:eastAsia="Courier New" w:hAnsi="Courier New"/>
          <w:sz w:val="12"/>
          <w:szCs w:val="12"/>
          <w:color w:val="auto"/>
        </w:rPr>
        <w:t>payment</w:t>
        <w:tab/>
        <w:t>to the</w:t>
        <w:tab/>
        <w:t>holders</w:t>
      </w:r>
    </w:p>
    <w:p>
      <w:pPr>
        <w:spacing w:after="0" w:line="6" w:lineRule="exact"/>
        <w:rPr>
          <w:sz w:val="20"/>
          <w:szCs w:val="20"/>
          <w:color w:val="auto"/>
        </w:rPr>
      </w:pPr>
    </w:p>
    <w:p>
      <w:pPr>
        <w:ind w:left="4660"/>
        <w:spacing w:after="0"/>
        <w:tabs>
          <w:tab w:leader="none" w:pos="5240" w:val="left"/>
          <w:tab w:leader="none" w:pos="5980" w:val="left"/>
        </w:tabs>
        <w:rPr>
          <w:sz w:val="20"/>
          <w:szCs w:val="20"/>
          <w:color w:val="auto"/>
        </w:rPr>
      </w:pPr>
      <w:r>
        <w:rPr>
          <w:rFonts w:ascii="Courier New" w:cs="Courier New" w:eastAsia="Courier New" w:hAnsi="Courier New"/>
          <w:sz w:val="12"/>
          <w:szCs w:val="12"/>
          <w:color w:val="auto"/>
        </w:rPr>
        <w:t>of</w:t>
      </w:r>
      <w:r>
        <w:rPr>
          <w:sz w:val="20"/>
          <w:szCs w:val="20"/>
          <w:color w:val="auto"/>
        </w:rPr>
        <w:tab/>
      </w:r>
      <w:r>
        <w:rPr>
          <w:rFonts w:ascii="Courier New" w:cs="Courier New" w:eastAsia="Courier New" w:hAnsi="Courier New"/>
          <w:sz w:val="12"/>
          <w:szCs w:val="12"/>
          <w:color w:val="auto"/>
        </w:rPr>
        <w:t>the</w:t>
      </w:r>
      <w:r>
        <w:rPr>
          <w:sz w:val="20"/>
          <w:szCs w:val="20"/>
          <w:color w:val="auto"/>
        </w:rPr>
        <w:tab/>
      </w:r>
      <w:r>
        <w:rPr>
          <w:rFonts w:ascii="Courier New" w:cs="Courier New" w:eastAsia="Courier New" w:hAnsi="Courier New"/>
          <w:sz w:val="12"/>
          <w:szCs w:val="12"/>
          <w:color w:val="auto"/>
        </w:rPr>
        <w:t>Equity</w:t>
      </w:r>
    </w:p>
    <w:p>
      <w:pPr>
        <w:spacing w:after="0" w:line="6" w:lineRule="exact"/>
        <w:rPr>
          <w:sz w:val="20"/>
          <w:szCs w:val="20"/>
          <w:color w:val="auto"/>
        </w:rPr>
      </w:pPr>
    </w:p>
    <w:p>
      <w:pPr>
        <w:ind w:left="4660"/>
        <w:spacing w:after="0"/>
        <w:tabs>
          <w:tab w:leader="none" w:pos="5680" w:val="left"/>
        </w:tabs>
        <w:rPr>
          <w:sz w:val="20"/>
          <w:szCs w:val="20"/>
          <w:color w:val="auto"/>
        </w:rPr>
      </w:pPr>
      <w:r>
        <w:rPr>
          <w:rFonts w:ascii="Courier New" w:cs="Courier New" w:eastAsia="Courier New" w:hAnsi="Courier New"/>
          <w:sz w:val="12"/>
          <w:szCs w:val="12"/>
          <w:color w:val="auto"/>
        </w:rPr>
        <w:t>Convertible</w:t>
        <w:tab/>
        <w:t>Debentures</w:t>
      </w:r>
    </w:p>
    <w:p>
      <w:pPr>
        <w:spacing w:after="0" w:line="6" w:lineRule="exact"/>
        <w:rPr>
          <w:sz w:val="20"/>
          <w:szCs w:val="20"/>
          <w:color w:val="auto"/>
        </w:rPr>
      </w:pPr>
    </w:p>
    <w:p>
      <w:pPr>
        <w:ind w:left="4660"/>
        <w:spacing w:after="0"/>
        <w:tabs>
          <w:tab w:leader="none" w:pos="5520" w:val="left"/>
        </w:tabs>
        <w:rPr>
          <w:sz w:val="20"/>
          <w:szCs w:val="20"/>
          <w:color w:val="auto"/>
        </w:rPr>
      </w:pPr>
      <w:r>
        <w:rPr>
          <w:rFonts w:ascii="Courier New" w:cs="Courier New" w:eastAsia="Courier New" w:hAnsi="Courier New"/>
          <w:sz w:val="12"/>
          <w:szCs w:val="12"/>
          <w:color w:val="auto"/>
        </w:rPr>
        <w:t>due to the</w:t>
        <w:tab/>
        <w:t>operation of</w:t>
      </w:r>
    </w:p>
    <w:p>
      <w:pPr>
        <w:spacing w:after="0" w:line="6" w:lineRule="exact"/>
        <w:rPr>
          <w:sz w:val="20"/>
          <w:szCs w:val="20"/>
          <w:color w:val="auto"/>
        </w:rPr>
      </w:pPr>
    </w:p>
    <w:p>
      <w:pPr>
        <w:ind w:left="4660"/>
        <w:spacing w:after="0"/>
        <w:tabs>
          <w:tab w:leader="none" w:pos="5020" w:val="left"/>
          <w:tab w:leader="none" w:pos="5740" w:val="left"/>
        </w:tabs>
        <w:rPr>
          <w:sz w:val="20"/>
          <w:szCs w:val="20"/>
          <w:color w:val="auto"/>
        </w:rPr>
      </w:pPr>
      <w:r>
        <w:rPr>
          <w:rFonts w:ascii="Courier New" w:cs="Courier New" w:eastAsia="Courier New" w:hAnsi="Courier New"/>
          <w:sz w:val="12"/>
          <w:szCs w:val="12"/>
          <w:color w:val="auto"/>
        </w:rPr>
        <w:t>the</w:t>
        <w:tab/>
        <w:t>opening</w:t>
        <w:tab/>
        <w:t>paragraph</w:t>
      </w:r>
    </w:p>
    <w:p>
      <w:pPr>
        <w:spacing w:after="0" w:line="6" w:lineRule="exact"/>
        <w:rPr>
          <w:sz w:val="20"/>
          <w:szCs w:val="20"/>
          <w:color w:val="auto"/>
        </w:rPr>
      </w:pPr>
    </w:p>
    <w:p>
      <w:pPr>
        <w:ind w:left="4660"/>
        <w:spacing w:after="0"/>
        <w:tabs>
          <w:tab w:leader="none" w:pos="4940" w:val="left"/>
          <w:tab w:leader="none" w:pos="5380" w:val="left"/>
          <w:tab w:leader="none" w:pos="5900" w:val="left"/>
        </w:tabs>
        <w:rPr>
          <w:sz w:val="20"/>
          <w:szCs w:val="20"/>
          <w:color w:val="auto"/>
        </w:rPr>
      </w:pPr>
      <w:r>
        <w:rPr>
          <w:rFonts w:ascii="Courier New" w:cs="Courier New" w:eastAsia="Courier New" w:hAnsi="Courier New"/>
          <w:sz w:val="12"/>
          <w:szCs w:val="12"/>
          <w:color w:val="auto"/>
        </w:rPr>
        <w:t>of</w:t>
        <w:tab/>
        <w:t>(ii)</w:t>
        <w:tab/>
        <w:t>above</w:t>
        <w:tab/>
        <w:t>and the</w:t>
      </w:r>
    </w:p>
    <w:p>
      <w:pPr>
        <w:spacing w:after="0" w:line="6" w:lineRule="exact"/>
        <w:rPr>
          <w:sz w:val="20"/>
          <w:szCs w:val="20"/>
          <w:color w:val="auto"/>
        </w:rPr>
      </w:pPr>
    </w:p>
    <w:p>
      <w:pPr>
        <w:ind w:left="4660"/>
        <w:spacing w:after="0"/>
        <w:tabs>
          <w:tab w:leader="none" w:pos="5740" w:val="left"/>
        </w:tabs>
        <w:rPr>
          <w:sz w:val="20"/>
          <w:szCs w:val="20"/>
          <w:color w:val="auto"/>
        </w:rPr>
      </w:pPr>
      <w:r>
        <w:rPr>
          <w:rFonts w:ascii="Courier New" w:cs="Courier New" w:eastAsia="Courier New" w:hAnsi="Courier New"/>
          <w:sz w:val="12"/>
          <w:szCs w:val="12"/>
          <w:color w:val="auto"/>
        </w:rPr>
        <w:t>Relevant</w:t>
      </w:r>
      <w:r>
        <w:rPr>
          <w:sz w:val="20"/>
          <w:szCs w:val="20"/>
          <w:color w:val="auto"/>
        </w:rPr>
        <w:tab/>
      </w:r>
      <w:r>
        <w:rPr>
          <w:rFonts w:ascii="Courier New" w:cs="Courier New" w:eastAsia="Courier New" w:hAnsi="Courier New"/>
          <w:sz w:val="12"/>
          <w:szCs w:val="12"/>
          <w:color w:val="auto"/>
        </w:rPr>
        <w:t>Six-Month</w:t>
      </w:r>
    </w:p>
    <w:p>
      <w:pPr>
        <w:spacing w:after="0" w:line="6" w:lineRule="exact"/>
        <w:rPr>
          <w:sz w:val="20"/>
          <w:szCs w:val="20"/>
          <w:color w:val="auto"/>
        </w:rPr>
      </w:pPr>
    </w:p>
    <w:p>
      <w:pPr>
        <w:ind w:left="4660"/>
        <w:spacing w:after="0"/>
        <w:tabs>
          <w:tab w:leader="none" w:pos="5240" w:val="left"/>
          <w:tab w:leader="none" w:pos="5980" w:val="left"/>
          <w:tab w:leader="none" w:pos="6260" w:val="left"/>
        </w:tabs>
        <w:rPr>
          <w:sz w:val="20"/>
          <w:szCs w:val="20"/>
          <w:color w:val="auto"/>
        </w:rPr>
      </w:pPr>
      <w:r>
        <w:rPr>
          <w:rFonts w:ascii="Courier New" w:cs="Courier New" w:eastAsia="Courier New" w:hAnsi="Courier New"/>
          <w:sz w:val="12"/>
          <w:szCs w:val="12"/>
          <w:color w:val="auto"/>
        </w:rPr>
        <w:t>Period</w:t>
        <w:tab/>
        <w:t>referred</w:t>
        <w:tab/>
        <w:t>to</w:t>
        <w:tab/>
        <w:t>in</w:t>
      </w:r>
    </w:p>
    <w:p>
      <w:pPr>
        <w:spacing w:after="0" w:line="6" w:lineRule="exact"/>
        <w:rPr>
          <w:sz w:val="20"/>
          <w:szCs w:val="20"/>
          <w:color w:val="auto"/>
        </w:rPr>
      </w:pPr>
    </w:p>
    <w:p>
      <w:pPr>
        <w:ind w:left="4660"/>
        <w:spacing w:after="0"/>
        <w:tabs>
          <w:tab w:leader="none" w:pos="5080" w:val="left"/>
          <w:tab w:leader="none" w:pos="5740" w:val="left"/>
        </w:tabs>
        <w:rPr>
          <w:sz w:val="20"/>
          <w:szCs w:val="20"/>
          <w:color w:val="auto"/>
        </w:rPr>
      </w:pPr>
      <w:r>
        <w:rPr>
          <w:rFonts w:ascii="Courier New" w:cs="Courier New" w:eastAsia="Courier New" w:hAnsi="Courier New"/>
          <w:sz w:val="12"/>
          <w:szCs w:val="12"/>
          <w:color w:val="auto"/>
        </w:rPr>
        <w:t>such</w:t>
        <w:tab/>
        <w:t>opening</w:t>
        <w:tab/>
        <w:t>paragraph</w:t>
      </w:r>
    </w:p>
    <w:p>
      <w:pPr>
        <w:spacing w:after="0" w:line="6" w:lineRule="exact"/>
        <w:rPr>
          <w:sz w:val="20"/>
          <w:szCs w:val="20"/>
          <w:color w:val="auto"/>
        </w:rPr>
      </w:pPr>
    </w:p>
    <w:p>
      <w:pPr>
        <w:ind w:left="4660"/>
        <w:spacing w:after="0"/>
        <w:tabs>
          <w:tab w:leader="none" w:pos="5080" w:val="left"/>
          <w:tab w:leader="none" w:pos="5900" w:val="left"/>
        </w:tabs>
        <w:rPr>
          <w:sz w:val="20"/>
          <w:szCs w:val="20"/>
          <w:color w:val="auto"/>
        </w:rPr>
      </w:pPr>
      <w:r>
        <w:rPr>
          <w:rFonts w:ascii="Courier New" w:cs="Courier New" w:eastAsia="Courier New" w:hAnsi="Courier New"/>
          <w:sz w:val="12"/>
          <w:szCs w:val="12"/>
          <w:color w:val="auto"/>
        </w:rPr>
        <w:t>has</w:t>
        <w:tab/>
        <w:t>expired</w:t>
      </w:r>
      <w:r>
        <w:rPr>
          <w:sz w:val="20"/>
          <w:szCs w:val="20"/>
          <w:color w:val="auto"/>
        </w:rPr>
        <w:tab/>
      </w:r>
      <w:r>
        <w:rPr>
          <w:rFonts w:ascii="Courier New" w:cs="Courier New" w:eastAsia="Courier New" w:hAnsi="Courier New"/>
          <w:sz w:val="12"/>
          <w:szCs w:val="12"/>
          <w:color w:val="auto"/>
        </w:rPr>
        <w:t>without</w:t>
      </w:r>
    </w:p>
    <w:p>
      <w:pPr>
        <w:spacing w:after="0" w:line="6" w:lineRule="exact"/>
        <w:rPr>
          <w:sz w:val="20"/>
          <w:szCs w:val="20"/>
          <w:color w:val="auto"/>
        </w:rPr>
      </w:pPr>
    </w:p>
    <w:p>
      <w:pPr>
        <w:ind w:left="4660"/>
        <w:spacing w:after="0"/>
        <w:tabs>
          <w:tab w:leader="none" w:pos="5080" w:val="left"/>
          <w:tab w:leader="none" w:pos="5980" w:val="left"/>
        </w:tabs>
        <w:rPr>
          <w:sz w:val="20"/>
          <w:szCs w:val="20"/>
          <w:color w:val="auto"/>
        </w:rPr>
      </w:pPr>
      <w:r>
        <w:rPr>
          <w:rFonts w:ascii="Courier New" w:cs="Courier New" w:eastAsia="Courier New" w:hAnsi="Courier New"/>
          <w:sz w:val="12"/>
          <w:szCs w:val="12"/>
          <w:color w:val="auto"/>
        </w:rPr>
        <w:t>such</w:t>
        <w:tab/>
        <w:t>scheduled</w:t>
      </w:r>
      <w:r>
        <w:rPr>
          <w:sz w:val="20"/>
          <w:szCs w:val="20"/>
          <w:color w:val="auto"/>
        </w:rPr>
        <w:tab/>
      </w:r>
      <w:r>
        <w:rPr>
          <w:rFonts w:ascii="Courier New" w:cs="Courier New" w:eastAsia="Courier New" w:hAnsi="Courier New"/>
          <w:sz w:val="12"/>
          <w:szCs w:val="12"/>
          <w:color w:val="auto"/>
        </w:rPr>
        <w:t>amount</w:t>
      </w:r>
    </w:p>
    <w:p>
      <w:pPr>
        <w:spacing w:after="0" w:line="6" w:lineRule="exact"/>
        <w:rPr>
          <w:sz w:val="20"/>
          <w:szCs w:val="20"/>
          <w:color w:val="auto"/>
        </w:rPr>
      </w:pPr>
    </w:p>
    <w:p>
      <w:pPr>
        <w:ind w:left="4660"/>
        <w:spacing w:after="0"/>
        <w:tabs>
          <w:tab w:leader="none" w:pos="5240" w:val="left"/>
          <w:tab w:leader="none" w:pos="5820" w:val="left"/>
          <w:tab w:leader="none" w:pos="6260" w:val="left"/>
        </w:tabs>
        <w:rPr>
          <w:sz w:val="20"/>
          <w:szCs w:val="20"/>
          <w:color w:val="auto"/>
        </w:rPr>
      </w:pPr>
      <w:r>
        <w:rPr>
          <w:rFonts w:ascii="Courier New" w:cs="Courier New" w:eastAsia="Courier New" w:hAnsi="Courier New"/>
          <w:sz w:val="12"/>
          <w:szCs w:val="12"/>
          <w:color w:val="auto"/>
        </w:rPr>
        <w:t>being</w:t>
        <w:tab/>
        <w:t>either</w:t>
        <w:tab/>
        <w:t>paid</w:t>
        <w:tab/>
        <w:t>in</w:t>
      </w:r>
    </w:p>
    <w:p>
      <w:pPr>
        <w:spacing w:after="0" w:line="6" w:lineRule="exact"/>
        <w:rPr>
          <w:sz w:val="20"/>
          <w:szCs w:val="20"/>
          <w:color w:val="auto"/>
        </w:rPr>
      </w:pPr>
    </w:p>
    <w:p>
      <w:pPr>
        <w:ind w:left="4660"/>
        <w:spacing w:after="0"/>
        <w:tabs>
          <w:tab w:leader="none" w:pos="5300" w:val="left"/>
          <w:tab w:leader="none" w:pos="6260" w:val="left"/>
        </w:tabs>
        <w:rPr>
          <w:sz w:val="20"/>
          <w:szCs w:val="20"/>
          <w:color w:val="auto"/>
        </w:rPr>
      </w:pPr>
      <w:r>
        <w:rPr>
          <w:rFonts w:ascii="Courier New" w:cs="Courier New" w:eastAsia="Courier New" w:hAnsi="Courier New"/>
          <w:sz w:val="12"/>
          <w:szCs w:val="12"/>
          <w:color w:val="auto"/>
        </w:rPr>
        <w:t>full</w:t>
      </w:r>
      <w:r>
        <w:rPr>
          <w:sz w:val="20"/>
          <w:szCs w:val="20"/>
          <w:color w:val="auto"/>
        </w:rPr>
        <w:tab/>
      </w:r>
      <w:r>
        <w:rPr>
          <w:rFonts w:ascii="Courier New" w:cs="Courier New" w:eastAsia="Courier New" w:hAnsi="Courier New"/>
          <w:sz w:val="12"/>
          <w:szCs w:val="12"/>
          <w:color w:val="auto"/>
        </w:rPr>
        <w:t>pursuant</w:t>
      </w:r>
      <w:r>
        <w:rPr>
          <w:sz w:val="20"/>
          <w:szCs w:val="20"/>
          <w:color w:val="auto"/>
        </w:rPr>
        <w:tab/>
      </w:r>
      <w:r>
        <w:rPr>
          <w:rFonts w:ascii="Courier New" w:cs="Courier New" w:eastAsia="Courier New" w:hAnsi="Courier New"/>
          <w:sz w:val="12"/>
          <w:szCs w:val="12"/>
          <w:color w:val="auto"/>
        </w:rPr>
        <w:t>to</w:t>
      </w:r>
    </w:p>
    <w:p>
      <w:pPr>
        <w:spacing w:after="0" w:line="6" w:lineRule="exact"/>
        <w:rPr>
          <w:sz w:val="20"/>
          <w:szCs w:val="20"/>
          <w:color w:val="auto"/>
        </w:rPr>
      </w:pPr>
    </w:p>
    <w:p>
      <w:pPr>
        <w:ind w:left="4660"/>
        <w:spacing w:after="0"/>
        <w:tabs>
          <w:tab w:leader="none" w:pos="6040" w:val="left"/>
        </w:tabs>
        <w:rPr>
          <w:sz w:val="20"/>
          <w:szCs w:val="20"/>
          <w:color w:val="auto"/>
        </w:rPr>
      </w:pPr>
      <w:r>
        <w:rPr>
          <w:rFonts w:ascii="Courier New" w:cs="Courier New" w:eastAsia="Courier New" w:hAnsi="Courier New"/>
          <w:sz w:val="12"/>
          <w:szCs w:val="12"/>
          <w:color w:val="auto"/>
        </w:rPr>
        <w:t>subparagraph (1)</w:t>
        <w:tab/>
        <w:t>above</w:t>
      </w:r>
    </w:p>
    <w:p>
      <w:pPr>
        <w:spacing w:after="0" w:line="6" w:lineRule="exact"/>
        <w:rPr>
          <w:sz w:val="20"/>
          <w:szCs w:val="20"/>
          <w:color w:val="auto"/>
        </w:rPr>
      </w:pPr>
    </w:p>
    <w:p>
      <w:pPr>
        <w:ind w:left="4660"/>
        <w:spacing w:after="0"/>
        <w:tabs>
          <w:tab w:leader="none" w:pos="5020" w:val="left"/>
          <w:tab w:leader="none" w:pos="5520" w:val="left"/>
          <w:tab w:leader="none" w:pos="6260" w:val="left"/>
        </w:tabs>
        <w:rPr>
          <w:sz w:val="20"/>
          <w:szCs w:val="20"/>
          <w:color w:val="auto"/>
        </w:rPr>
      </w:pPr>
      <w:r>
        <w:rPr>
          <w:rFonts w:ascii="Courier New" w:cs="Courier New" w:eastAsia="Courier New" w:hAnsi="Courier New"/>
          <w:sz w:val="12"/>
          <w:szCs w:val="12"/>
          <w:color w:val="auto"/>
        </w:rPr>
        <w:t>or</w:t>
        <w:tab/>
        <w:t>made</w:t>
        <w:tab/>
        <w:t>subject</w:t>
        <w:tab/>
        <w:t>to</w:t>
      </w:r>
    </w:p>
    <w:p>
      <w:pPr>
        <w:spacing w:after="0" w:line="6" w:lineRule="exact"/>
        <w:rPr>
          <w:sz w:val="20"/>
          <w:szCs w:val="20"/>
          <w:color w:val="auto"/>
        </w:rPr>
      </w:pPr>
    </w:p>
    <w:p>
      <w:pPr>
        <w:jc w:val="both"/>
        <w:ind w:left="4660"/>
        <w:spacing w:after="0"/>
        <w:tabs>
          <w:tab w:leader="none" w:pos="6040" w:val="left"/>
        </w:tabs>
        <w:rPr>
          <w:sz w:val="20"/>
          <w:szCs w:val="20"/>
          <w:color w:val="auto"/>
        </w:rPr>
      </w:pPr>
      <w:r>
        <w:rPr>
          <w:rFonts w:ascii="Courier New" w:cs="Courier New" w:eastAsia="Courier New" w:hAnsi="Courier New"/>
          <w:sz w:val="12"/>
          <w:szCs w:val="12"/>
          <w:color w:val="auto"/>
        </w:rPr>
        <w:t>rescheduling</w:t>
      </w:r>
      <w:r>
        <w:rPr>
          <w:sz w:val="20"/>
          <w:szCs w:val="20"/>
          <w:color w:val="auto"/>
        </w:rPr>
        <w:tab/>
      </w:r>
      <w:r>
        <w:rPr>
          <w:rFonts w:ascii="Courier New" w:cs="Courier New" w:eastAsia="Courier New" w:hAnsi="Courier New"/>
          <w:sz w:val="12"/>
          <w:szCs w:val="12"/>
          <w:color w:val="auto"/>
        </w:rPr>
        <w:t>under</w:t>
      </w:r>
    </w:p>
    <w:p>
      <w:pPr>
        <w:spacing w:after="0" w:line="6" w:lineRule="exact"/>
        <w:rPr>
          <w:sz w:val="20"/>
          <w:szCs w:val="20"/>
          <w:color w:val="auto"/>
        </w:rPr>
      </w:pPr>
    </w:p>
    <w:p>
      <w:pPr>
        <w:jc w:val="right"/>
        <w:ind w:right="2579"/>
        <w:spacing w:after="0"/>
        <w:tabs>
          <w:tab w:leader="none" w:pos="140" w:val="left"/>
        </w:tabs>
        <w:rPr>
          <w:sz w:val="20"/>
          <w:szCs w:val="20"/>
          <w:color w:val="auto"/>
        </w:rPr>
      </w:pPr>
      <w:r>
        <w:rPr>
          <w:rFonts w:ascii="Courier New" w:cs="Courier New" w:eastAsia="Courier New" w:hAnsi="Courier New"/>
          <w:sz w:val="12"/>
          <w:szCs w:val="12"/>
          <w:color w:val="auto"/>
        </w:rPr>
        <w:t>paragraph (ii)(A)</w:t>
      </w:r>
      <w:r>
        <w:rPr>
          <w:sz w:val="20"/>
          <w:szCs w:val="20"/>
          <w:color w:val="auto"/>
        </w:rPr>
        <w:tab/>
      </w:r>
      <w:r>
        <w:rPr>
          <w:rFonts w:ascii="Courier New" w:cs="Courier New" w:eastAsia="Courier New" w:hAnsi="Courier New"/>
          <w:sz w:val="12"/>
          <w:szCs w:val="12"/>
          <w:color w:val="auto"/>
        </w:rPr>
        <w:t>or</w:t>
      </w:r>
    </w:p>
    <w:p>
      <w:pPr>
        <w:spacing w:after="0" w:line="6" w:lineRule="exact"/>
        <w:rPr>
          <w:sz w:val="20"/>
          <w:szCs w:val="20"/>
          <w:color w:val="auto"/>
        </w:rPr>
      </w:pPr>
    </w:p>
    <w:p>
      <w:pPr>
        <w:ind w:left="4660"/>
        <w:spacing w:after="0"/>
        <w:tabs>
          <w:tab w:leader="none" w:pos="5020" w:val="left"/>
          <w:tab w:leader="none" w:pos="5600" w:val="left"/>
          <w:tab w:leader="none" w:pos="6260" w:val="left"/>
        </w:tabs>
        <w:rPr>
          <w:sz w:val="20"/>
          <w:szCs w:val="20"/>
          <w:color w:val="auto"/>
        </w:rPr>
      </w:pPr>
      <w:r>
        <w:rPr>
          <w:rFonts w:ascii="Courier New" w:cs="Courier New" w:eastAsia="Courier New" w:hAnsi="Courier New"/>
          <w:sz w:val="12"/>
          <w:szCs w:val="12"/>
          <w:color w:val="auto"/>
        </w:rPr>
        <w:t>(B)</w:t>
        <w:tab/>
        <w:t>above,</w:t>
        <w:tab/>
        <w:t>subject</w:t>
        <w:tab/>
        <w:t>to</w:t>
      </w:r>
    </w:p>
    <w:p>
      <w:pPr>
        <w:spacing w:after="0" w:line="6" w:lineRule="exact"/>
        <w:rPr>
          <w:sz w:val="20"/>
          <w:szCs w:val="20"/>
          <w:color w:val="auto"/>
        </w:rPr>
      </w:pPr>
    </w:p>
    <w:p>
      <w:pPr>
        <w:ind w:left="4660"/>
        <w:spacing w:after="0"/>
        <w:tabs>
          <w:tab w:leader="none" w:pos="5080" w:val="left"/>
          <w:tab w:leader="none" w:pos="5820" w:val="left"/>
          <w:tab w:leader="none" w:pos="6200" w:val="left"/>
        </w:tabs>
        <w:rPr>
          <w:sz w:val="20"/>
          <w:szCs w:val="20"/>
          <w:color w:val="auto"/>
        </w:rPr>
      </w:pPr>
      <w:r>
        <w:rPr>
          <w:rFonts w:ascii="Courier New" w:cs="Courier New" w:eastAsia="Courier New" w:hAnsi="Courier New"/>
          <w:sz w:val="12"/>
          <w:szCs w:val="12"/>
          <w:color w:val="auto"/>
        </w:rPr>
        <w:t>the</w:t>
        <w:tab/>
        <w:t>holders</w:t>
        <w:tab/>
        <w:t>of</w:t>
        <w:tab/>
        <w:t>the</w:t>
      </w:r>
    </w:p>
    <w:p>
      <w:pPr>
        <w:spacing w:after="0" w:line="6" w:lineRule="exact"/>
        <w:rPr>
          <w:sz w:val="20"/>
          <w:szCs w:val="20"/>
          <w:color w:val="auto"/>
        </w:rPr>
      </w:pPr>
    </w:p>
    <w:p>
      <w:pPr>
        <w:ind w:left="4660"/>
        <w:spacing w:after="0"/>
        <w:tabs>
          <w:tab w:leader="none" w:pos="5600" w:val="left"/>
        </w:tabs>
        <w:rPr>
          <w:sz w:val="20"/>
          <w:szCs w:val="20"/>
          <w:color w:val="auto"/>
        </w:rPr>
      </w:pPr>
      <w:r>
        <w:rPr>
          <w:rFonts w:ascii="Courier New" w:cs="Courier New" w:eastAsia="Courier New" w:hAnsi="Courier New"/>
          <w:sz w:val="12"/>
          <w:szCs w:val="12"/>
          <w:color w:val="auto"/>
        </w:rPr>
        <w:t>Equity</w:t>
      </w:r>
      <w:r>
        <w:rPr>
          <w:sz w:val="20"/>
          <w:szCs w:val="20"/>
          <w:color w:val="auto"/>
        </w:rPr>
        <w:tab/>
      </w:r>
      <w:r>
        <w:rPr>
          <w:rFonts w:ascii="Courier New" w:cs="Courier New" w:eastAsia="Courier New" w:hAnsi="Courier New"/>
          <w:sz w:val="12"/>
          <w:szCs w:val="12"/>
          <w:color w:val="auto"/>
        </w:rPr>
        <w:t>Convertible</w:t>
      </w:r>
    </w:p>
    <w:p>
      <w:pPr>
        <w:spacing w:after="0" w:line="6" w:lineRule="exact"/>
        <w:rPr>
          <w:sz w:val="20"/>
          <w:szCs w:val="20"/>
          <w:color w:val="auto"/>
        </w:rPr>
      </w:pPr>
    </w:p>
    <w:p>
      <w:pPr>
        <w:ind w:left="4660"/>
        <w:spacing w:after="0"/>
        <w:tabs>
          <w:tab w:leader="none" w:pos="5600" w:val="left"/>
          <w:tab w:leader="none" w:pos="6040" w:val="left"/>
        </w:tabs>
        <w:rPr>
          <w:sz w:val="20"/>
          <w:szCs w:val="20"/>
          <w:color w:val="auto"/>
        </w:rPr>
      </w:pPr>
      <w:r>
        <w:rPr>
          <w:rFonts w:ascii="Courier New" w:cs="Courier New" w:eastAsia="Courier New" w:hAnsi="Courier New"/>
          <w:sz w:val="12"/>
          <w:szCs w:val="12"/>
          <w:color w:val="auto"/>
        </w:rPr>
        <w:t>Debentures</w:t>
        <w:tab/>
        <w:t>not</w:t>
        <w:tab/>
        <w:t>being</w:t>
      </w:r>
    </w:p>
    <w:p>
      <w:pPr>
        <w:spacing w:after="0" w:line="6" w:lineRule="exact"/>
        <w:rPr>
          <w:sz w:val="20"/>
          <w:szCs w:val="20"/>
          <w:color w:val="auto"/>
        </w:rPr>
      </w:pPr>
    </w:p>
    <w:p>
      <w:pPr>
        <w:ind w:left="4660"/>
        <w:spacing w:after="0"/>
        <w:tabs>
          <w:tab w:leader="none" w:pos="5520" w:val="left"/>
          <w:tab w:leader="none" w:pos="5900" w:val="left"/>
        </w:tabs>
        <w:rPr>
          <w:sz w:val="20"/>
          <w:szCs w:val="20"/>
          <w:color w:val="auto"/>
        </w:rPr>
      </w:pPr>
      <w:r>
        <w:rPr>
          <w:rFonts w:ascii="Courier New" w:cs="Courier New" w:eastAsia="Courier New" w:hAnsi="Courier New"/>
          <w:sz w:val="12"/>
          <w:szCs w:val="12"/>
          <w:color w:val="auto"/>
        </w:rPr>
        <w:t>entitled</w:t>
      </w:r>
      <w:r>
        <w:rPr>
          <w:sz w:val="20"/>
          <w:szCs w:val="20"/>
          <w:color w:val="auto"/>
        </w:rPr>
        <w:tab/>
      </w:r>
      <w:r>
        <w:rPr>
          <w:rFonts w:ascii="Courier New" w:cs="Courier New" w:eastAsia="Courier New" w:hAnsi="Courier New"/>
          <w:sz w:val="12"/>
          <w:szCs w:val="12"/>
          <w:color w:val="auto"/>
        </w:rPr>
        <w:t>to</w:t>
        <w:tab/>
        <w:t>receive</w:t>
      </w:r>
    </w:p>
    <w:p>
      <w:pPr>
        <w:spacing w:after="0" w:line="6" w:lineRule="exact"/>
        <w:rPr>
          <w:sz w:val="20"/>
          <w:szCs w:val="20"/>
          <w:color w:val="auto"/>
        </w:rPr>
      </w:pPr>
    </w:p>
    <w:p>
      <w:pPr>
        <w:ind w:left="4660"/>
        <w:spacing w:after="0"/>
        <w:tabs>
          <w:tab w:leader="none" w:pos="5160" w:val="left"/>
          <w:tab w:leader="none" w:pos="5520" w:val="left"/>
          <w:tab w:leader="none" w:pos="6040" w:val="left"/>
        </w:tabs>
        <w:rPr>
          <w:sz w:val="20"/>
          <w:szCs w:val="20"/>
          <w:color w:val="auto"/>
        </w:rPr>
      </w:pPr>
      <w:r>
        <w:rPr>
          <w:rFonts w:ascii="Courier New" w:cs="Courier New" w:eastAsia="Courier New" w:hAnsi="Courier New"/>
          <w:sz w:val="12"/>
          <w:szCs w:val="12"/>
          <w:color w:val="auto"/>
        </w:rPr>
        <w:t>under</w:t>
        <w:tab/>
        <w:t>any</w:t>
        <w:tab/>
        <w:t>such</w:t>
        <w:tab/>
        <w:t>claim</w:t>
      </w:r>
    </w:p>
    <w:p>
      <w:pPr>
        <w:spacing w:after="0" w:line="6" w:lineRule="exact"/>
        <w:rPr>
          <w:sz w:val="20"/>
          <w:szCs w:val="20"/>
          <w:color w:val="auto"/>
        </w:rPr>
      </w:pPr>
    </w:p>
    <w:p>
      <w:pPr>
        <w:ind w:left="4660"/>
        <w:spacing w:after="0"/>
        <w:tabs>
          <w:tab w:leader="none" w:pos="5020" w:val="left"/>
        </w:tabs>
        <w:rPr>
          <w:sz w:val="20"/>
          <w:szCs w:val="20"/>
          <w:color w:val="auto"/>
        </w:rPr>
      </w:pPr>
      <w:r>
        <w:rPr>
          <w:rFonts w:ascii="Courier New" w:cs="Courier New" w:eastAsia="Courier New" w:hAnsi="Courier New"/>
          <w:sz w:val="12"/>
          <w:szCs w:val="12"/>
          <w:color w:val="auto"/>
        </w:rPr>
        <w:t>any</w:t>
        <w:tab/>
        <w:t>amount in excess of</w:t>
      </w:r>
    </w:p>
    <w:p>
      <w:pPr>
        <w:spacing w:after="0" w:line="6" w:lineRule="exact"/>
        <w:rPr>
          <w:sz w:val="20"/>
          <w:szCs w:val="20"/>
          <w:color w:val="auto"/>
        </w:rPr>
      </w:pPr>
    </w:p>
    <w:p>
      <w:pPr>
        <w:ind w:left="4660"/>
        <w:spacing w:after="0"/>
        <w:tabs>
          <w:tab w:leader="none" w:pos="5080" w:val="left"/>
          <w:tab w:leader="none" w:pos="5900" w:val="left"/>
        </w:tabs>
        <w:rPr>
          <w:sz w:val="20"/>
          <w:szCs w:val="20"/>
          <w:color w:val="auto"/>
        </w:rPr>
      </w:pPr>
      <w:r>
        <w:rPr>
          <w:rFonts w:ascii="Courier New" w:cs="Courier New" w:eastAsia="Courier New" w:hAnsi="Courier New"/>
          <w:sz w:val="12"/>
          <w:szCs w:val="12"/>
          <w:color w:val="auto"/>
        </w:rPr>
        <w:t>such</w:t>
        <w:tab/>
        <w:t>scheduled</w:t>
        <w:tab/>
        <w:t>payment</w:t>
      </w:r>
    </w:p>
    <w:p>
      <w:pPr>
        <w:spacing w:after="0" w:line="6" w:lineRule="exact"/>
        <w:rPr>
          <w:sz w:val="20"/>
          <w:szCs w:val="20"/>
          <w:color w:val="auto"/>
        </w:rPr>
      </w:pPr>
    </w:p>
    <w:p>
      <w:pPr>
        <w:ind w:left="4660"/>
        <w:spacing w:after="0"/>
        <w:tabs>
          <w:tab w:leader="none" w:pos="5600" w:val="left"/>
        </w:tabs>
        <w:rPr>
          <w:sz w:val="20"/>
          <w:szCs w:val="20"/>
          <w:color w:val="auto"/>
        </w:rPr>
      </w:pPr>
      <w:r>
        <w:rPr>
          <w:rFonts w:ascii="Courier New" w:cs="Courier New" w:eastAsia="Courier New" w:hAnsi="Courier New"/>
          <w:sz w:val="12"/>
          <w:szCs w:val="12"/>
          <w:color w:val="auto"/>
        </w:rPr>
        <w:t>not made as</w:t>
        <w:tab/>
        <w:t>aforesaid);</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2"/>
          <w:szCs w:val="12"/>
          <w:color w:val="auto"/>
        </w:rPr>
        <w:t>or</w:t>
      </w:r>
    </w:p>
    <w:p>
      <w:pPr>
        <w:spacing w:after="0" w:line="289"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- 57 -</w:t>
      </w:r>
    </w:p>
    <w:p>
      <w:pPr>
        <w:spacing w:after="0" w:line="200" w:lineRule="exact"/>
        <w:rPr>
          <w:sz w:val="20"/>
          <w:szCs w:val="20"/>
          <w:color w:val="auto"/>
        </w:rPr>
      </w:pPr>
    </w:p>
    <w:p>
      <w:pPr>
        <w:spacing w:after="0" w:line="353" w:lineRule="exact"/>
        <w:rPr>
          <w:sz w:val="20"/>
          <w:szCs w:val="20"/>
          <w:color w:val="auto"/>
        </w:rPr>
      </w:pPr>
    </w:p>
    <w:p>
      <w:pPr>
        <w:ind w:left="4660"/>
        <w:spacing w:after="0"/>
        <w:rPr>
          <w:sz w:val="20"/>
          <w:szCs w:val="20"/>
          <w:color w:val="auto"/>
        </w:rPr>
      </w:pPr>
      <w:r>
        <w:rPr>
          <w:rFonts w:ascii="Courier New" w:cs="Courier New" w:eastAsia="Courier New" w:hAnsi="Courier New"/>
          <w:sz w:val="12"/>
          <w:szCs w:val="12"/>
          <w:color w:val="auto"/>
        </w:rPr>
        <w:t>(III) Proceedings</w:t>
      </w:r>
    </w:p>
    <w:p>
      <w:pPr>
        <w:spacing w:after="0" w:line="6" w:lineRule="exact"/>
        <w:rPr>
          <w:sz w:val="20"/>
          <w:szCs w:val="20"/>
          <w:color w:val="auto"/>
        </w:rPr>
      </w:pPr>
    </w:p>
    <w:p>
      <w:pPr>
        <w:ind w:left="4660"/>
        <w:spacing w:after="0"/>
        <w:tabs>
          <w:tab w:leader="none" w:pos="5520" w:val="left"/>
        </w:tabs>
        <w:rPr>
          <w:sz w:val="20"/>
          <w:szCs w:val="20"/>
          <w:color w:val="auto"/>
        </w:rPr>
      </w:pPr>
      <w:r>
        <w:rPr>
          <w:rFonts w:ascii="Courier New" w:cs="Courier New" w:eastAsia="Courier New" w:hAnsi="Courier New"/>
          <w:sz w:val="12"/>
          <w:szCs w:val="12"/>
          <w:color w:val="auto"/>
        </w:rPr>
        <w:t>instituted</w:t>
        <w:tab/>
        <w:t>which relate</w:t>
      </w:r>
    </w:p>
    <w:p>
      <w:pPr>
        <w:spacing w:after="0" w:line="6" w:lineRule="exact"/>
        <w:rPr>
          <w:sz w:val="20"/>
          <w:szCs w:val="20"/>
          <w:color w:val="auto"/>
        </w:rPr>
      </w:pPr>
    </w:p>
    <w:p>
      <w:pPr>
        <w:ind w:left="4660"/>
        <w:spacing w:after="0"/>
        <w:tabs>
          <w:tab w:leader="none" w:pos="5160" w:val="left"/>
          <w:tab w:leader="none" w:pos="5520" w:val="left"/>
          <w:tab w:leader="none" w:pos="5820" w:val="left"/>
        </w:tabs>
        <w:rPr>
          <w:sz w:val="20"/>
          <w:szCs w:val="20"/>
          <w:color w:val="auto"/>
        </w:rPr>
      </w:pPr>
      <w:r>
        <w:rPr>
          <w:rFonts w:ascii="Courier New" w:cs="Courier New" w:eastAsia="Courier New" w:hAnsi="Courier New"/>
          <w:sz w:val="12"/>
          <w:szCs w:val="12"/>
          <w:color w:val="auto"/>
        </w:rPr>
        <w:t>only</w:t>
        <w:tab/>
        <w:t>to</w:t>
        <w:tab/>
        <w:t>a</w:t>
        <w:tab/>
        <w:t>material</w:t>
      </w:r>
    </w:p>
    <w:p>
      <w:pPr>
        <w:spacing w:after="0" w:line="6" w:lineRule="exact"/>
        <w:rPr>
          <w:sz w:val="20"/>
          <w:szCs w:val="20"/>
          <w:color w:val="auto"/>
        </w:rPr>
      </w:pPr>
    </w:p>
    <w:p>
      <w:pPr>
        <w:ind w:left="4660"/>
        <w:spacing w:after="0"/>
        <w:tabs>
          <w:tab w:leader="none" w:pos="5520" w:val="left"/>
          <w:tab w:leader="none" w:pos="5980" w:val="left"/>
        </w:tabs>
        <w:rPr>
          <w:sz w:val="20"/>
          <w:szCs w:val="20"/>
          <w:color w:val="auto"/>
        </w:rPr>
      </w:pPr>
      <w:r>
        <w:rPr>
          <w:rFonts w:ascii="Courier New" w:cs="Courier New" w:eastAsia="Courier New" w:hAnsi="Courier New"/>
          <w:sz w:val="12"/>
          <w:szCs w:val="12"/>
          <w:color w:val="auto"/>
        </w:rPr>
        <w:t>misleading</w:t>
        <w:tab/>
        <w:t>fact</w:t>
        <w:tab/>
        <w:t>("PRAT</w:t>
      </w:r>
    </w:p>
    <w:p>
      <w:pPr>
        <w:spacing w:after="0" w:line="6" w:lineRule="exact"/>
        <w:rPr>
          <w:sz w:val="20"/>
          <w:szCs w:val="20"/>
          <w:color w:val="auto"/>
        </w:rPr>
      </w:pPr>
    </w:p>
    <w:p>
      <w:pPr>
        <w:ind w:left="4660"/>
        <w:spacing w:after="0"/>
        <w:tabs>
          <w:tab w:leader="none" w:pos="5600" w:val="left"/>
          <w:tab w:leader="none" w:pos="6120" w:val="left"/>
        </w:tabs>
        <w:rPr>
          <w:sz w:val="20"/>
          <w:szCs w:val="20"/>
          <w:color w:val="auto"/>
        </w:rPr>
      </w:pPr>
      <w:r>
        <w:rPr>
          <w:rFonts w:ascii="Courier New" w:cs="Courier New" w:eastAsia="Courier New" w:hAnsi="Courier New"/>
          <w:sz w:val="12"/>
          <w:szCs w:val="12"/>
          <w:color w:val="auto"/>
        </w:rPr>
        <w:t>MATEH")</w:t>
      </w:r>
      <w:r>
        <w:rPr>
          <w:sz w:val="20"/>
          <w:szCs w:val="20"/>
          <w:color w:val="auto"/>
        </w:rPr>
        <w:tab/>
      </w:r>
      <w:r>
        <w:rPr>
          <w:rFonts w:ascii="Courier New" w:cs="Courier New" w:eastAsia="Courier New" w:hAnsi="Courier New"/>
          <w:sz w:val="12"/>
          <w:szCs w:val="12"/>
          <w:color w:val="auto"/>
        </w:rPr>
        <w:t>in</w:t>
      </w:r>
      <w:r>
        <w:rPr>
          <w:sz w:val="20"/>
          <w:szCs w:val="20"/>
          <w:color w:val="auto"/>
        </w:rPr>
        <w:tab/>
      </w:r>
      <w:r>
        <w:rPr>
          <w:rFonts w:ascii="Courier New" w:cs="Courier New" w:eastAsia="Courier New" w:hAnsi="Courier New"/>
          <w:sz w:val="12"/>
          <w:szCs w:val="12"/>
          <w:color w:val="auto"/>
        </w:rPr>
        <w:t>such</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2"/>
          <w:szCs w:val="12"/>
          <w:color w:val="auto"/>
        </w:rPr>
        <w:t>prospectus;</w:t>
      </w:r>
    </w:p>
    <w:p>
      <w:pPr>
        <w:spacing w:after="0" w:line="147" w:lineRule="exact"/>
        <w:rPr>
          <w:sz w:val="20"/>
          <w:szCs w:val="20"/>
          <w:color w:val="auto"/>
        </w:rPr>
      </w:pPr>
    </w:p>
    <w:p>
      <w:pPr>
        <w:jc w:val="both"/>
        <w:ind w:left="4660"/>
        <w:spacing w:after="0"/>
        <w:tabs>
          <w:tab w:leader="none" w:pos="5080" w:val="left"/>
          <w:tab w:leader="none" w:pos="5680" w:val="left"/>
          <w:tab w:leader="none" w:pos="6260" w:val="left"/>
        </w:tabs>
        <w:rPr>
          <w:sz w:val="20"/>
          <w:szCs w:val="20"/>
          <w:color w:val="auto"/>
        </w:rPr>
      </w:pPr>
      <w:r>
        <w:rPr>
          <w:rFonts w:ascii="Courier New" w:cs="Courier New" w:eastAsia="Courier New" w:hAnsi="Courier New"/>
          <w:sz w:val="12"/>
          <w:szCs w:val="12"/>
          <w:color w:val="auto"/>
        </w:rPr>
        <w:t>In</w:t>
      </w:r>
      <w:r>
        <w:rPr>
          <w:sz w:val="20"/>
          <w:szCs w:val="20"/>
          <w:color w:val="auto"/>
        </w:rPr>
        <w:tab/>
      </w:r>
      <w:r>
        <w:rPr>
          <w:rFonts w:ascii="Courier New" w:cs="Courier New" w:eastAsia="Courier New" w:hAnsi="Courier New"/>
          <w:sz w:val="12"/>
          <w:szCs w:val="12"/>
          <w:color w:val="auto"/>
        </w:rPr>
        <w:t>the</w:t>
      </w:r>
      <w:r>
        <w:rPr>
          <w:sz w:val="20"/>
          <w:szCs w:val="20"/>
          <w:color w:val="auto"/>
        </w:rPr>
        <w:tab/>
      </w:r>
      <w:r>
        <w:rPr>
          <w:rFonts w:ascii="Courier New" w:cs="Courier New" w:eastAsia="Courier New" w:hAnsi="Courier New"/>
          <w:sz w:val="12"/>
          <w:szCs w:val="12"/>
          <w:color w:val="auto"/>
        </w:rPr>
        <w:t>case</w:t>
      </w:r>
      <w:r>
        <w:rPr>
          <w:sz w:val="20"/>
          <w:szCs w:val="20"/>
          <w:color w:val="auto"/>
        </w:rPr>
        <w:tab/>
      </w:r>
      <w:r>
        <w:rPr>
          <w:rFonts w:ascii="Courier New" w:cs="Courier New" w:eastAsia="Courier New" w:hAnsi="Courier New"/>
          <w:sz w:val="12"/>
          <w:szCs w:val="12"/>
          <w:color w:val="auto"/>
        </w:rPr>
        <w:t>of</w:t>
      </w:r>
    </w:p>
    <w:p>
      <w:pPr>
        <w:spacing w:after="0" w:line="6" w:lineRule="exact"/>
        <w:rPr>
          <w:sz w:val="20"/>
          <w:szCs w:val="20"/>
          <w:color w:val="auto"/>
        </w:rPr>
      </w:pPr>
    </w:p>
    <w:p>
      <w:pPr>
        <w:ind w:left="4660"/>
        <w:spacing w:after="0"/>
        <w:tabs>
          <w:tab w:leader="none" w:pos="6260" w:val="left"/>
        </w:tabs>
        <w:rPr>
          <w:sz w:val="20"/>
          <w:szCs w:val="20"/>
          <w:color w:val="auto"/>
        </w:rPr>
      </w:pPr>
      <w:r>
        <w:rPr>
          <w:rFonts w:ascii="Courier New" w:cs="Courier New" w:eastAsia="Courier New" w:hAnsi="Courier New"/>
          <w:sz w:val="12"/>
          <w:szCs w:val="12"/>
          <w:color w:val="auto"/>
        </w:rPr>
        <w:t>subparagraph (I)</w:t>
      </w:r>
      <w:r>
        <w:rPr>
          <w:sz w:val="20"/>
          <w:szCs w:val="20"/>
          <w:color w:val="auto"/>
        </w:rPr>
        <w:tab/>
      </w:r>
      <w:r>
        <w:rPr>
          <w:rFonts w:ascii="Courier New" w:cs="Courier New" w:eastAsia="Courier New" w:hAnsi="Courier New"/>
          <w:sz w:val="12"/>
          <w:szCs w:val="12"/>
          <w:color w:val="auto"/>
        </w:rPr>
        <w:t>or</w:t>
      </w:r>
    </w:p>
    <w:p>
      <w:pPr>
        <w:spacing w:after="0" w:line="6" w:lineRule="exact"/>
        <w:rPr>
          <w:sz w:val="20"/>
          <w:szCs w:val="20"/>
          <w:color w:val="auto"/>
        </w:rPr>
      </w:pPr>
    </w:p>
    <w:p>
      <w:pPr>
        <w:ind w:left="4660"/>
        <w:spacing w:after="0"/>
        <w:tabs>
          <w:tab w:leader="none" w:pos="5160" w:val="left"/>
          <w:tab w:leader="none" w:pos="5820" w:val="left"/>
          <w:tab w:leader="none" w:pos="6200" w:val="left"/>
        </w:tabs>
        <w:rPr>
          <w:sz w:val="20"/>
          <w:szCs w:val="20"/>
          <w:color w:val="auto"/>
        </w:rPr>
      </w:pPr>
      <w:r>
        <w:rPr>
          <w:rFonts w:ascii="Courier New" w:cs="Courier New" w:eastAsia="Courier New" w:hAnsi="Courier New"/>
          <w:sz w:val="12"/>
          <w:szCs w:val="12"/>
          <w:color w:val="auto"/>
        </w:rPr>
        <w:t>(II)</w:t>
        <w:tab/>
        <w:t>above,</w:t>
        <w:tab/>
        <w:t>for</w:t>
        <w:tab/>
        <w:t>the</w:t>
      </w:r>
    </w:p>
    <w:p>
      <w:pPr>
        <w:spacing w:after="0" w:line="6" w:lineRule="exact"/>
        <w:rPr>
          <w:sz w:val="20"/>
          <w:szCs w:val="20"/>
          <w:color w:val="auto"/>
        </w:rPr>
      </w:pPr>
    </w:p>
    <w:p>
      <w:pPr>
        <w:ind w:left="4660"/>
        <w:spacing w:after="0"/>
        <w:tabs>
          <w:tab w:leader="none" w:pos="5460" w:val="left"/>
          <w:tab w:leader="none" w:pos="6260" w:val="left"/>
        </w:tabs>
        <w:rPr>
          <w:sz w:val="20"/>
          <w:szCs w:val="20"/>
          <w:color w:val="auto"/>
        </w:rPr>
      </w:pPr>
      <w:r>
        <w:rPr>
          <w:rFonts w:ascii="Courier New" w:cs="Courier New" w:eastAsia="Courier New" w:hAnsi="Courier New"/>
          <w:sz w:val="12"/>
          <w:szCs w:val="12"/>
          <w:color w:val="auto"/>
        </w:rPr>
        <w:t>further</w:t>
      </w:r>
      <w:r>
        <w:rPr>
          <w:sz w:val="20"/>
          <w:szCs w:val="20"/>
          <w:color w:val="auto"/>
        </w:rPr>
        <w:tab/>
      </w:r>
      <w:r>
        <w:rPr>
          <w:rFonts w:ascii="Courier New" w:cs="Courier New" w:eastAsia="Courier New" w:hAnsi="Courier New"/>
          <w:sz w:val="12"/>
          <w:szCs w:val="12"/>
          <w:color w:val="auto"/>
        </w:rPr>
        <w:t>removal</w:t>
      </w:r>
      <w:r>
        <w:rPr>
          <w:sz w:val="20"/>
          <w:szCs w:val="20"/>
          <w:color w:val="auto"/>
        </w:rPr>
        <w:tab/>
      </w:r>
      <w:r>
        <w:rPr>
          <w:rFonts w:ascii="Courier New" w:cs="Courier New" w:eastAsia="Courier New" w:hAnsi="Courier New"/>
          <w:sz w:val="12"/>
          <w:szCs w:val="12"/>
          <w:color w:val="auto"/>
        </w:rPr>
        <w:t>of</w:t>
      </w:r>
    </w:p>
    <w:p>
      <w:pPr>
        <w:spacing w:after="0" w:line="6" w:lineRule="exact"/>
        <w:rPr>
          <w:sz w:val="20"/>
          <w:szCs w:val="20"/>
          <w:color w:val="auto"/>
        </w:rPr>
      </w:pPr>
    </w:p>
    <w:p>
      <w:pPr>
        <w:ind w:left="4660"/>
        <w:spacing w:after="0"/>
        <w:tabs>
          <w:tab w:leader="none" w:pos="5240" w:val="left"/>
          <w:tab w:leader="none" w:pos="5900" w:val="left"/>
          <w:tab w:leader="none" w:pos="6200" w:val="left"/>
        </w:tabs>
        <w:rPr>
          <w:sz w:val="20"/>
          <w:szCs w:val="20"/>
          <w:color w:val="auto"/>
        </w:rPr>
      </w:pPr>
      <w:r>
        <w:rPr>
          <w:rFonts w:ascii="Courier New" w:cs="Courier New" w:eastAsia="Courier New" w:hAnsi="Courier New"/>
          <w:sz w:val="12"/>
          <w:szCs w:val="12"/>
          <w:color w:val="auto"/>
        </w:rPr>
        <w:t>doubt,</w:t>
        <w:tab/>
        <w:t>subject</w:t>
        <w:tab/>
        <w:t>to</w:t>
        <w:tab/>
        <w:t>the</w:t>
      </w:r>
    </w:p>
    <w:p>
      <w:pPr>
        <w:spacing w:after="0" w:line="6" w:lineRule="exact"/>
        <w:rPr>
          <w:sz w:val="20"/>
          <w:szCs w:val="20"/>
          <w:color w:val="auto"/>
        </w:rPr>
      </w:pPr>
    </w:p>
    <w:p>
      <w:pPr>
        <w:jc w:val="both"/>
        <w:ind w:left="4660"/>
        <w:spacing w:after="0"/>
        <w:tabs>
          <w:tab w:leader="none" w:pos="5300" w:val="left"/>
          <w:tab w:leader="none" w:pos="6260" w:val="left"/>
        </w:tabs>
        <w:rPr>
          <w:sz w:val="20"/>
          <w:szCs w:val="20"/>
          <w:color w:val="auto"/>
        </w:rPr>
      </w:pPr>
      <w:r>
        <w:rPr>
          <w:rFonts w:ascii="Courier New" w:cs="Courier New" w:eastAsia="Courier New" w:hAnsi="Courier New"/>
          <w:sz w:val="12"/>
          <w:szCs w:val="12"/>
          <w:color w:val="auto"/>
        </w:rPr>
        <w:t>Banks</w:t>
      </w:r>
      <w:r>
        <w:rPr>
          <w:sz w:val="20"/>
          <w:szCs w:val="20"/>
          <w:color w:val="auto"/>
        </w:rPr>
        <w:tab/>
      </w:r>
      <w:r>
        <w:rPr>
          <w:rFonts w:ascii="Courier New" w:cs="Courier New" w:eastAsia="Courier New" w:hAnsi="Courier New"/>
          <w:sz w:val="12"/>
          <w:szCs w:val="12"/>
          <w:color w:val="auto"/>
        </w:rPr>
        <w:t>receiving</w:t>
      </w:r>
      <w:r>
        <w:rPr>
          <w:sz w:val="20"/>
          <w:szCs w:val="20"/>
          <w:color w:val="auto"/>
        </w:rPr>
        <w:tab/>
      </w:r>
      <w:r>
        <w:rPr>
          <w:rFonts w:ascii="Courier New" w:cs="Courier New" w:eastAsia="Courier New" w:hAnsi="Courier New"/>
          <w:sz w:val="12"/>
          <w:szCs w:val="12"/>
          <w:color w:val="auto"/>
        </w:rPr>
        <w:t>39</w:t>
      </w:r>
    </w:p>
    <w:p>
      <w:pPr>
        <w:spacing w:after="0" w:line="6" w:lineRule="exact"/>
        <w:rPr>
          <w:sz w:val="20"/>
          <w:szCs w:val="20"/>
          <w:color w:val="auto"/>
        </w:rPr>
      </w:pPr>
    </w:p>
    <w:p>
      <w:pPr>
        <w:jc w:val="right"/>
        <w:ind w:right="2579"/>
        <w:spacing w:after="0"/>
        <w:tabs>
          <w:tab w:leader="none" w:pos="360" w:val="left"/>
        </w:tabs>
        <w:rPr>
          <w:sz w:val="20"/>
          <w:szCs w:val="20"/>
          <w:color w:val="auto"/>
        </w:rPr>
      </w:pPr>
      <w:r>
        <w:rPr>
          <w:rFonts w:ascii="Courier New" w:cs="Courier New" w:eastAsia="Courier New" w:hAnsi="Courier New"/>
          <w:sz w:val="12"/>
          <w:szCs w:val="12"/>
          <w:color w:val="auto"/>
        </w:rPr>
        <w:t>(thirty-nine)</w:t>
      </w:r>
      <w:r>
        <w:rPr>
          <w:sz w:val="20"/>
          <w:szCs w:val="20"/>
          <w:color w:val="auto"/>
        </w:rPr>
        <w:tab/>
      </w:r>
      <w:r>
        <w:rPr>
          <w:rFonts w:ascii="Courier New" w:cs="Courier New" w:eastAsia="Courier New" w:hAnsi="Courier New"/>
          <w:sz w:val="12"/>
          <w:szCs w:val="12"/>
          <w:color w:val="auto"/>
        </w:rPr>
        <w:t>days'</w:t>
      </w:r>
    </w:p>
    <w:p>
      <w:pPr>
        <w:spacing w:after="0" w:line="6" w:lineRule="exact"/>
        <w:rPr>
          <w:sz w:val="20"/>
          <w:szCs w:val="20"/>
          <w:color w:val="auto"/>
        </w:rPr>
      </w:pPr>
    </w:p>
    <w:p>
      <w:pPr>
        <w:ind w:left="4660"/>
        <w:spacing w:after="0"/>
        <w:tabs>
          <w:tab w:leader="none" w:pos="5460" w:val="left"/>
          <w:tab w:leader="none" w:pos="6260" w:val="left"/>
        </w:tabs>
        <w:rPr>
          <w:sz w:val="20"/>
          <w:szCs w:val="20"/>
          <w:color w:val="auto"/>
        </w:rPr>
      </w:pPr>
      <w:r>
        <w:rPr>
          <w:rFonts w:ascii="Courier New" w:cs="Courier New" w:eastAsia="Courier New" w:hAnsi="Courier New"/>
          <w:sz w:val="12"/>
          <w:szCs w:val="12"/>
          <w:color w:val="auto"/>
        </w:rPr>
        <w:t>prior</w:t>
      </w:r>
      <w:r>
        <w:rPr>
          <w:sz w:val="20"/>
          <w:szCs w:val="20"/>
          <w:color w:val="auto"/>
        </w:rPr>
        <w:tab/>
      </w:r>
      <w:r>
        <w:rPr>
          <w:rFonts w:ascii="Courier New" w:cs="Courier New" w:eastAsia="Courier New" w:hAnsi="Courier New"/>
          <w:sz w:val="12"/>
          <w:szCs w:val="12"/>
          <w:color w:val="auto"/>
        </w:rPr>
        <w:t>notice</w:t>
      </w:r>
      <w:r>
        <w:rPr>
          <w:sz w:val="20"/>
          <w:szCs w:val="20"/>
          <w:color w:val="auto"/>
        </w:rPr>
        <w:tab/>
      </w:r>
      <w:r>
        <w:rPr>
          <w:rFonts w:ascii="Courier New" w:cs="Courier New" w:eastAsia="Courier New" w:hAnsi="Courier New"/>
          <w:sz w:val="12"/>
          <w:szCs w:val="12"/>
          <w:color w:val="auto"/>
        </w:rPr>
        <w:t>as</w:t>
      </w:r>
    </w:p>
    <w:p>
      <w:pPr>
        <w:spacing w:after="0" w:line="6" w:lineRule="exact"/>
        <w:rPr>
          <w:sz w:val="20"/>
          <w:szCs w:val="20"/>
          <w:color w:val="auto"/>
        </w:rPr>
      </w:pPr>
    </w:p>
    <w:p>
      <w:pPr>
        <w:ind w:left="4660"/>
        <w:spacing w:after="0"/>
        <w:tabs>
          <w:tab w:leader="none" w:pos="5460" w:val="left"/>
          <w:tab w:leader="none" w:pos="6260" w:val="left"/>
        </w:tabs>
        <w:rPr>
          <w:sz w:val="20"/>
          <w:szCs w:val="20"/>
          <w:color w:val="auto"/>
        </w:rPr>
      </w:pPr>
      <w:r>
        <w:rPr>
          <w:rFonts w:ascii="Courier New" w:cs="Courier New" w:eastAsia="Courier New" w:hAnsi="Courier New"/>
          <w:sz w:val="12"/>
          <w:szCs w:val="12"/>
          <w:color w:val="auto"/>
        </w:rPr>
        <w:t>required</w:t>
        <w:tab/>
        <w:t>pursuant</w:t>
        <w:tab/>
        <w:t>to</w:t>
      </w:r>
    </w:p>
    <w:p>
      <w:pPr>
        <w:spacing w:after="0" w:line="6" w:lineRule="exact"/>
        <w:rPr>
          <w:sz w:val="20"/>
          <w:szCs w:val="20"/>
          <w:color w:val="auto"/>
        </w:rPr>
      </w:pPr>
    </w:p>
    <w:p>
      <w:pPr>
        <w:ind w:left="4660"/>
        <w:spacing w:after="0"/>
        <w:tabs>
          <w:tab w:leader="none" w:pos="6040" w:val="left"/>
        </w:tabs>
        <w:rPr>
          <w:sz w:val="20"/>
          <w:szCs w:val="20"/>
          <w:color w:val="auto"/>
        </w:rPr>
      </w:pPr>
      <w:r>
        <w:rPr>
          <w:rFonts w:ascii="Courier New" w:cs="Courier New" w:eastAsia="Courier New" w:hAnsi="Courier New"/>
          <w:sz w:val="12"/>
          <w:szCs w:val="12"/>
          <w:color w:val="auto"/>
        </w:rPr>
        <w:t>clause 1.1.118(d)</w:t>
        <w:tab/>
        <w:t>above</w:t>
      </w:r>
    </w:p>
    <w:p>
      <w:pPr>
        <w:spacing w:after="0" w:line="6" w:lineRule="exact"/>
        <w:rPr>
          <w:sz w:val="20"/>
          <w:szCs w:val="20"/>
          <w:color w:val="auto"/>
        </w:rPr>
      </w:pPr>
    </w:p>
    <w:p>
      <w:pPr>
        <w:ind w:left="4660"/>
        <w:spacing w:after="0"/>
        <w:tabs>
          <w:tab w:leader="none" w:pos="5300" w:val="left"/>
          <w:tab w:leader="none" w:pos="6260" w:val="left"/>
        </w:tabs>
        <w:rPr>
          <w:sz w:val="20"/>
          <w:szCs w:val="20"/>
          <w:color w:val="auto"/>
        </w:rPr>
      </w:pPr>
      <w:r>
        <w:rPr>
          <w:rFonts w:ascii="Courier New" w:cs="Courier New" w:eastAsia="Courier New" w:hAnsi="Courier New"/>
          <w:sz w:val="12"/>
          <w:szCs w:val="12"/>
          <w:color w:val="auto"/>
        </w:rPr>
        <w:t>before</w:t>
        <w:tab/>
        <w:t>institution</w:t>
        <w:tab/>
        <w:t>of</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2"/>
          <w:szCs w:val="12"/>
          <w:color w:val="auto"/>
        </w:rPr>
        <w:t>any such Proceedings; or</w:t>
      </w:r>
    </w:p>
    <w:p>
      <w:pPr>
        <w:spacing w:after="0" w:line="289"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- 58 -</w:t>
      </w:r>
    </w:p>
    <w:p>
      <w:pPr>
        <w:spacing w:after="0" w:line="200" w:lineRule="exact"/>
        <w:rPr>
          <w:sz w:val="20"/>
          <w:szCs w:val="20"/>
          <w:color w:val="auto"/>
        </w:rPr>
      </w:pPr>
    </w:p>
    <w:p>
      <w:pPr>
        <w:spacing w:after="0" w:line="353" w:lineRule="exact"/>
        <w:rPr>
          <w:sz w:val="20"/>
          <w:szCs w:val="20"/>
          <w:color w:val="auto"/>
        </w:rPr>
      </w:pPr>
    </w:p>
    <w:p>
      <w:pPr>
        <w:ind w:left="4660"/>
        <w:spacing w:after="0"/>
        <w:tabs>
          <w:tab w:leader="none" w:pos="5240" w:val="left"/>
          <w:tab w:leader="none" w:pos="5980" w:val="left"/>
        </w:tabs>
        <w:rPr>
          <w:sz w:val="20"/>
          <w:szCs w:val="20"/>
          <w:color w:val="auto"/>
        </w:rPr>
      </w:pPr>
      <w:r>
        <w:rPr>
          <w:rFonts w:ascii="Courier New" w:cs="Courier New" w:eastAsia="Courier New" w:hAnsi="Courier New"/>
          <w:sz w:val="12"/>
          <w:szCs w:val="12"/>
          <w:color w:val="auto"/>
        </w:rPr>
        <w:t>(B) a</w:t>
        <w:tab/>
        <w:t>Default</w:t>
      </w:r>
      <w:r>
        <w:rPr>
          <w:sz w:val="20"/>
          <w:szCs w:val="20"/>
          <w:color w:val="auto"/>
        </w:rPr>
        <w:tab/>
      </w:r>
      <w:r>
        <w:rPr>
          <w:rFonts w:ascii="Courier New" w:cs="Courier New" w:eastAsia="Courier New" w:hAnsi="Courier New"/>
          <w:sz w:val="12"/>
          <w:szCs w:val="12"/>
          <w:color w:val="auto"/>
        </w:rPr>
        <w:t>occurs</w:t>
      </w:r>
    </w:p>
    <w:p>
      <w:pPr>
        <w:spacing w:after="0" w:line="6" w:lineRule="exact"/>
        <w:rPr>
          <w:sz w:val="20"/>
          <w:szCs w:val="20"/>
          <w:color w:val="auto"/>
        </w:rPr>
      </w:pPr>
    </w:p>
    <w:p>
      <w:pPr>
        <w:ind w:left="4660"/>
        <w:spacing w:after="0"/>
        <w:tabs>
          <w:tab w:leader="none" w:pos="5600" w:val="left"/>
        </w:tabs>
        <w:rPr>
          <w:sz w:val="20"/>
          <w:szCs w:val="20"/>
          <w:color w:val="auto"/>
        </w:rPr>
      </w:pPr>
      <w:r>
        <w:rPr>
          <w:rFonts w:ascii="Courier New" w:cs="Courier New" w:eastAsia="Courier New" w:hAnsi="Courier New"/>
          <w:sz w:val="12"/>
          <w:szCs w:val="12"/>
          <w:color w:val="auto"/>
        </w:rPr>
        <w:t>pursuant to</w:t>
        <w:tab/>
        <w:t>clause 17.7</w:t>
      </w:r>
    </w:p>
    <w:p>
      <w:pPr>
        <w:spacing w:after="0" w:line="6" w:lineRule="exact"/>
        <w:rPr>
          <w:sz w:val="20"/>
          <w:szCs w:val="20"/>
          <w:color w:val="auto"/>
        </w:rPr>
      </w:pPr>
    </w:p>
    <w:p>
      <w:pPr>
        <w:ind w:left="4660"/>
        <w:spacing w:after="0"/>
        <w:tabs>
          <w:tab w:leader="none" w:pos="5240" w:val="left"/>
          <w:tab w:leader="none" w:pos="5600" w:val="left"/>
          <w:tab w:leader="none" w:pos="5900" w:val="left"/>
        </w:tabs>
        <w:rPr>
          <w:sz w:val="20"/>
          <w:szCs w:val="20"/>
          <w:color w:val="auto"/>
        </w:rPr>
      </w:pPr>
      <w:r>
        <w:rPr>
          <w:rFonts w:ascii="Courier New" w:cs="Courier New" w:eastAsia="Courier New" w:hAnsi="Courier New"/>
          <w:sz w:val="12"/>
          <w:szCs w:val="12"/>
          <w:color w:val="auto"/>
        </w:rPr>
        <w:t>(save</w:t>
        <w:tab/>
        <w:t>for</w:t>
        <w:tab/>
        <w:t>a</w:t>
        <w:tab/>
        <w:t>Default</w:t>
      </w:r>
    </w:p>
    <w:p>
      <w:pPr>
        <w:spacing w:after="0" w:line="6" w:lineRule="exact"/>
        <w:rPr>
          <w:sz w:val="20"/>
          <w:szCs w:val="20"/>
          <w:color w:val="auto"/>
        </w:rPr>
      </w:pPr>
    </w:p>
    <w:p>
      <w:pPr>
        <w:jc w:val="both"/>
        <w:ind w:left="4660"/>
        <w:spacing w:after="0"/>
        <w:tabs>
          <w:tab w:leader="none" w:pos="5520" w:val="left"/>
          <w:tab w:leader="none" w:pos="5900" w:val="left"/>
        </w:tabs>
        <w:rPr>
          <w:sz w:val="20"/>
          <w:szCs w:val="20"/>
          <w:color w:val="auto"/>
        </w:rPr>
      </w:pPr>
      <w:r>
        <w:rPr>
          <w:rFonts w:ascii="Courier New" w:cs="Courier New" w:eastAsia="Courier New" w:hAnsi="Courier New"/>
          <w:sz w:val="12"/>
          <w:szCs w:val="12"/>
          <w:color w:val="auto"/>
        </w:rPr>
        <w:t>referred</w:t>
      </w:r>
      <w:r>
        <w:rPr>
          <w:sz w:val="20"/>
          <w:szCs w:val="20"/>
          <w:color w:val="auto"/>
        </w:rPr>
        <w:tab/>
      </w:r>
      <w:r>
        <w:rPr>
          <w:rFonts w:ascii="Courier New" w:cs="Courier New" w:eastAsia="Courier New" w:hAnsi="Courier New"/>
          <w:sz w:val="12"/>
          <w:szCs w:val="12"/>
          <w:color w:val="auto"/>
        </w:rPr>
        <w:t>to</w:t>
        <w:tab/>
        <w:t>therein</w:t>
      </w:r>
    </w:p>
    <w:p>
      <w:pPr>
        <w:spacing w:after="0" w:line="6" w:lineRule="exact"/>
        <w:rPr>
          <w:sz w:val="20"/>
          <w:szCs w:val="20"/>
          <w:color w:val="auto"/>
        </w:rPr>
      </w:pPr>
    </w:p>
    <w:p>
      <w:pPr>
        <w:jc w:val="both"/>
        <w:ind w:left="4660"/>
        <w:spacing w:after="0"/>
        <w:tabs>
          <w:tab w:leader="none" w:pos="5680" w:val="left"/>
          <w:tab w:leader="none" w:pos="6200" w:val="left"/>
        </w:tabs>
        <w:rPr>
          <w:sz w:val="20"/>
          <w:szCs w:val="20"/>
          <w:color w:val="auto"/>
        </w:rPr>
      </w:pPr>
      <w:r>
        <w:rPr>
          <w:rFonts w:ascii="Courier New" w:cs="Courier New" w:eastAsia="Courier New" w:hAnsi="Courier New"/>
          <w:sz w:val="12"/>
          <w:szCs w:val="12"/>
          <w:color w:val="auto"/>
        </w:rPr>
        <w:t>comprising</w:t>
      </w:r>
      <w:r>
        <w:rPr>
          <w:sz w:val="20"/>
          <w:szCs w:val="20"/>
          <w:color w:val="auto"/>
        </w:rPr>
        <w:tab/>
      </w:r>
      <w:r>
        <w:rPr>
          <w:rFonts w:ascii="Courier New" w:cs="Courier New" w:eastAsia="Courier New" w:hAnsi="Courier New"/>
          <w:sz w:val="12"/>
          <w:szCs w:val="12"/>
          <w:color w:val="auto"/>
        </w:rPr>
        <w:t>only</w:t>
        <w:tab/>
        <w:t>the</w:t>
      </w:r>
    </w:p>
    <w:p>
      <w:pPr>
        <w:spacing w:after="0" w:line="6" w:lineRule="exact"/>
        <w:rPr>
          <w:sz w:val="20"/>
          <w:szCs w:val="20"/>
          <w:color w:val="auto"/>
        </w:rPr>
      </w:pPr>
    </w:p>
    <w:p>
      <w:pPr>
        <w:jc w:val="both"/>
        <w:ind w:left="4660"/>
        <w:spacing w:after="0"/>
        <w:tabs>
          <w:tab w:leader="none" w:pos="6260" w:val="left"/>
        </w:tabs>
        <w:rPr>
          <w:sz w:val="20"/>
          <w:szCs w:val="20"/>
          <w:color w:val="auto"/>
        </w:rPr>
      </w:pPr>
      <w:r>
        <w:rPr>
          <w:rFonts w:ascii="Courier New" w:cs="Courier New" w:eastAsia="Courier New" w:hAnsi="Courier New"/>
          <w:sz w:val="12"/>
          <w:szCs w:val="12"/>
          <w:color w:val="auto"/>
        </w:rPr>
        <w:t>commencement</w:t>
      </w:r>
      <w:r>
        <w:rPr>
          <w:sz w:val="20"/>
          <w:szCs w:val="20"/>
          <w:color w:val="auto"/>
        </w:rPr>
        <w:tab/>
      </w:r>
      <w:r>
        <w:rPr>
          <w:rFonts w:ascii="Courier New" w:cs="Courier New" w:eastAsia="Courier New" w:hAnsi="Courier New"/>
          <w:sz w:val="12"/>
          <w:szCs w:val="12"/>
          <w:color w:val="auto"/>
        </w:rPr>
        <w:t>of</w:t>
      </w:r>
    </w:p>
    <w:p>
      <w:pPr>
        <w:spacing w:after="0" w:line="6" w:lineRule="exact"/>
        <w:rPr>
          <w:sz w:val="20"/>
          <w:szCs w:val="20"/>
          <w:color w:val="auto"/>
        </w:rPr>
      </w:pPr>
    </w:p>
    <w:p>
      <w:pPr>
        <w:jc w:val="both"/>
        <w:ind w:left="4660"/>
        <w:spacing w:after="0"/>
        <w:tabs>
          <w:tab w:leader="none" w:pos="5820" w:val="left"/>
          <w:tab w:leader="none" w:pos="6200" w:val="left"/>
        </w:tabs>
        <w:rPr>
          <w:sz w:val="20"/>
          <w:szCs w:val="20"/>
          <w:color w:val="auto"/>
        </w:rPr>
      </w:pPr>
      <w:r>
        <w:rPr>
          <w:rFonts w:ascii="Courier New" w:cs="Courier New" w:eastAsia="Courier New" w:hAnsi="Courier New"/>
          <w:sz w:val="12"/>
          <w:szCs w:val="12"/>
          <w:color w:val="auto"/>
        </w:rPr>
        <w:t>negotiations</w:t>
      </w:r>
      <w:r>
        <w:rPr>
          <w:sz w:val="20"/>
          <w:szCs w:val="20"/>
          <w:color w:val="auto"/>
        </w:rPr>
        <w:tab/>
      </w:r>
      <w:r>
        <w:rPr>
          <w:rFonts w:ascii="Courier New" w:cs="Courier New" w:eastAsia="Courier New" w:hAnsi="Courier New"/>
          <w:sz w:val="12"/>
          <w:szCs w:val="12"/>
          <w:color w:val="auto"/>
        </w:rPr>
        <w:t>by</w:t>
        <w:tab/>
        <w:t>the</w:t>
      </w:r>
    </w:p>
    <w:p>
      <w:pPr>
        <w:spacing w:after="0" w:line="6" w:lineRule="exact"/>
        <w:rPr>
          <w:sz w:val="20"/>
          <w:szCs w:val="20"/>
          <w:color w:val="auto"/>
        </w:rPr>
      </w:pPr>
    </w:p>
    <w:p>
      <w:pPr>
        <w:ind w:left="4660"/>
        <w:spacing w:after="0"/>
        <w:tabs>
          <w:tab w:leader="none" w:pos="6120" w:val="left"/>
        </w:tabs>
        <w:rPr>
          <w:sz w:val="20"/>
          <w:szCs w:val="20"/>
          <w:color w:val="auto"/>
        </w:rPr>
      </w:pPr>
      <w:r>
        <w:rPr>
          <w:rFonts w:ascii="Courier New" w:cs="Courier New" w:eastAsia="Courier New" w:hAnsi="Courier New"/>
          <w:sz w:val="12"/>
          <w:szCs w:val="12"/>
          <w:color w:val="auto"/>
        </w:rPr>
        <w:t>Borrower</w:t>
      </w:r>
      <w:r>
        <w:rPr>
          <w:sz w:val="20"/>
          <w:szCs w:val="20"/>
          <w:color w:val="auto"/>
        </w:rPr>
        <w:tab/>
      </w:r>
      <w:r>
        <w:rPr>
          <w:rFonts w:ascii="Courier New" w:cs="Courier New" w:eastAsia="Courier New" w:hAnsi="Courier New"/>
          <w:sz w:val="12"/>
          <w:szCs w:val="12"/>
          <w:color w:val="auto"/>
        </w:rPr>
        <w:t>with</w:t>
      </w:r>
    </w:p>
    <w:p>
      <w:pPr>
        <w:spacing w:after="0" w:line="6" w:lineRule="exact"/>
        <w:rPr>
          <w:sz w:val="20"/>
          <w:szCs w:val="20"/>
          <w:color w:val="auto"/>
        </w:rPr>
      </w:pPr>
    </w:p>
    <w:p>
      <w:pPr>
        <w:ind w:left="4660"/>
        <w:spacing w:after="0"/>
        <w:tabs>
          <w:tab w:leader="none" w:pos="5520" w:val="left"/>
        </w:tabs>
        <w:rPr>
          <w:sz w:val="20"/>
          <w:szCs w:val="20"/>
          <w:color w:val="auto"/>
        </w:rPr>
      </w:pPr>
      <w:r>
        <w:rPr>
          <w:rFonts w:ascii="Courier New" w:cs="Courier New" w:eastAsia="Courier New" w:hAnsi="Courier New"/>
          <w:sz w:val="12"/>
          <w:szCs w:val="12"/>
          <w:color w:val="auto"/>
        </w:rPr>
        <w:t>individual</w:t>
        <w:tab/>
        <w:t>suppliers of</w:t>
      </w:r>
    </w:p>
    <w:p>
      <w:pPr>
        <w:spacing w:after="0" w:line="6" w:lineRule="exact"/>
        <w:rPr>
          <w:sz w:val="20"/>
          <w:szCs w:val="20"/>
          <w:color w:val="auto"/>
        </w:rPr>
      </w:pPr>
    </w:p>
    <w:p>
      <w:pPr>
        <w:ind w:left="4660"/>
        <w:spacing w:after="0"/>
        <w:tabs>
          <w:tab w:leader="none" w:pos="5020" w:val="left"/>
        </w:tabs>
        <w:rPr>
          <w:sz w:val="20"/>
          <w:szCs w:val="20"/>
          <w:color w:val="auto"/>
        </w:rPr>
      </w:pPr>
      <w:r>
        <w:rPr>
          <w:rFonts w:ascii="Courier New" w:cs="Courier New" w:eastAsia="Courier New" w:hAnsi="Courier New"/>
          <w:sz w:val="12"/>
          <w:szCs w:val="12"/>
          <w:color w:val="auto"/>
        </w:rPr>
        <w:t>the</w:t>
        <w:tab/>
        <w:t>Borrower to make an</w:t>
      </w:r>
    </w:p>
    <w:p>
      <w:pPr>
        <w:spacing w:after="0" w:line="6" w:lineRule="exact"/>
        <w:rPr>
          <w:sz w:val="20"/>
          <w:szCs w:val="20"/>
          <w:color w:val="auto"/>
        </w:rPr>
      </w:pPr>
    </w:p>
    <w:p>
      <w:pPr>
        <w:jc w:val="both"/>
        <w:ind w:left="4660"/>
        <w:spacing w:after="0"/>
        <w:tabs>
          <w:tab w:leader="none" w:pos="6260" w:val="left"/>
        </w:tabs>
        <w:rPr>
          <w:sz w:val="20"/>
          <w:szCs w:val="20"/>
          <w:color w:val="auto"/>
        </w:rPr>
      </w:pPr>
      <w:r>
        <w:rPr>
          <w:rFonts w:ascii="Courier New" w:cs="Courier New" w:eastAsia="Courier New" w:hAnsi="Courier New"/>
          <w:sz w:val="12"/>
          <w:szCs w:val="12"/>
          <w:color w:val="auto"/>
        </w:rPr>
        <w:t>adjustment</w:t>
      </w:r>
      <w:r>
        <w:rPr>
          <w:sz w:val="20"/>
          <w:szCs w:val="20"/>
          <w:color w:val="auto"/>
        </w:rPr>
        <w:tab/>
      </w:r>
      <w:r>
        <w:rPr>
          <w:rFonts w:ascii="Courier New" w:cs="Courier New" w:eastAsia="Courier New" w:hAnsi="Courier New"/>
          <w:sz w:val="12"/>
          <w:szCs w:val="12"/>
          <w:color w:val="auto"/>
        </w:rPr>
        <w:t>or</w:t>
      </w:r>
    </w:p>
    <w:p>
      <w:pPr>
        <w:spacing w:after="0" w:line="6" w:lineRule="exact"/>
        <w:rPr>
          <w:sz w:val="20"/>
          <w:szCs w:val="20"/>
          <w:color w:val="auto"/>
        </w:rPr>
      </w:pPr>
    </w:p>
    <w:p>
      <w:pPr>
        <w:ind w:left="4660"/>
        <w:spacing w:after="0"/>
        <w:tabs>
          <w:tab w:leader="none" w:pos="5820" w:val="left"/>
          <w:tab w:leader="none" w:pos="6200" w:val="left"/>
        </w:tabs>
        <w:rPr>
          <w:sz w:val="20"/>
          <w:szCs w:val="20"/>
          <w:color w:val="auto"/>
        </w:rPr>
      </w:pPr>
      <w:r>
        <w:rPr>
          <w:rFonts w:ascii="Courier New" w:cs="Courier New" w:eastAsia="Courier New" w:hAnsi="Courier New"/>
          <w:sz w:val="12"/>
          <w:szCs w:val="12"/>
          <w:color w:val="auto"/>
        </w:rPr>
        <w:t>rescheduling</w:t>
      </w:r>
      <w:r>
        <w:rPr>
          <w:sz w:val="20"/>
          <w:szCs w:val="20"/>
          <w:color w:val="auto"/>
        </w:rPr>
        <w:tab/>
      </w:r>
      <w:r>
        <w:rPr>
          <w:rFonts w:ascii="Courier New" w:cs="Courier New" w:eastAsia="Courier New" w:hAnsi="Courier New"/>
          <w:sz w:val="12"/>
          <w:szCs w:val="12"/>
          <w:color w:val="auto"/>
        </w:rPr>
        <w:t>of</w:t>
        <w:tab/>
        <w:t>its</w:t>
      </w:r>
    </w:p>
    <w:p>
      <w:pPr>
        <w:spacing w:after="0" w:line="6" w:lineRule="exact"/>
        <w:rPr>
          <w:sz w:val="20"/>
          <w:szCs w:val="20"/>
          <w:color w:val="auto"/>
        </w:rPr>
      </w:pPr>
    </w:p>
    <w:p>
      <w:pPr>
        <w:ind w:left="4660"/>
        <w:spacing w:after="0"/>
        <w:tabs>
          <w:tab w:leader="none" w:pos="5740" w:val="left"/>
          <w:tab w:leader="none" w:pos="6120" w:val="left"/>
        </w:tabs>
        <w:rPr>
          <w:sz w:val="20"/>
          <w:szCs w:val="20"/>
          <w:color w:val="auto"/>
        </w:rPr>
      </w:pPr>
      <w:r>
        <w:rPr>
          <w:rFonts w:ascii="Courier New" w:cs="Courier New" w:eastAsia="Courier New" w:hAnsi="Courier New"/>
          <w:sz w:val="12"/>
          <w:szCs w:val="12"/>
          <w:color w:val="auto"/>
        </w:rPr>
        <w:t>Indebtedness</w:t>
        <w:tab/>
        <w:t>to</w:t>
        <w:tab/>
        <w:t>such</w:t>
      </w:r>
    </w:p>
    <w:p>
      <w:pPr>
        <w:spacing w:after="0" w:line="6" w:lineRule="exact"/>
        <w:rPr>
          <w:sz w:val="20"/>
          <w:szCs w:val="20"/>
          <w:color w:val="auto"/>
        </w:rPr>
      </w:pPr>
    </w:p>
    <w:p>
      <w:pPr>
        <w:jc w:val="both"/>
        <w:ind w:left="4660"/>
        <w:spacing w:after="0"/>
        <w:tabs>
          <w:tab w:leader="none" w:pos="5740" w:val="left"/>
          <w:tab w:leader="none" w:pos="6260" w:val="left"/>
        </w:tabs>
        <w:rPr>
          <w:sz w:val="20"/>
          <w:szCs w:val="20"/>
          <w:color w:val="auto"/>
        </w:rPr>
      </w:pPr>
      <w:r>
        <w:rPr>
          <w:rFonts w:ascii="Courier New" w:cs="Courier New" w:eastAsia="Courier New" w:hAnsi="Courier New"/>
          <w:sz w:val="12"/>
          <w:szCs w:val="12"/>
          <w:color w:val="auto"/>
        </w:rPr>
        <w:t>suppliers),</w:t>
      </w:r>
      <w:r>
        <w:rPr>
          <w:sz w:val="20"/>
          <w:szCs w:val="20"/>
          <w:color w:val="auto"/>
        </w:rPr>
        <w:tab/>
      </w:r>
      <w:r>
        <w:rPr>
          <w:rFonts w:ascii="Courier New" w:cs="Courier New" w:eastAsia="Courier New" w:hAnsi="Courier New"/>
          <w:sz w:val="12"/>
          <w:szCs w:val="12"/>
          <w:color w:val="auto"/>
        </w:rPr>
        <w:t>17.8</w:t>
        <w:tab/>
        <w:t>or</w:t>
      </w:r>
    </w:p>
    <w:p>
      <w:pPr>
        <w:spacing w:after="0" w:line="6" w:lineRule="exact"/>
        <w:rPr>
          <w:sz w:val="20"/>
          <w:szCs w:val="20"/>
          <w:color w:val="auto"/>
        </w:rPr>
      </w:pPr>
    </w:p>
    <w:p>
      <w:pPr>
        <w:jc w:val="right"/>
        <w:ind w:right="2579"/>
        <w:spacing w:after="0"/>
        <w:tabs>
          <w:tab w:leader="none" w:pos="1160" w:val="left"/>
          <w:tab w:leader="none" w:pos="500" w:val="left"/>
          <w:tab w:leader="none" w:pos="60" w:val="left"/>
        </w:tabs>
        <w:rPr>
          <w:sz w:val="20"/>
          <w:szCs w:val="20"/>
          <w:color w:val="auto"/>
        </w:rPr>
      </w:pPr>
      <w:r>
        <w:rPr>
          <w:rFonts w:ascii="Courier New" w:cs="Courier New" w:eastAsia="Courier New" w:hAnsi="Courier New"/>
          <w:sz w:val="12"/>
          <w:szCs w:val="12"/>
          <w:color w:val="auto"/>
        </w:rPr>
        <w:t>17.9</w:t>
      </w:r>
      <w:r>
        <w:rPr>
          <w:sz w:val="20"/>
          <w:szCs w:val="20"/>
          <w:color w:val="auto"/>
        </w:rPr>
        <w:tab/>
      </w:r>
      <w:r>
        <w:rPr>
          <w:rFonts w:ascii="Courier New" w:cs="Courier New" w:eastAsia="Courier New" w:hAnsi="Courier New"/>
          <w:sz w:val="12"/>
          <w:szCs w:val="12"/>
          <w:color w:val="auto"/>
        </w:rPr>
        <w:t>(save</w:t>
      </w:r>
      <w:r>
        <w:rPr>
          <w:sz w:val="20"/>
          <w:szCs w:val="20"/>
          <w:color w:val="auto"/>
        </w:rPr>
        <w:tab/>
      </w:r>
      <w:r>
        <w:rPr>
          <w:rFonts w:ascii="Courier New" w:cs="Courier New" w:eastAsia="Courier New" w:hAnsi="Courier New"/>
          <w:sz w:val="12"/>
          <w:szCs w:val="12"/>
          <w:color w:val="auto"/>
        </w:rPr>
        <w:t>for</w:t>
        <w:tab/>
        <w:t>a</w:t>
      </w:r>
    </w:p>
    <w:p>
      <w:pPr>
        <w:spacing w:after="0" w:line="6" w:lineRule="exact"/>
        <w:rPr>
          <w:sz w:val="20"/>
          <w:szCs w:val="20"/>
          <w:color w:val="auto"/>
        </w:rPr>
      </w:pPr>
    </w:p>
    <w:p>
      <w:pPr>
        <w:jc w:val="both"/>
        <w:ind w:left="4660"/>
        <w:spacing w:after="0"/>
        <w:tabs>
          <w:tab w:leader="none" w:pos="5460" w:val="left"/>
          <w:tab w:leader="none" w:pos="6260" w:val="left"/>
        </w:tabs>
        <w:rPr>
          <w:sz w:val="20"/>
          <w:szCs w:val="20"/>
          <w:color w:val="auto"/>
        </w:rPr>
      </w:pPr>
      <w:r>
        <w:rPr>
          <w:rFonts w:ascii="Courier New" w:cs="Courier New" w:eastAsia="Courier New" w:hAnsi="Courier New"/>
          <w:sz w:val="12"/>
          <w:szCs w:val="12"/>
          <w:color w:val="auto"/>
        </w:rPr>
        <w:t>Default</w:t>
      </w:r>
      <w:r>
        <w:rPr>
          <w:sz w:val="20"/>
          <w:szCs w:val="20"/>
          <w:color w:val="auto"/>
        </w:rPr>
        <w:tab/>
      </w:r>
      <w:r>
        <w:rPr>
          <w:rFonts w:ascii="Courier New" w:cs="Courier New" w:eastAsia="Courier New" w:hAnsi="Courier New"/>
          <w:sz w:val="12"/>
          <w:szCs w:val="12"/>
          <w:color w:val="auto"/>
        </w:rPr>
        <w:t>referred</w:t>
        <w:tab/>
        <w:t>to</w:t>
      </w:r>
    </w:p>
    <w:p>
      <w:pPr>
        <w:spacing w:after="0" w:line="6" w:lineRule="exact"/>
        <w:rPr>
          <w:sz w:val="20"/>
          <w:szCs w:val="20"/>
          <w:color w:val="auto"/>
        </w:rPr>
      </w:pPr>
    </w:p>
    <w:p>
      <w:pPr>
        <w:jc w:val="both"/>
        <w:ind w:left="4660"/>
        <w:spacing w:after="0"/>
        <w:tabs>
          <w:tab w:leader="none" w:pos="5520" w:val="left"/>
          <w:tab w:leader="none" w:pos="6200" w:val="left"/>
        </w:tabs>
        <w:rPr>
          <w:sz w:val="20"/>
          <w:szCs w:val="20"/>
          <w:color w:val="auto"/>
        </w:rPr>
      </w:pPr>
      <w:r>
        <w:rPr>
          <w:rFonts w:ascii="Courier New" w:cs="Courier New" w:eastAsia="Courier New" w:hAnsi="Courier New"/>
          <w:sz w:val="12"/>
          <w:szCs w:val="12"/>
          <w:color w:val="auto"/>
        </w:rPr>
        <w:t>therein</w:t>
      </w:r>
      <w:r>
        <w:rPr>
          <w:sz w:val="20"/>
          <w:szCs w:val="20"/>
          <w:color w:val="auto"/>
        </w:rPr>
        <w:tab/>
      </w:r>
      <w:r>
        <w:rPr>
          <w:rFonts w:ascii="Courier New" w:cs="Courier New" w:eastAsia="Courier New" w:hAnsi="Courier New"/>
          <w:sz w:val="12"/>
          <w:szCs w:val="12"/>
          <w:color w:val="auto"/>
        </w:rPr>
        <w:t>where</w:t>
      </w:r>
      <w:r>
        <w:rPr>
          <w:sz w:val="20"/>
          <w:szCs w:val="20"/>
          <w:color w:val="auto"/>
        </w:rPr>
        <w:tab/>
      </w:r>
      <w:r>
        <w:rPr>
          <w:rFonts w:ascii="Courier New" w:cs="Courier New" w:eastAsia="Courier New" w:hAnsi="Courier New"/>
          <w:sz w:val="12"/>
          <w:szCs w:val="12"/>
          <w:color w:val="auto"/>
        </w:rPr>
        <w:t>the</w:t>
      </w:r>
    </w:p>
    <w:p>
      <w:pPr>
        <w:spacing w:after="0" w:line="6" w:lineRule="exact"/>
        <w:rPr>
          <w:sz w:val="20"/>
          <w:szCs w:val="20"/>
          <w:color w:val="auto"/>
        </w:rPr>
      </w:pPr>
    </w:p>
    <w:p>
      <w:pPr>
        <w:ind w:left="4660"/>
        <w:spacing w:after="0"/>
        <w:tabs>
          <w:tab w:leader="none" w:pos="5460" w:val="left"/>
          <w:tab w:leader="none" w:pos="6200" w:val="left"/>
        </w:tabs>
        <w:rPr>
          <w:sz w:val="20"/>
          <w:szCs w:val="20"/>
          <w:color w:val="auto"/>
        </w:rPr>
      </w:pPr>
      <w:r>
        <w:rPr>
          <w:rFonts w:ascii="Courier New" w:cs="Courier New" w:eastAsia="Courier New" w:hAnsi="Courier New"/>
          <w:sz w:val="12"/>
          <w:szCs w:val="12"/>
          <w:color w:val="auto"/>
        </w:rPr>
        <w:t>amount</w:t>
      </w:r>
      <w:r>
        <w:rPr>
          <w:sz w:val="20"/>
          <w:szCs w:val="20"/>
          <w:color w:val="auto"/>
        </w:rPr>
        <w:tab/>
      </w:r>
      <w:r>
        <w:rPr>
          <w:rFonts w:ascii="Courier New" w:cs="Courier New" w:eastAsia="Courier New" w:hAnsi="Courier New"/>
          <w:sz w:val="12"/>
          <w:szCs w:val="12"/>
          <w:color w:val="auto"/>
        </w:rPr>
        <w:t>being</w:t>
      </w:r>
      <w:r>
        <w:rPr>
          <w:sz w:val="20"/>
          <w:szCs w:val="20"/>
          <w:color w:val="auto"/>
        </w:rPr>
        <w:tab/>
      </w:r>
      <w:r>
        <w:rPr>
          <w:rFonts w:ascii="Courier New" w:cs="Courier New" w:eastAsia="Courier New" w:hAnsi="Courier New"/>
          <w:sz w:val="12"/>
          <w:szCs w:val="12"/>
          <w:color w:val="auto"/>
        </w:rPr>
        <w:t>the</w:t>
      </w:r>
    </w:p>
    <w:p>
      <w:pPr>
        <w:spacing w:after="0" w:line="6" w:lineRule="exact"/>
        <w:rPr>
          <w:sz w:val="20"/>
          <w:szCs w:val="20"/>
          <w:color w:val="auto"/>
        </w:rPr>
      </w:pPr>
    </w:p>
    <w:p>
      <w:pPr>
        <w:ind w:left="4660"/>
        <w:spacing w:after="0"/>
        <w:tabs>
          <w:tab w:leader="none" w:pos="5820" w:val="left"/>
        </w:tabs>
        <w:rPr>
          <w:sz w:val="20"/>
          <w:szCs w:val="20"/>
          <w:color w:val="auto"/>
        </w:rPr>
      </w:pPr>
      <w:r>
        <w:rPr>
          <w:rFonts w:ascii="Courier New" w:cs="Courier New" w:eastAsia="Courier New" w:hAnsi="Courier New"/>
          <w:sz w:val="12"/>
          <w:szCs w:val="12"/>
          <w:color w:val="auto"/>
        </w:rPr>
        <w:t>subject of the</w:t>
        <w:tab/>
        <w:t>relevant</w:t>
      </w:r>
    </w:p>
    <w:p>
      <w:pPr>
        <w:spacing w:after="0" w:line="6" w:lineRule="exact"/>
        <w:rPr>
          <w:sz w:val="20"/>
          <w:szCs w:val="20"/>
          <w:color w:val="auto"/>
        </w:rPr>
      </w:pPr>
    </w:p>
    <w:p>
      <w:pPr>
        <w:ind w:left="4660"/>
        <w:spacing w:after="0"/>
        <w:tabs>
          <w:tab w:leader="none" w:pos="5600" w:val="left"/>
        </w:tabs>
        <w:rPr>
          <w:sz w:val="20"/>
          <w:szCs w:val="20"/>
          <w:color w:val="auto"/>
        </w:rPr>
      </w:pPr>
      <w:r>
        <w:rPr>
          <w:rFonts w:ascii="Courier New" w:cs="Courier New" w:eastAsia="Courier New" w:hAnsi="Courier New"/>
          <w:sz w:val="12"/>
          <w:szCs w:val="12"/>
          <w:color w:val="auto"/>
        </w:rPr>
        <w:t>execution,</w:t>
        <w:tab/>
        <w:t>attachment,</w:t>
      </w:r>
    </w:p>
    <w:p>
      <w:pPr>
        <w:spacing w:after="0" w:line="6" w:lineRule="exact"/>
        <w:rPr>
          <w:sz w:val="20"/>
          <w:szCs w:val="20"/>
          <w:color w:val="auto"/>
        </w:rPr>
      </w:pPr>
    </w:p>
    <w:p>
      <w:pPr>
        <w:ind w:left="4660"/>
        <w:spacing w:after="0"/>
        <w:tabs>
          <w:tab w:leader="none" w:pos="5740" w:val="left"/>
          <w:tab w:leader="none" w:pos="6040" w:val="left"/>
        </w:tabs>
        <w:rPr>
          <w:sz w:val="20"/>
          <w:szCs w:val="20"/>
          <w:color w:val="auto"/>
        </w:rPr>
      </w:pPr>
      <w:r>
        <w:rPr>
          <w:rFonts w:ascii="Courier New" w:cs="Courier New" w:eastAsia="Courier New" w:hAnsi="Courier New"/>
          <w:sz w:val="12"/>
          <w:szCs w:val="12"/>
          <w:color w:val="auto"/>
        </w:rPr>
        <w:t>sequestration</w:t>
        <w:tab/>
        <w:t>or</w:t>
        <w:tab/>
        <w:t>other</w:t>
      </w:r>
    </w:p>
    <w:p>
      <w:pPr>
        <w:spacing w:after="0" w:line="6" w:lineRule="exact"/>
        <w:rPr>
          <w:sz w:val="20"/>
          <w:szCs w:val="20"/>
          <w:color w:val="auto"/>
        </w:rPr>
      </w:pPr>
    </w:p>
    <w:p>
      <w:pPr>
        <w:ind w:left="4660"/>
        <w:spacing w:after="0"/>
        <w:tabs>
          <w:tab w:leader="none" w:pos="5300" w:val="left"/>
        </w:tabs>
        <w:rPr>
          <w:sz w:val="20"/>
          <w:szCs w:val="20"/>
          <w:color w:val="auto"/>
        </w:rPr>
      </w:pPr>
      <w:r>
        <w:rPr>
          <w:rFonts w:ascii="Courier New" w:cs="Courier New" w:eastAsia="Courier New" w:hAnsi="Courier New"/>
          <w:sz w:val="12"/>
          <w:szCs w:val="12"/>
          <w:color w:val="auto"/>
        </w:rPr>
        <w:t>process</w:t>
        <w:tab/>
        <w:t>does not exceed</w:t>
      </w:r>
    </w:p>
    <w:p>
      <w:pPr>
        <w:spacing w:after="0" w:line="6" w:lineRule="exact"/>
        <w:rPr>
          <w:sz w:val="20"/>
          <w:szCs w:val="20"/>
          <w:color w:val="auto"/>
        </w:rPr>
      </w:pPr>
    </w:p>
    <w:p>
      <w:pPr>
        <w:ind w:left="4660"/>
        <w:spacing w:after="0"/>
        <w:tabs>
          <w:tab w:leader="none" w:pos="6120" w:val="left"/>
        </w:tabs>
        <w:rPr>
          <w:sz w:val="20"/>
          <w:szCs w:val="20"/>
          <w:color w:val="auto"/>
        </w:rPr>
      </w:pPr>
      <w:r>
        <w:rPr>
          <w:rFonts w:ascii="Courier New" w:cs="Courier New" w:eastAsia="Courier New" w:hAnsi="Courier New"/>
          <w:sz w:val="12"/>
          <w:szCs w:val="12"/>
          <w:color w:val="auto"/>
        </w:rPr>
        <w:t>US $2,500,000</w:t>
      </w:r>
      <w:r>
        <w:rPr>
          <w:sz w:val="20"/>
          <w:szCs w:val="20"/>
          <w:color w:val="auto"/>
        </w:rPr>
        <w:tab/>
      </w:r>
      <w:r>
        <w:rPr>
          <w:rFonts w:ascii="Courier New" w:cs="Courier New" w:eastAsia="Courier New" w:hAnsi="Courier New"/>
          <w:sz w:val="12"/>
          <w:szCs w:val="12"/>
          <w:color w:val="auto"/>
        </w:rPr>
        <w:t>(two</w:t>
      </w:r>
    </w:p>
    <w:p>
      <w:pPr>
        <w:spacing w:after="0" w:line="6" w:lineRule="exact"/>
        <w:rPr>
          <w:sz w:val="20"/>
          <w:szCs w:val="20"/>
          <w:color w:val="auto"/>
        </w:rPr>
      </w:pPr>
    </w:p>
    <w:p>
      <w:pPr>
        <w:ind w:left="4660"/>
        <w:spacing w:after="0"/>
        <w:tabs>
          <w:tab w:leader="none" w:pos="5380" w:val="left"/>
          <w:tab w:leader="none" w:pos="5900" w:val="left"/>
        </w:tabs>
        <w:rPr>
          <w:sz w:val="20"/>
          <w:szCs w:val="20"/>
          <w:color w:val="auto"/>
        </w:rPr>
      </w:pPr>
      <w:r>
        <w:rPr>
          <w:rFonts w:ascii="Courier New" w:cs="Courier New" w:eastAsia="Courier New" w:hAnsi="Courier New"/>
          <w:sz w:val="12"/>
          <w:szCs w:val="12"/>
          <w:color w:val="auto"/>
        </w:rPr>
        <w:t>million</w:t>
        <w:tab/>
        <w:t>five</w:t>
        <w:tab/>
        <w:t>hundred</w:t>
      </w:r>
    </w:p>
    <w:p>
      <w:pPr>
        <w:sectPr>
          <w:pgSz w:w="11900" w:h="16843" w:orient="portrait"/>
          <w:cols w:equalWidth="0" w:num="1">
            <w:col w:w="9019"/>
          </w:cols>
          <w:pgMar w:left="1440" w:top="141" w:right="1440" w:bottom="0" w:gutter="0" w:footer="0" w:header="0"/>
        </w:sectPr>
      </w:pPr>
    </w:p>
    <w:bookmarkStart w:id="97" w:name="page98"/>
    <w:bookmarkEnd w:id="97"/>
    <w:p>
      <w:pPr>
        <w:spacing w:after="0" w:line="5" w:lineRule="exact"/>
        <w:rPr>
          <w:sz w:val="20"/>
          <w:szCs w:val="20"/>
          <w:color w:val="auto"/>
        </w:rPr>
      </w:pPr>
    </w:p>
    <w:p>
      <w:pPr>
        <w:jc w:val="right"/>
        <w:ind w:right="2579"/>
        <w:spacing w:after="0"/>
        <w:tabs>
          <w:tab w:leader="none" w:pos="1020" w:val="left"/>
          <w:tab w:leader="none" w:pos="420" w:val="left"/>
        </w:tabs>
        <w:rPr>
          <w:sz w:val="20"/>
          <w:szCs w:val="20"/>
          <w:color w:val="auto"/>
        </w:rPr>
      </w:pPr>
      <w:r>
        <w:rPr>
          <w:rFonts w:ascii="Courier New" w:cs="Courier New" w:eastAsia="Courier New" w:hAnsi="Courier New"/>
          <w:sz w:val="12"/>
          <w:szCs w:val="12"/>
          <w:color w:val="auto"/>
        </w:rPr>
        <w:t>thousand</w:t>
        <w:tab/>
        <w:t>United</w:t>
        <w:tab/>
        <w:t>States</w:t>
      </w:r>
    </w:p>
    <w:p>
      <w:pPr>
        <w:spacing w:after="0" w:line="6" w:lineRule="exact"/>
        <w:rPr>
          <w:sz w:val="20"/>
          <w:szCs w:val="20"/>
          <w:color w:val="auto"/>
        </w:rPr>
      </w:pPr>
    </w:p>
    <w:p>
      <w:pPr>
        <w:ind w:left="4660"/>
        <w:spacing w:after="0"/>
        <w:tabs>
          <w:tab w:leader="none" w:pos="6040" w:val="left"/>
        </w:tabs>
        <w:rPr>
          <w:sz w:val="20"/>
          <w:szCs w:val="20"/>
          <w:color w:val="auto"/>
        </w:rPr>
      </w:pPr>
      <w:r>
        <w:rPr>
          <w:rFonts w:ascii="Courier New" w:cs="Courier New" w:eastAsia="Courier New" w:hAnsi="Courier New"/>
          <w:sz w:val="12"/>
          <w:szCs w:val="12"/>
          <w:color w:val="auto"/>
        </w:rPr>
        <w:t>Dollars))</w:t>
      </w:r>
      <w:r>
        <w:rPr>
          <w:sz w:val="20"/>
          <w:szCs w:val="20"/>
          <w:color w:val="auto"/>
        </w:rPr>
        <w:tab/>
      </w:r>
      <w:r>
        <w:rPr>
          <w:rFonts w:ascii="Courier New" w:cs="Courier New" w:eastAsia="Courier New" w:hAnsi="Courier New"/>
          <w:sz w:val="12"/>
          <w:szCs w:val="12"/>
          <w:color w:val="auto"/>
        </w:rPr>
        <w:t>below</w:t>
      </w:r>
    </w:p>
    <w:p>
      <w:pPr>
        <w:spacing w:after="0" w:line="6" w:lineRule="exact"/>
        <w:rPr>
          <w:sz w:val="20"/>
          <w:szCs w:val="20"/>
          <w:color w:val="auto"/>
        </w:rPr>
      </w:pPr>
    </w:p>
    <w:p>
      <w:pPr>
        <w:ind w:left="4660"/>
        <w:spacing w:after="0"/>
        <w:tabs>
          <w:tab w:leader="none" w:pos="5520" w:val="left"/>
        </w:tabs>
        <w:rPr>
          <w:sz w:val="20"/>
          <w:szCs w:val="20"/>
          <w:color w:val="auto"/>
        </w:rPr>
      </w:pPr>
      <w:r>
        <w:rPr>
          <w:rFonts w:ascii="Courier New" w:cs="Courier New" w:eastAsia="Courier New" w:hAnsi="Courier New"/>
          <w:sz w:val="12"/>
          <w:szCs w:val="12"/>
          <w:color w:val="auto"/>
        </w:rPr>
        <w:t>(including</w:t>
        <w:tab/>
        <w:t>the granting</w:t>
      </w:r>
    </w:p>
    <w:p>
      <w:pPr>
        <w:spacing w:after="0" w:line="6" w:lineRule="exact"/>
        <w:rPr>
          <w:sz w:val="20"/>
          <w:szCs w:val="20"/>
          <w:color w:val="auto"/>
        </w:rPr>
      </w:pPr>
    </w:p>
    <w:p>
      <w:pPr>
        <w:ind w:left="4660"/>
        <w:spacing w:after="0"/>
        <w:tabs>
          <w:tab w:leader="none" w:pos="5080" w:val="left"/>
          <w:tab w:leader="none" w:pos="5600" w:val="left"/>
          <w:tab w:leader="none" w:pos="6260" w:val="left"/>
        </w:tabs>
        <w:rPr>
          <w:sz w:val="20"/>
          <w:szCs w:val="20"/>
          <w:color w:val="auto"/>
        </w:rPr>
      </w:pPr>
      <w:r>
        <w:rPr>
          <w:rFonts w:ascii="Courier New" w:cs="Courier New" w:eastAsia="Courier New" w:hAnsi="Courier New"/>
          <w:sz w:val="12"/>
          <w:szCs w:val="12"/>
          <w:color w:val="auto"/>
        </w:rPr>
        <w:t>of</w:t>
      </w:r>
      <w:r>
        <w:rPr>
          <w:sz w:val="20"/>
          <w:szCs w:val="20"/>
          <w:color w:val="auto"/>
        </w:rPr>
        <w:tab/>
      </w:r>
      <w:r>
        <w:rPr>
          <w:rFonts w:ascii="Courier New" w:cs="Courier New" w:eastAsia="Courier New" w:hAnsi="Courier New"/>
          <w:sz w:val="12"/>
          <w:szCs w:val="12"/>
          <w:color w:val="auto"/>
        </w:rPr>
        <w:t>an</w:t>
      </w:r>
      <w:r>
        <w:rPr>
          <w:sz w:val="20"/>
          <w:szCs w:val="20"/>
          <w:color w:val="auto"/>
        </w:rPr>
        <w:tab/>
      </w:r>
      <w:r>
        <w:rPr>
          <w:rFonts w:ascii="Courier New" w:cs="Courier New" w:eastAsia="Courier New" w:hAnsi="Courier New"/>
          <w:sz w:val="12"/>
          <w:szCs w:val="12"/>
          <w:color w:val="auto"/>
        </w:rPr>
        <w:t>order</w:t>
      </w:r>
      <w:r>
        <w:rPr>
          <w:sz w:val="20"/>
          <w:szCs w:val="20"/>
          <w:color w:val="auto"/>
        </w:rPr>
        <w:tab/>
      </w:r>
      <w:r>
        <w:rPr>
          <w:rFonts w:ascii="Courier New" w:cs="Courier New" w:eastAsia="Courier New" w:hAnsi="Courier New"/>
          <w:sz w:val="12"/>
          <w:szCs w:val="12"/>
          <w:color w:val="auto"/>
        </w:rPr>
        <w:t>of</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2"/>
          <w:szCs w:val="12"/>
          <w:color w:val="auto"/>
        </w:rPr>
        <w:t>receivership,</w:t>
      </w:r>
    </w:p>
    <w:p>
      <w:pPr>
        <w:spacing w:after="0" w:line="6" w:lineRule="exact"/>
        <w:rPr>
          <w:sz w:val="20"/>
          <w:szCs w:val="20"/>
          <w:color w:val="auto"/>
        </w:rPr>
      </w:pPr>
    </w:p>
    <w:p>
      <w:pPr>
        <w:ind w:left="4660"/>
        <w:spacing w:after="0"/>
        <w:tabs>
          <w:tab w:leader="none" w:pos="5740" w:val="left"/>
          <w:tab w:leader="none" w:pos="6200" w:val="left"/>
        </w:tabs>
        <w:rPr>
          <w:sz w:val="20"/>
          <w:szCs w:val="20"/>
          <w:color w:val="auto"/>
        </w:rPr>
      </w:pPr>
      <w:r>
        <w:rPr>
          <w:rFonts w:ascii="Courier New" w:cs="Courier New" w:eastAsia="Courier New" w:hAnsi="Courier New"/>
          <w:sz w:val="12"/>
          <w:szCs w:val="12"/>
          <w:color w:val="auto"/>
        </w:rPr>
        <w:t>winding-up</w:t>
      </w:r>
      <w:r>
        <w:rPr>
          <w:sz w:val="20"/>
          <w:szCs w:val="20"/>
          <w:color w:val="auto"/>
        </w:rPr>
        <w:tab/>
      </w:r>
      <w:r>
        <w:rPr>
          <w:rFonts w:ascii="Courier New" w:cs="Courier New" w:eastAsia="Courier New" w:hAnsi="Courier New"/>
          <w:sz w:val="12"/>
          <w:szCs w:val="12"/>
          <w:color w:val="auto"/>
        </w:rPr>
        <w:t>or</w:t>
      </w:r>
      <w:r>
        <w:rPr>
          <w:sz w:val="20"/>
          <w:szCs w:val="20"/>
          <w:color w:val="auto"/>
        </w:rPr>
        <w:tab/>
      </w:r>
      <w:r>
        <w:rPr>
          <w:rFonts w:ascii="Courier New" w:cs="Courier New" w:eastAsia="Courier New" w:hAnsi="Courier New"/>
          <w:sz w:val="12"/>
          <w:szCs w:val="12"/>
          <w:color w:val="auto"/>
        </w:rPr>
        <w:t>any</w:t>
      </w:r>
    </w:p>
    <w:p>
      <w:pPr>
        <w:spacing w:after="0" w:line="6" w:lineRule="exact"/>
        <w:rPr>
          <w:sz w:val="20"/>
          <w:szCs w:val="20"/>
          <w:color w:val="auto"/>
        </w:rPr>
      </w:pPr>
    </w:p>
    <w:p>
      <w:pPr>
        <w:ind w:left="4660"/>
        <w:spacing w:after="0"/>
        <w:tabs>
          <w:tab w:leader="none" w:pos="5380" w:val="left"/>
          <w:tab w:leader="none" w:pos="5900" w:val="left"/>
        </w:tabs>
        <w:rPr>
          <w:sz w:val="20"/>
          <w:szCs w:val="20"/>
          <w:color w:val="auto"/>
        </w:rPr>
      </w:pPr>
      <w:r>
        <w:rPr>
          <w:rFonts w:ascii="Courier New" w:cs="Courier New" w:eastAsia="Courier New" w:hAnsi="Courier New"/>
          <w:sz w:val="12"/>
          <w:szCs w:val="12"/>
          <w:color w:val="auto"/>
        </w:rPr>
        <w:t>similar</w:t>
        <w:tab/>
        <w:t>order</w:t>
        <w:tab/>
        <w:t>against</w:t>
      </w:r>
    </w:p>
    <w:p>
      <w:pPr>
        <w:spacing w:after="0" w:line="6" w:lineRule="exact"/>
        <w:rPr>
          <w:sz w:val="20"/>
          <w:szCs w:val="20"/>
          <w:color w:val="auto"/>
        </w:rPr>
      </w:pPr>
    </w:p>
    <w:p>
      <w:pPr>
        <w:ind w:left="4660"/>
        <w:spacing w:after="0"/>
        <w:tabs>
          <w:tab w:leader="none" w:pos="4940" w:val="left"/>
          <w:tab w:leader="none" w:pos="5240" w:val="left"/>
          <w:tab w:leader="none" w:pos="5900" w:val="left"/>
          <w:tab w:leader="none" w:pos="6200" w:val="left"/>
        </w:tabs>
        <w:rPr>
          <w:sz w:val="20"/>
          <w:szCs w:val="20"/>
          <w:color w:val="auto"/>
        </w:rPr>
      </w:pPr>
      <w:r>
        <w:rPr>
          <w:rFonts w:ascii="Courier New" w:cs="Courier New" w:eastAsia="Courier New" w:hAnsi="Courier New"/>
          <w:sz w:val="12"/>
          <w:szCs w:val="12"/>
          <w:color w:val="auto"/>
        </w:rPr>
        <w:t>or</w:t>
        <w:tab/>
        <w:t>in</w:t>
        <w:tab/>
        <w:t>respect</w:t>
        <w:tab/>
        <w:t>of</w:t>
        <w:tab/>
        <w:t>the</w:t>
      </w:r>
    </w:p>
    <w:p>
      <w:pPr>
        <w:spacing w:after="0" w:line="6" w:lineRule="exact"/>
        <w:rPr>
          <w:sz w:val="20"/>
          <w:szCs w:val="20"/>
          <w:color w:val="auto"/>
        </w:rPr>
      </w:pPr>
    </w:p>
    <w:p>
      <w:pPr>
        <w:ind w:left="4660"/>
        <w:spacing w:after="0"/>
        <w:tabs>
          <w:tab w:leader="none" w:pos="5380" w:val="left"/>
          <w:tab w:leader="none" w:pos="5680" w:val="left"/>
        </w:tabs>
        <w:rPr>
          <w:sz w:val="20"/>
          <w:szCs w:val="20"/>
          <w:color w:val="auto"/>
        </w:rPr>
      </w:pPr>
      <w:r>
        <w:rPr>
          <w:rFonts w:ascii="Courier New" w:cs="Courier New" w:eastAsia="Courier New" w:hAnsi="Courier New"/>
          <w:sz w:val="12"/>
          <w:szCs w:val="12"/>
          <w:color w:val="auto"/>
        </w:rPr>
        <w:t>Borrower</w:t>
        <w:tab/>
        <w:t>or</w:t>
        <w:tab/>
        <w:t>any of its</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2"/>
          <w:szCs w:val="12"/>
          <w:color w:val="auto"/>
        </w:rPr>
        <w:t>assets); or</w:t>
      </w:r>
    </w:p>
    <w:p>
      <w:pPr>
        <w:spacing w:after="0" w:line="289"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- 59 -</w:t>
      </w:r>
    </w:p>
    <w:p>
      <w:pPr>
        <w:spacing w:after="0" w:line="200" w:lineRule="exact"/>
        <w:rPr>
          <w:sz w:val="20"/>
          <w:szCs w:val="20"/>
          <w:color w:val="auto"/>
        </w:rPr>
      </w:pPr>
    </w:p>
    <w:p>
      <w:pPr>
        <w:spacing w:after="0" w:line="353" w:lineRule="exact"/>
        <w:rPr>
          <w:sz w:val="20"/>
          <w:szCs w:val="20"/>
          <w:color w:val="auto"/>
        </w:rPr>
      </w:pPr>
    </w:p>
    <w:tbl>
      <w:tblPr>
        <w:tblLayout w:type="fixed"/>
        <w:tblInd w:w="4660" w:type="dxa"/>
        <w:tblCellMar>
          <w:top w:w="0" w:type="dxa"/>
          <w:left w:w="0" w:type="dxa"/>
          <w:bottom w:w="0" w:type="dxa"/>
          <w:right w:w="0" w:type="dxa"/>
        </w:tblCellMar>
      </w:tblPr>
      <w:tr>
        <w:trPr>
          <w:trHeight w:val="138"/>
        </w:trPr>
        <w:tc>
          <w:tcPr>
            <w:tcW w:w="740" w:type="dxa"/>
            <w:vAlign w:val="bottom"/>
            <w:gridSpan w:val="2"/>
          </w:tcPr>
          <w:p>
            <w:pPr>
              <w:spacing w:after="0"/>
              <w:rPr>
                <w:sz w:val="20"/>
                <w:szCs w:val="20"/>
                <w:color w:val="auto"/>
              </w:rPr>
            </w:pPr>
            <w:r>
              <w:rPr>
                <w:rFonts w:ascii="Courier New" w:cs="Courier New" w:eastAsia="Courier New" w:hAnsi="Courier New"/>
                <w:sz w:val="12"/>
                <w:szCs w:val="12"/>
                <w:color w:val="auto"/>
              </w:rPr>
              <w:t>(C) the</w:t>
            </w:r>
          </w:p>
        </w:tc>
        <w:tc>
          <w:tcPr>
            <w:tcW w:w="520" w:type="dxa"/>
            <w:vAlign w:val="bottom"/>
            <w:gridSpan w:val="2"/>
          </w:tcPr>
          <w:p>
            <w:pPr>
              <w:jc w:val="center"/>
              <w:spacing w:after="0"/>
              <w:rPr>
                <w:sz w:val="20"/>
                <w:szCs w:val="20"/>
                <w:color w:val="auto"/>
              </w:rPr>
            </w:pPr>
            <w:r>
              <w:rPr>
                <w:rFonts w:ascii="Courier New" w:cs="Courier New" w:eastAsia="Courier New" w:hAnsi="Courier New"/>
                <w:sz w:val="12"/>
                <w:szCs w:val="12"/>
                <w:color w:val="auto"/>
                <w:w w:val="99"/>
              </w:rPr>
              <w:t>Banks</w:t>
            </w: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w w:val="99"/>
              </w:rPr>
              <w:t>shall</w:t>
            </w:r>
          </w:p>
        </w:tc>
      </w:tr>
      <w:tr>
        <w:trPr>
          <w:trHeight w:val="142"/>
        </w:trPr>
        <w:tc>
          <w:tcPr>
            <w:tcW w:w="440" w:type="dxa"/>
            <w:vAlign w:val="bottom"/>
          </w:tcPr>
          <w:p>
            <w:pPr>
              <w:spacing w:after="0"/>
              <w:rPr>
                <w:sz w:val="20"/>
                <w:szCs w:val="20"/>
                <w:color w:val="auto"/>
              </w:rPr>
            </w:pPr>
            <w:r>
              <w:rPr>
                <w:rFonts w:ascii="Courier New" w:cs="Courier New" w:eastAsia="Courier New" w:hAnsi="Courier New"/>
                <w:sz w:val="12"/>
                <w:szCs w:val="12"/>
                <w:color w:val="auto"/>
              </w:rPr>
              <w:t>have</w:t>
            </w:r>
          </w:p>
        </w:tc>
        <w:tc>
          <w:tcPr>
            <w:tcW w:w="134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declared the Loans</w:t>
            </w:r>
          </w:p>
        </w:tc>
      </w:tr>
      <w:tr>
        <w:trPr>
          <w:trHeight w:val="142"/>
        </w:trPr>
        <w:tc>
          <w:tcPr>
            <w:tcW w:w="440" w:type="dxa"/>
            <w:vAlign w:val="bottom"/>
          </w:tcPr>
          <w:p>
            <w:pPr>
              <w:spacing w:after="0"/>
              <w:rPr>
                <w:sz w:val="20"/>
                <w:szCs w:val="20"/>
                <w:color w:val="auto"/>
              </w:rPr>
            </w:pPr>
            <w:r>
              <w:rPr>
                <w:rFonts w:ascii="Courier New" w:cs="Courier New" w:eastAsia="Courier New" w:hAnsi="Courier New"/>
                <w:sz w:val="12"/>
                <w:szCs w:val="12"/>
                <w:color w:val="auto"/>
              </w:rPr>
              <w:t>to be</w:t>
            </w: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w w:val="92"/>
              </w:rPr>
              <w:t>due</w:t>
            </w:r>
          </w:p>
        </w:tc>
        <w:tc>
          <w:tcPr>
            <w:tcW w:w="140" w:type="dxa"/>
            <w:vAlign w:val="bottom"/>
          </w:tcPr>
          <w:p>
            <w:pPr>
              <w:spacing w:after="0"/>
              <w:rPr>
                <w:sz w:val="12"/>
                <w:szCs w:val="12"/>
                <w:color w:val="auto"/>
              </w:rPr>
            </w:pPr>
          </w:p>
        </w:tc>
        <w:tc>
          <w:tcPr>
            <w:tcW w:w="380" w:type="dxa"/>
            <w:vAlign w:val="bottom"/>
          </w:tcPr>
          <w:p>
            <w:pPr>
              <w:jc w:val="center"/>
              <w:ind w:right="99"/>
              <w:spacing w:after="0"/>
              <w:rPr>
                <w:sz w:val="20"/>
                <w:szCs w:val="20"/>
                <w:color w:val="auto"/>
              </w:rPr>
            </w:pPr>
            <w:r>
              <w:rPr>
                <w:rFonts w:ascii="Courier New" w:cs="Courier New" w:eastAsia="Courier New" w:hAnsi="Courier New"/>
                <w:sz w:val="12"/>
                <w:szCs w:val="12"/>
                <w:color w:val="auto"/>
              </w:rPr>
              <w:t>and</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payable</w:t>
            </w:r>
          </w:p>
        </w:tc>
      </w:tr>
      <w:tr>
        <w:trPr>
          <w:trHeight w:val="142"/>
        </w:trPr>
        <w:tc>
          <w:tcPr>
            <w:tcW w:w="740" w:type="dxa"/>
            <w:vAlign w:val="bottom"/>
            <w:gridSpan w:val="2"/>
          </w:tcPr>
          <w:p>
            <w:pPr>
              <w:spacing w:after="0"/>
              <w:rPr>
                <w:sz w:val="20"/>
                <w:szCs w:val="20"/>
                <w:color w:val="auto"/>
              </w:rPr>
            </w:pPr>
            <w:r>
              <w:rPr>
                <w:rFonts w:ascii="Courier New" w:cs="Courier New" w:eastAsia="Courier New" w:hAnsi="Courier New"/>
                <w:sz w:val="12"/>
                <w:szCs w:val="12"/>
                <w:color w:val="auto"/>
              </w:rPr>
              <w:t>pursuant</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to</w:t>
            </w:r>
          </w:p>
        </w:tc>
      </w:tr>
      <w:tr>
        <w:trPr>
          <w:trHeight w:val="142"/>
        </w:trPr>
        <w:tc>
          <w:tcPr>
            <w:tcW w:w="440" w:type="dxa"/>
            <w:vAlign w:val="bottom"/>
          </w:tcPr>
          <w:p>
            <w:pPr>
              <w:spacing w:after="0"/>
              <w:rPr>
                <w:sz w:val="20"/>
                <w:szCs w:val="20"/>
                <w:color w:val="auto"/>
              </w:rPr>
            </w:pPr>
            <w:r>
              <w:rPr>
                <w:rFonts w:ascii="Courier New" w:cs="Courier New" w:eastAsia="Courier New" w:hAnsi="Courier New"/>
                <w:sz w:val="12"/>
                <w:szCs w:val="12"/>
                <w:color w:val="auto"/>
                <w:w w:val="97"/>
              </w:rPr>
              <w:t>clause</w:t>
            </w: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4"/>
              </w:rPr>
              <w:t>17.21</w:t>
            </w:r>
          </w:p>
        </w:tc>
        <w:tc>
          <w:tcPr>
            <w:tcW w:w="380" w:type="dxa"/>
            <w:vAlign w:val="bottom"/>
          </w:tcPr>
          <w:p>
            <w:pPr>
              <w:ind w:left="220"/>
              <w:spacing w:after="0"/>
              <w:rPr>
                <w:sz w:val="20"/>
                <w:szCs w:val="20"/>
                <w:color w:val="auto"/>
              </w:rPr>
            </w:pPr>
            <w:r>
              <w:rPr>
                <w:rFonts w:ascii="Courier New" w:cs="Courier New" w:eastAsia="Courier New" w:hAnsi="Courier New"/>
                <w:sz w:val="12"/>
                <w:szCs w:val="12"/>
                <w:color w:val="auto"/>
                <w:w w:val="96"/>
              </w:rPr>
              <w:t>or</w:t>
            </w: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w w:val="99"/>
              </w:rPr>
              <w:t>17.22</w:t>
            </w:r>
          </w:p>
        </w:tc>
      </w:tr>
      <w:tr>
        <w:trPr>
          <w:trHeight w:val="142"/>
        </w:trPr>
        <w:tc>
          <w:tcPr>
            <w:tcW w:w="440" w:type="dxa"/>
            <w:vAlign w:val="bottom"/>
          </w:tcPr>
          <w:p>
            <w:pPr>
              <w:spacing w:after="0"/>
              <w:rPr>
                <w:sz w:val="20"/>
                <w:szCs w:val="20"/>
                <w:color w:val="auto"/>
              </w:rPr>
            </w:pPr>
            <w:r>
              <w:rPr>
                <w:rFonts w:ascii="Courier New" w:cs="Courier New" w:eastAsia="Courier New" w:hAnsi="Courier New"/>
                <w:sz w:val="12"/>
                <w:szCs w:val="12"/>
                <w:color w:val="auto"/>
              </w:rPr>
              <w:t>below</w:t>
            </w: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(for the</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further</w:t>
            </w:r>
          </w:p>
        </w:tc>
      </w:tr>
      <w:tr>
        <w:trPr>
          <w:trHeight w:val="142"/>
        </w:trPr>
        <w:tc>
          <w:tcPr>
            <w:tcW w:w="740" w:type="dxa"/>
            <w:vAlign w:val="bottom"/>
            <w:gridSpan w:val="2"/>
          </w:tcPr>
          <w:p>
            <w:pPr>
              <w:spacing w:after="0"/>
              <w:rPr>
                <w:sz w:val="20"/>
                <w:szCs w:val="20"/>
                <w:color w:val="auto"/>
              </w:rPr>
            </w:pPr>
            <w:r>
              <w:rPr>
                <w:rFonts w:ascii="Courier New" w:cs="Courier New" w:eastAsia="Courier New" w:hAnsi="Courier New"/>
                <w:sz w:val="12"/>
                <w:szCs w:val="12"/>
                <w:color w:val="auto"/>
              </w:rPr>
              <w:t>removal</w:t>
            </w:r>
          </w:p>
        </w:tc>
        <w:tc>
          <w:tcPr>
            <w:tcW w:w="140" w:type="dxa"/>
            <w:vAlign w:val="bottom"/>
          </w:tcPr>
          <w:p>
            <w:pPr>
              <w:spacing w:after="0"/>
              <w:rPr>
                <w:sz w:val="12"/>
                <w:szCs w:val="12"/>
                <w:color w:val="auto"/>
              </w:rPr>
            </w:pPr>
          </w:p>
        </w:tc>
        <w:tc>
          <w:tcPr>
            <w:tcW w:w="380" w:type="dxa"/>
            <w:vAlign w:val="bottom"/>
          </w:tcPr>
          <w:p>
            <w:pPr>
              <w:spacing w:after="0"/>
              <w:rPr>
                <w:sz w:val="20"/>
                <w:szCs w:val="20"/>
                <w:color w:val="auto"/>
              </w:rPr>
            </w:pPr>
            <w:r>
              <w:rPr>
                <w:rFonts w:ascii="Courier New" w:cs="Courier New" w:eastAsia="Courier New" w:hAnsi="Courier New"/>
                <w:sz w:val="12"/>
                <w:szCs w:val="12"/>
                <w:color w:val="auto"/>
              </w:rPr>
              <w:t>of</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doubt,</w:t>
            </w:r>
          </w:p>
        </w:tc>
      </w:tr>
      <w:tr>
        <w:trPr>
          <w:trHeight w:val="142"/>
        </w:trPr>
        <w:tc>
          <w:tcPr>
            <w:tcW w:w="740" w:type="dxa"/>
            <w:vAlign w:val="bottom"/>
            <w:gridSpan w:val="2"/>
          </w:tcPr>
          <w:p>
            <w:pPr>
              <w:spacing w:after="0"/>
              <w:rPr>
                <w:sz w:val="20"/>
                <w:szCs w:val="20"/>
                <w:color w:val="auto"/>
              </w:rPr>
            </w:pPr>
            <w:r>
              <w:rPr>
                <w:rFonts w:ascii="Courier New" w:cs="Courier New" w:eastAsia="Courier New" w:hAnsi="Courier New"/>
                <w:sz w:val="12"/>
                <w:szCs w:val="12"/>
                <w:color w:val="auto"/>
              </w:rPr>
              <w:t>including</w:t>
            </w:r>
          </w:p>
        </w:tc>
        <w:tc>
          <w:tcPr>
            <w:tcW w:w="140" w:type="dxa"/>
            <w:vAlign w:val="bottom"/>
          </w:tcPr>
          <w:p>
            <w:pPr>
              <w:spacing w:after="0"/>
              <w:rPr>
                <w:sz w:val="12"/>
                <w:szCs w:val="12"/>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where</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any</w:t>
            </w:r>
          </w:p>
        </w:tc>
      </w:tr>
      <w:tr>
        <w:trPr>
          <w:trHeight w:val="142"/>
        </w:trPr>
        <w:tc>
          <w:tcPr>
            <w:tcW w:w="440" w:type="dxa"/>
            <w:vAlign w:val="bottom"/>
          </w:tcPr>
          <w:p>
            <w:pPr>
              <w:spacing w:after="0"/>
              <w:rPr>
                <w:sz w:val="20"/>
                <w:szCs w:val="20"/>
                <w:color w:val="auto"/>
              </w:rPr>
            </w:pPr>
            <w:r>
              <w:rPr>
                <w:rFonts w:ascii="Courier New" w:cs="Courier New" w:eastAsia="Courier New" w:hAnsi="Courier New"/>
                <w:sz w:val="12"/>
                <w:szCs w:val="12"/>
                <w:color w:val="auto"/>
              </w:rPr>
              <w:t>such</w:t>
            </w:r>
          </w:p>
        </w:tc>
        <w:tc>
          <w:tcPr>
            <w:tcW w:w="960" w:type="dxa"/>
            <w:vAlign w:val="bottom"/>
            <w:gridSpan w:val="4"/>
          </w:tcPr>
          <w:p>
            <w:pPr>
              <w:jc w:val="center"/>
              <w:ind w:left="99"/>
              <w:spacing w:after="0"/>
              <w:rPr>
                <w:sz w:val="20"/>
                <w:szCs w:val="20"/>
                <w:color w:val="auto"/>
              </w:rPr>
            </w:pPr>
            <w:r>
              <w:rPr>
                <w:rFonts w:ascii="Courier New" w:cs="Courier New" w:eastAsia="Courier New" w:hAnsi="Courier New"/>
                <w:sz w:val="12"/>
                <w:szCs w:val="12"/>
                <w:color w:val="auto"/>
              </w:rPr>
              <w:t>declaration</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is</w:t>
            </w:r>
          </w:p>
        </w:tc>
      </w:tr>
      <w:tr>
        <w:trPr>
          <w:trHeight w:val="142"/>
        </w:trPr>
        <w:tc>
          <w:tcPr>
            <w:tcW w:w="440" w:type="dxa"/>
            <w:vAlign w:val="bottom"/>
          </w:tcPr>
          <w:p>
            <w:pPr>
              <w:spacing w:after="0"/>
              <w:rPr>
                <w:sz w:val="20"/>
                <w:szCs w:val="20"/>
                <w:color w:val="auto"/>
              </w:rPr>
            </w:pPr>
            <w:r>
              <w:rPr>
                <w:rFonts w:ascii="Courier New" w:cs="Courier New" w:eastAsia="Courier New" w:hAnsi="Courier New"/>
                <w:sz w:val="12"/>
                <w:szCs w:val="12"/>
                <w:color w:val="auto"/>
              </w:rPr>
              <w:t>made</w:t>
            </w:r>
          </w:p>
        </w:tc>
        <w:tc>
          <w:tcPr>
            <w:tcW w:w="134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following an Event</w:t>
            </w:r>
          </w:p>
        </w:tc>
      </w:tr>
      <w:tr>
        <w:trPr>
          <w:trHeight w:val="142"/>
        </w:trPr>
        <w:tc>
          <w:tcPr>
            <w:tcW w:w="880" w:type="dxa"/>
            <w:vAlign w:val="bottom"/>
            <w:gridSpan w:val="3"/>
          </w:tcPr>
          <w:p>
            <w:pPr>
              <w:spacing w:after="0"/>
              <w:rPr>
                <w:sz w:val="20"/>
                <w:szCs w:val="20"/>
                <w:color w:val="auto"/>
              </w:rPr>
            </w:pPr>
            <w:r>
              <w:rPr>
                <w:rFonts w:ascii="Courier New" w:cs="Courier New" w:eastAsia="Courier New" w:hAnsi="Courier New"/>
                <w:sz w:val="12"/>
                <w:szCs w:val="12"/>
                <w:color w:val="auto"/>
              </w:rPr>
              <w:t>of  Default</w:t>
            </w:r>
          </w:p>
        </w:tc>
        <w:tc>
          <w:tcPr>
            <w:tcW w:w="9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constituted</w:t>
            </w:r>
          </w:p>
        </w:tc>
      </w:tr>
      <w:tr>
        <w:trPr>
          <w:trHeight w:val="142"/>
        </w:trPr>
        <w:tc>
          <w:tcPr>
            <w:tcW w:w="440" w:type="dxa"/>
            <w:vAlign w:val="bottom"/>
          </w:tcPr>
          <w:p>
            <w:pPr>
              <w:spacing w:after="0"/>
              <w:rPr>
                <w:sz w:val="20"/>
                <w:szCs w:val="20"/>
                <w:color w:val="auto"/>
              </w:rPr>
            </w:pPr>
            <w:r>
              <w:rPr>
                <w:rFonts w:ascii="Courier New" w:cs="Courier New" w:eastAsia="Courier New" w:hAnsi="Courier New"/>
                <w:sz w:val="12"/>
                <w:szCs w:val="12"/>
                <w:color w:val="auto"/>
              </w:rPr>
              <w:t>by</w:t>
            </w:r>
          </w:p>
        </w:tc>
        <w:tc>
          <w:tcPr>
            <w:tcW w:w="9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Proceedings</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as</w:t>
            </w:r>
          </w:p>
        </w:tc>
      </w:tr>
      <w:tr>
        <w:trPr>
          <w:trHeight w:val="142"/>
        </w:trPr>
        <w:tc>
          <w:tcPr>
            <w:tcW w:w="740" w:type="dxa"/>
            <w:vAlign w:val="bottom"/>
            <w:gridSpan w:val="2"/>
          </w:tcPr>
          <w:p>
            <w:pPr>
              <w:spacing w:after="0"/>
              <w:rPr>
                <w:sz w:val="20"/>
                <w:szCs w:val="20"/>
                <w:color w:val="auto"/>
              </w:rPr>
            </w:pPr>
            <w:r>
              <w:rPr>
                <w:rFonts w:ascii="Courier New" w:cs="Courier New" w:eastAsia="Courier New" w:hAnsi="Courier New"/>
                <w:sz w:val="12"/>
                <w:szCs w:val="12"/>
                <w:color w:val="auto"/>
              </w:rPr>
              <w:t>referred</w:t>
            </w:r>
          </w:p>
        </w:tc>
        <w:tc>
          <w:tcPr>
            <w:tcW w:w="140" w:type="dxa"/>
            <w:vAlign w:val="bottom"/>
          </w:tcPr>
          <w:p>
            <w:pPr>
              <w:spacing w:after="0"/>
              <w:rPr>
                <w:sz w:val="12"/>
                <w:szCs w:val="12"/>
                <w:color w:val="auto"/>
              </w:rPr>
            </w:pPr>
          </w:p>
        </w:tc>
        <w:tc>
          <w:tcPr>
            <w:tcW w:w="380" w:type="dxa"/>
            <w:vAlign w:val="bottom"/>
          </w:tcPr>
          <w:p>
            <w:pPr>
              <w:ind w:left="160"/>
              <w:spacing w:after="0"/>
              <w:rPr>
                <w:sz w:val="20"/>
                <w:szCs w:val="20"/>
                <w:color w:val="auto"/>
              </w:rPr>
            </w:pPr>
            <w:r>
              <w:rPr>
                <w:rFonts w:ascii="Courier New" w:cs="Courier New" w:eastAsia="Courier New" w:hAnsi="Courier New"/>
                <w:sz w:val="12"/>
                <w:szCs w:val="12"/>
                <w:color w:val="auto"/>
              </w:rPr>
              <w:t>to</w:t>
            </w: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r>
      <w:tr>
        <w:trPr>
          <w:trHeight w:val="142"/>
        </w:trPr>
        <w:tc>
          <w:tcPr>
            <w:tcW w:w="880" w:type="dxa"/>
            <w:vAlign w:val="bottom"/>
            <w:gridSpan w:val="3"/>
          </w:tcPr>
          <w:p>
            <w:pPr>
              <w:spacing w:after="0"/>
              <w:rPr>
                <w:sz w:val="20"/>
                <w:szCs w:val="20"/>
                <w:color w:val="auto"/>
              </w:rPr>
            </w:pPr>
            <w:r>
              <w:rPr>
                <w:rFonts w:ascii="Courier New" w:cs="Courier New" w:eastAsia="Courier New" w:hAnsi="Courier New"/>
                <w:sz w:val="12"/>
                <w:szCs w:val="12"/>
                <w:color w:val="auto"/>
                <w:w w:val="99"/>
              </w:rPr>
              <w:t>subparagraph</w:t>
            </w:r>
          </w:p>
        </w:tc>
        <w:tc>
          <w:tcPr>
            <w:tcW w:w="3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(A)(I),</w:t>
            </w:r>
          </w:p>
        </w:tc>
      </w:tr>
      <w:tr>
        <w:trPr>
          <w:trHeight w:val="142"/>
        </w:trPr>
        <w:tc>
          <w:tcPr>
            <w:tcW w:w="440" w:type="dxa"/>
            <w:vAlign w:val="bottom"/>
          </w:tcPr>
          <w:p>
            <w:pPr>
              <w:spacing w:after="0"/>
              <w:rPr>
                <w:sz w:val="20"/>
                <w:szCs w:val="20"/>
                <w:color w:val="auto"/>
              </w:rPr>
            </w:pPr>
            <w:r>
              <w:rPr>
                <w:rFonts w:ascii="Courier New" w:cs="Courier New" w:eastAsia="Courier New" w:hAnsi="Courier New"/>
                <w:sz w:val="12"/>
                <w:szCs w:val="12"/>
                <w:color w:val="auto"/>
              </w:rPr>
              <w:t>(II)</w:t>
            </w:r>
          </w:p>
        </w:tc>
        <w:tc>
          <w:tcPr>
            <w:tcW w:w="300" w:type="dxa"/>
            <w:vAlign w:val="bottom"/>
          </w:tcPr>
          <w:p>
            <w:pPr>
              <w:spacing w:after="0"/>
              <w:rPr>
                <w:sz w:val="20"/>
                <w:szCs w:val="20"/>
                <w:color w:val="auto"/>
              </w:rPr>
            </w:pPr>
            <w:r>
              <w:rPr>
                <w:rFonts w:ascii="Courier New" w:cs="Courier New" w:eastAsia="Courier New" w:hAnsi="Courier New"/>
                <w:sz w:val="12"/>
                <w:szCs w:val="12"/>
                <w:color w:val="auto"/>
              </w:rPr>
              <w:t>or</w:t>
            </w:r>
          </w:p>
        </w:tc>
        <w:tc>
          <w:tcPr>
            <w:tcW w:w="520" w:type="dxa"/>
            <w:vAlign w:val="bottom"/>
            <w:gridSpan w:val="2"/>
          </w:tcPr>
          <w:p>
            <w:pPr>
              <w:spacing w:after="0"/>
              <w:rPr>
                <w:sz w:val="20"/>
                <w:szCs w:val="20"/>
                <w:color w:val="auto"/>
              </w:rPr>
            </w:pPr>
            <w:r>
              <w:rPr>
                <w:rFonts w:ascii="Courier New" w:cs="Courier New" w:eastAsia="Courier New" w:hAnsi="Courier New"/>
                <w:sz w:val="12"/>
                <w:szCs w:val="12"/>
                <w:color w:val="auto"/>
              </w:rPr>
              <w:t>(III)</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of this</w:t>
            </w:r>
          </w:p>
        </w:tc>
      </w:tr>
    </w:tbl>
    <w:p>
      <w:pPr>
        <w:spacing w:after="0" w:line="3" w:lineRule="exact"/>
        <w:rPr>
          <w:sz w:val="20"/>
          <w:szCs w:val="20"/>
          <w:color w:val="auto"/>
        </w:rPr>
      </w:pPr>
    </w:p>
    <w:p>
      <w:pPr>
        <w:ind w:left="4660"/>
        <w:spacing w:after="0"/>
        <w:rPr>
          <w:sz w:val="20"/>
          <w:szCs w:val="20"/>
          <w:color w:val="auto"/>
        </w:rPr>
      </w:pPr>
      <w:r>
        <w:rPr>
          <w:rFonts w:ascii="Courier New" w:cs="Courier New" w:eastAsia="Courier New" w:hAnsi="Courier New"/>
          <w:sz w:val="12"/>
          <w:szCs w:val="12"/>
          <w:color w:val="auto"/>
        </w:rPr>
        <w:t>paragraph (iii) above,</w:t>
      </w:r>
    </w:p>
    <w:p>
      <w:pPr>
        <w:spacing w:after="0" w:line="147" w:lineRule="exact"/>
        <w:rPr>
          <w:sz w:val="20"/>
          <w:szCs w:val="20"/>
          <w:color w:val="auto"/>
        </w:rPr>
      </w:pPr>
    </w:p>
    <w:p>
      <w:pPr>
        <w:ind w:left="4660"/>
        <w:spacing w:after="0"/>
        <w:tabs>
          <w:tab w:leader="none" w:pos="5160" w:val="left"/>
          <w:tab w:leader="none" w:pos="5600" w:val="left"/>
          <w:tab w:leader="none" w:pos="6260" w:val="left"/>
        </w:tabs>
        <w:rPr>
          <w:sz w:val="20"/>
          <w:szCs w:val="20"/>
          <w:color w:val="auto"/>
        </w:rPr>
      </w:pPr>
      <w:r>
        <w:rPr>
          <w:rFonts w:ascii="Courier New" w:cs="Courier New" w:eastAsia="Courier New" w:hAnsi="Courier New"/>
          <w:sz w:val="12"/>
          <w:szCs w:val="12"/>
          <w:color w:val="auto"/>
        </w:rPr>
        <w:t>then</w:t>
        <w:tab/>
        <w:t>no</w:t>
      </w:r>
      <w:r>
        <w:rPr>
          <w:sz w:val="20"/>
          <w:szCs w:val="20"/>
          <w:color w:val="auto"/>
        </w:rPr>
        <w:tab/>
      </w:r>
      <w:r>
        <w:rPr>
          <w:rFonts w:ascii="Courier New" w:cs="Courier New" w:eastAsia="Courier New" w:hAnsi="Courier New"/>
          <w:sz w:val="12"/>
          <w:szCs w:val="12"/>
          <w:color w:val="auto"/>
        </w:rPr>
        <w:t>amount</w:t>
        <w:tab/>
        <w:t>of</w:t>
      </w:r>
    </w:p>
    <w:p>
      <w:pPr>
        <w:spacing w:after="0" w:line="6" w:lineRule="exact"/>
        <w:rPr>
          <w:sz w:val="20"/>
          <w:szCs w:val="20"/>
          <w:color w:val="auto"/>
        </w:rPr>
      </w:pPr>
    </w:p>
    <w:p>
      <w:pPr>
        <w:ind w:left="4660"/>
        <w:spacing w:after="0"/>
        <w:tabs>
          <w:tab w:leader="none" w:pos="5520" w:val="left"/>
        </w:tabs>
        <w:rPr>
          <w:sz w:val="20"/>
          <w:szCs w:val="20"/>
          <w:color w:val="auto"/>
        </w:rPr>
      </w:pPr>
      <w:r>
        <w:rPr>
          <w:rFonts w:ascii="Courier New" w:cs="Courier New" w:eastAsia="Courier New" w:hAnsi="Courier New"/>
          <w:sz w:val="12"/>
          <w:szCs w:val="12"/>
          <w:color w:val="auto"/>
        </w:rPr>
        <w:t>whatsoever</w:t>
        <w:tab/>
        <w:t>nature shall</w:t>
      </w:r>
    </w:p>
    <w:p>
      <w:pPr>
        <w:spacing w:after="0" w:line="6" w:lineRule="exact"/>
        <w:rPr>
          <w:sz w:val="20"/>
          <w:szCs w:val="20"/>
          <w:color w:val="auto"/>
        </w:rPr>
      </w:pPr>
    </w:p>
    <w:p>
      <w:pPr>
        <w:ind w:left="4660"/>
        <w:spacing w:after="0"/>
        <w:tabs>
          <w:tab w:leader="none" w:pos="5080" w:val="left"/>
          <w:tab w:leader="none" w:pos="5820" w:val="left"/>
          <w:tab w:leader="none" w:pos="6200" w:val="left"/>
        </w:tabs>
        <w:rPr>
          <w:sz w:val="20"/>
          <w:szCs w:val="20"/>
          <w:color w:val="auto"/>
        </w:rPr>
      </w:pPr>
      <w:r>
        <w:rPr>
          <w:rFonts w:ascii="Courier New" w:cs="Courier New" w:eastAsia="Courier New" w:hAnsi="Courier New"/>
          <w:sz w:val="12"/>
          <w:szCs w:val="12"/>
          <w:color w:val="auto"/>
        </w:rPr>
        <w:t>be</w:t>
      </w:r>
      <w:r>
        <w:rPr>
          <w:sz w:val="20"/>
          <w:szCs w:val="20"/>
          <w:color w:val="auto"/>
        </w:rPr>
        <w:tab/>
      </w:r>
      <w:r>
        <w:rPr>
          <w:rFonts w:ascii="Courier New" w:cs="Courier New" w:eastAsia="Courier New" w:hAnsi="Courier New"/>
          <w:sz w:val="12"/>
          <w:szCs w:val="12"/>
          <w:color w:val="auto"/>
        </w:rPr>
        <w:t>payable</w:t>
        <w:tab/>
        <w:t>by</w:t>
        <w:tab/>
        <w:t>the</w:t>
      </w:r>
    </w:p>
    <w:p>
      <w:pPr>
        <w:spacing w:after="0" w:line="6" w:lineRule="exact"/>
        <w:rPr>
          <w:sz w:val="20"/>
          <w:szCs w:val="20"/>
          <w:color w:val="auto"/>
        </w:rPr>
      </w:pPr>
    </w:p>
    <w:p>
      <w:pPr>
        <w:ind w:left="4660"/>
        <w:spacing w:after="0"/>
        <w:tabs>
          <w:tab w:leader="none" w:pos="5380" w:val="left"/>
          <w:tab w:leader="none" w:pos="5680" w:val="left"/>
        </w:tabs>
        <w:rPr>
          <w:sz w:val="20"/>
          <w:szCs w:val="20"/>
          <w:color w:val="auto"/>
        </w:rPr>
      </w:pPr>
      <w:r>
        <w:rPr>
          <w:rFonts w:ascii="Courier New" w:cs="Courier New" w:eastAsia="Courier New" w:hAnsi="Courier New"/>
          <w:sz w:val="12"/>
          <w:szCs w:val="12"/>
          <w:color w:val="auto"/>
        </w:rPr>
        <w:t>Borrower</w:t>
        <w:tab/>
        <w:t>in</w:t>
        <w:tab/>
        <w:t>respect of</w:t>
      </w:r>
    </w:p>
    <w:p>
      <w:pPr>
        <w:spacing w:after="0" w:line="6" w:lineRule="exact"/>
        <w:rPr>
          <w:sz w:val="20"/>
          <w:szCs w:val="20"/>
          <w:color w:val="auto"/>
        </w:rPr>
      </w:pPr>
    </w:p>
    <w:p>
      <w:pPr>
        <w:ind w:left="4660"/>
        <w:spacing w:after="0"/>
        <w:tabs>
          <w:tab w:leader="none" w:pos="5020" w:val="left"/>
          <w:tab w:leader="none" w:pos="5600" w:val="left"/>
        </w:tabs>
        <w:rPr>
          <w:sz w:val="20"/>
          <w:szCs w:val="20"/>
          <w:color w:val="auto"/>
        </w:rPr>
      </w:pPr>
      <w:r>
        <w:rPr>
          <w:rFonts w:ascii="Courier New" w:cs="Courier New" w:eastAsia="Courier New" w:hAnsi="Courier New"/>
          <w:sz w:val="12"/>
          <w:szCs w:val="12"/>
          <w:color w:val="auto"/>
        </w:rPr>
        <w:t>the</w:t>
        <w:tab/>
        <w:t>Equity</w:t>
        <w:tab/>
        <w:t>Convertible</w:t>
      </w:r>
    </w:p>
    <w:p>
      <w:pPr>
        <w:spacing w:after="0" w:line="6" w:lineRule="exact"/>
        <w:rPr>
          <w:sz w:val="20"/>
          <w:szCs w:val="20"/>
          <w:color w:val="auto"/>
        </w:rPr>
      </w:pPr>
    </w:p>
    <w:p>
      <w:pPr>
        <w:ind w:left="4660"/>
        <w:spacing w:after="0"/>
        <w:tabs>
          <w:tab w:leader="none" w:pos="5520" w:val="left"/>
          <w:tab w:leader="none" w:pos="6260" w:val="left"/>
        </w:tabs>
        <w:rPr>
          <w:sz w:val="20"/>
          <w:szCs w:val="20"/>
          <w:color w:val="auto"/>
        </w:rPr>
      </w:pPr>
      <w:r>
        <w:rPr>
          <w:rFonts w:ascii="Courier New" w:cs="Courier New" w:eastAsia="Courier New" w:hAnsi="Courier New"/>
          <w:sz w:val="12"/>
          <w:szCs w:val="12"/>
          <w:color w:val="auto"/>
        </w:rPr>
        <w:t>Debentures</w:t>
        <w:tab/>
        <w:t>(whether</w:t>
        <w:tab/>
        <w:t>in</w:t>
      </w:r>
    </w:p>
    <w:p>
      <w:pPr>
        <w:spacing w:after="0" w:line="6" w:lineRule="exact"/>
        <w:rPr>
          <w:sz w:val="20"/>
          <w:szCs w:val="20"/>
          <w:color w:val="auto"/>
        </w:rPr>
      </w:pPr>
    </w:p>
    <w:p>
      <w:pPr>
        <w:ind w:left="4660"/>
        <w:spacing w:after="0"/>
        <w:tabs>
          <w:tab w:leader="none" w:pos="5300" w:val="left"/>
          <w:tab w:leader="none" w:pos="5680" w:val="left"/>
        </w:tabs>
        <w:rPr>
          <w:sz w:val="20"/>
          <w:szCs w:val="20"/>
          <w:color w:val="auto"/>
        </w:rPr>
      </w:pPr>
      <w:r>
        <w:rPr>
          <w:rFonts w:ascii="Courier New" w:cs="Courier New" w:eastAsia="Courier New" w:hAnsi="Courier New"/>
          <w:sz w:val="12"/>
          <w:szCs w:val="12"/>
          <w:color w:val="auto"/>
        </w:rPr>
        <w:t>respect</w:t>
        <w:tab/>
        <w:t>of</w:t>
        <w:tab/>
        <w:t>principal,</w:t>
      </w:r>
    </w:p>
    <w:p>
      <w:pPr>
        <w:spacing w:after="0" w:line="6" w:lineRule="exact"/>
        <w:rPr>
          <w:sz w:val="20"/>
          <w:szCs w:val="20"/>
          <w:color w:val="auto"/>
        </w:rPr>
      </w:pPr>
    </w:p>
    <w:p>
      <w:pPr>
        <w:ind w:left="4660"/>
        <w:spacing w:after="0"/>
        <w:tabs>
          <w:tab w:leader="none" w:pos="5380" w:val="left"/>
          <w:tab w:leader="none" w:pos="5680" w:val="left"/>
          <w:tab w:leader="none" w:pos="6040" w:val="left"/>
        </w:tabs>
        <w:rPr>
          <w:sz w:val="20"/>
          <w:szCs w:val="20"/>
          <w:color w:val="auto"/>
        </w:rPr>
      </w:pPr>
      <w:r>
        <w:rPr>
          <w:rFonts w:ascii="Courier New" w:cs="Courier New" w:eastAsia="Courier New" w:hAnsi="Courier New"/>
          <w:sz w:val="12"/>
          <w:szCs w:val="12"/>
          <w:color w:val="auto"/>
        </w:rPr>
        <w:t>Interest</w:t>
        <w:tab/>
        <w:t>or</w:t>
        <w:tab/>
        <w:t>any</w:t>
        <w:tab/>
        <w:t>other</w:t>
      </w:r>
    </w:p>
    <w:p>
      <w:pPr>
        <w:spacing w:after="0" w:line="6" w:lineRule="exact"/>
        <w:rPr>
          <w:sz w:val="20"/>
          <w:szCs w:val="20"/>
          <w:color w:val="auto"/>
        </w:rPr>
      </w:pPr>
    </w:p>
    <w:p>
      <w:pPr>
        <w:ind w:left="4660"/>
        <w:spacing w:after="0"/>
        <w:tabs>
          <w:tab w:leader="none" w:pos="5520" w:val="left"/>
          <w:tab w:leader="none" w:pos="6200" w:val="left"/>
        </w:tabs>
        <w:rPr>
          <w:sz w:val="20"/>
          <w:szCs w:val="20"/>
          <w:color w:val="auto"/>
        </w:rPr>
      </w:pPr>
      <w:r>
        <w:rPr>
          <w:rFonts w:ascii="Courier New" w:cs="Courier New" w:eastAsia="Courier New" w:hAnsi="Courier New"/>
          <w:sz w:val="12"/>
          <w:szCs w:val="12"/>
          <w:color w:val="auto"/>
        </w:rPr>
        <w:t>amount)</w:t>
      </w:r>
      <w:r>
        <w:rPr>
          <w:sz w:val="20"/>
          <w:szCs w:val="20"/>
          <w:color w:val="auto"/>
        </w:rPr>
        <w:tab/>
      </w:r>
      <w:r>
        <w:rPr>
          <w:rFonts w:ascii="Courier New" w:cs="Courier New" w:eastAsia="Courier New" w:hAnsi="Courier New"/>
          <w:sz w:val="12"/>
          <w:szCs w:val="12"/>
          <w:color w:val="auto"/>
        </w:rPr>
        <w:t>until</w:t>
      </w:r>
      <w:r>
        <w:rPr>
          <w:sz w:val="20"/>
          <w:szCs w:val="20"/>
          <w:color w:val="auto"/>
        </w:rPr>
        <w:tab/>
      </w:r>
      <w:r>
        <w:rPr>
          <w:rFonts w:ascii="Courier New" w:cs="Courier New" w:eastAsia="Courier New" w:hAnsi="Courier New"/>
          <w:sz w:val="12"/>
          <w:szCs w:val="12"/>
          <w:color w:val="auto"/>
        </w:rPr>
        <w:t>all</w:t>
      </w:r>
    </w:p>
    <w:p>
      <w:pPr>
        <w:spacing w:after="0" w:line="6" w:lineRule="exact"/>
        <w:rPr>
          <w:sz w:val="20"/>
          <w:szCs w:val="20"/>
          <w:color w:val="auto"/>
        </w:rPr>
      </w:pPr>
    </w:p>
    <w:p>
      <w:pPr>
        <w:ind w:left="4660"/>
        <w:spacing w:after="0"/>
        <w:tabs>
          <w:tab w:leader="none" w:pos="5380" w:val="left"/>
          <w:tab w:leader="none" w:pos="5900" w:val="left"/>
          <w:tab w:leader="none" w:pos="6200" w:val="left"/>
        </w:tabs>
        <w:rPr>
          <w:sz w:val="20"/>
          <w:szCs w:val="20"/>
          <w:color w:val="auto"/>
        </w:rPr>
      </w:pPr>
      <w:r>
        <w:rPr>
          <w:rFonts w:ascii="Courier New" w:cs="Courier New" w:eastAsia="Courier New" w:hAnsi="Courier New"/>
          <w:sz w:val="12"/>
          <w:szCs w:val="12"/>
          <w:color w:val="auto"/>
        </w:rPr>
        <w:t>amounts</w:t>
        <w:tab/>
        <w:t>owing</w:t>
        <w:tab/>
        <w:t>by</w:t>
        <w:tab/>
        <w:t>the</w:t>
      </w:r>
    </w:p>
    <w:p>
      <w:pPr>
        <w:spacing w:after="0" w:line="6" w:lineRule="exact"/>
        <w:rPr>
          <w:sz w:val="20"/>
          <w:szCs w:val="20"/>
          <w:color w:val="auto"/>
        </w:rPr>
      </w:pPr>
    </w:p>
    <w:p>
      <w:pPr>
        <w:ind w:left="4660"/>
        <w:spacing w:after="0"/>
        <w:tabs>
          <w:tab w:leader="none" w:pos="5520" w:val="left"/>
          <w:tab w:leader="none" w:pos="6200" w:val="left"/>
        </w:tabs>
        <w:rPr>
          <w:sz w:val="20"/>
          <w:szCs w:val="20"/>
          <w:color w:val="auto"/>
        </w:rPr>
      </w:pPr>
      <w:r>
        <w:rPr>
          <w:rFonts w:ascii="Courier New" w:cs="Courier New" w:eastAsia="Courier New" w:hAnsi="Courier New"/>
          <w:sz w:val="12"/>
          <w:szCs w:val="12"/>
          <w:color w:val="auto"/>
        </w:rPr>
        <w:t>Borrower</w:t>
      </w:r>
      <w:r>
        <w:rPr>
          <w:sz w:val="20"/>
          <w:szCs w:val="20"/>
          <w:color w:val="auto"/>
        </w:rPr>
        <w:tab/>
      </w:r>
      <w:r>
        <w:rPr>
          <w:rFonts w:ascii="Courier New" w:cs="Courier New" w:eastAsia="Courier New" w:hAnsi="Courier New"/>
          <w:sz w:val="12"/>
          <w:szCs w:val="12"/>
          <w:color w:val="auto"/>
        </w:rPr>
        <w:t>under</w:t>
      </w:r>
      <w:r>
        <w:rPr>
          <w:sz w:val="20"/>
          <w:szCs w:val="20"/>
          <w:color w:val="auto"/>
        </w:rPr>
        <w:tab/>
      </w:r>
      <w:r>
        <w:rPr>
          <w:rFonts w:ascii="Courier New" w:cs="Courier New" w:eastAsia="Courier New" w:hAnsi="Courier New"/>
          <w:sz w:val="12"/>
          <w:szCs w:val="12"/>
          <w:color w:val="auto"/>
        </w:rPr>
        <w:t>the</w:t>
      </w:r>
    </w:p>
    <w:p>
      <w:pPr>
        <w:spacing w:after="0" w:line="6" w:lineRule="exact"/>
        <w:rPr>
          <w:sz w:val="20"/>
          <w:szCs w:val="20"/>
          <w:color w:val="auto"/>
        </w:rPr>
      </w:pPr>
    </w:p>
    <w:p>
      <w:pPr>
        <w:ind w:left="4660"/>
        <w:spacing w:after="0"/>
        <w:tabs>
          <w:tab w:leader="none" w:pos="5300" w:val="left"/>
        </w:tabs>
        <w:rPr>
          <w:sz w:val="20"/>
          <w:szCs w:val="20"/>
          <w:color w:val="auto"/>
        </w:rPr>
      </w:pPr>
      <w:r>
        <w:rPr>
          <w:rFonts w:ascii="Courier New" w:cs="Courier New" w:eastAsia="Courier New" w:hAnsi="Courier New"/>
          <w:sz w:val="12"/>
          <w:szCs w:val="12"/>
          <w:color w:val="auto"/>
        </w:rPr>
        <w:t>Finance</w:t>
        <w:tab/>
        <w:t>Documents shall</w:t>
      </w:r>
    </w:p>
    <w:p>
      <w:pPr>
        <w:spacing w:after="0" w:line="6" w:lineRule="exact"/>
        <w:rPr>
          <w:sz w:val="20"/>
          <w:szCs w:val="20"/>
          <w:color w:val="auto"/>
        </w:rPr>
      </w:pPr>
    </w:p>
    <w:p>
      <w:pPr>
        <w:ind w:left="4660"/>
        <w:spacing w:after="0"/>
        <w:tabs>
          <w:tab w:leader="none" w:pos="5080" w:val="left"/>
          <w:tab w:leader="none" w:pos="5520" w:val="left"/>
        </w:tabs>
        <w:rPr>
          <w:sz w:val="20"/>
          <w:szCs w:val="20"/>
          <w:color w:val="auto"/>
        </w:rPr>
      </w:pPr>
      <w:r>
        <w:rPr>
          <w:rFonts w:ascii="Courier New" w:cs="Courier New" w:eastAsia="Courier New" w:hAnsi="Courier New"/>
          <w:sz w:val="12"/>
          <w:szCs w:val="12"/>
          <w:color w:val="auto"/>
        </w:rPr>
        <w:t>have</w:t>
        <w:tab/>
        <w:t>been</w:t>
        <w:tab/>
        <w:t>paid in full</w:t>
      </w:r>
    </w:p>
    <w:p>
      <w:pPr>
        <w:spacing w:after="0" w:line="6" w:lineRule="exact"/>
        <w:rPr>
          <w:sz w:val="20"/>
          <w:szCs w:val="20"/>
          <w:color w:val="auto"/>
        </w:rPr>
      </w:pPr>
    </w:p>
    <w:p>
      <w:pPr>
        <w:ind w:left="4660"/>
        <w:spacing w:after="0"/>
        <w:tabs>
          <w:tab w:leader="none" w:pos="5520" w:val="left"/>
          <w:tab w:leader="none" w:pos="6040" w:val="left"/>
        </w:tabs>
        <w:rPr>
          <w:sz w:val="20"/>
          <w:szCs w:val="20"/>
          <w:color w:val="auto"/>
        </w:rPr>
      </w:pPr>
      <w:r>
        <w:rPr>
          <w:rFonts w:ascii="Courier New" w:cs="Courier New" w:eastAsia="Courier New" w:hAnsi="Courier New"/>
          <w:sz w:val="12"/>
          <w:szCs w:val="12"/>
          <w:color w:val="auto"/>
        </w:rPr>
        <w:t>and in the</w:t>
        <w:tab/>
        <w:t>event</w:t>
        <w:tab/>
        <w:t>that,</w:t>
      </w:r>
    </w:p>
    <w:p>
      <w:pPr>
        <w:spacing w:after="0" w:line="6" w:lineRule="exact"/>
        <w:rPr>
          <w:sz w:val="20"/>
          <w:szCs w:val="20"/>
          <w:color w:val="auto"/>
        </w:rPr>
      </w:pPr>
    </w:p>
    <w:p>
      <w:pPr>
        <w:ind w:left="4660"/>
        <w:spacing w:after="0"/>
        <w:tabs>
          <w:tab w:leader="none" w:pos="5380" w:val="left"/>
          <w:tab w:leader="none" w:pos="5980" w:val="left"/>
        </w:tabs>
        <w:rPr>
          <w:sz w:val="20"/>
          <w:szCs w:val="20"/>
          <w:color w:val="auto"/>
        </w:rPr>
      </w:pPr>
      <w:r>
        <w:rPr>
          <w:rFonts w:ascii="Courier New" w:cs="Courier New" w:eastAsia="Courier New" w:hAnsi="Courier New"/>
          <w:sz w:val="12"/>
          <w:szCs w:val="12"/>
          <w:color w:val="auto"/>
        </w:rPr>
        <w:t>contrary</w:t>
        <w:tab/>
        <w:t>to the</w:t>
        <w:tab/>
        <w:t>above,</w:t>
      </w:r>
    </w:p>
    <w:p>
      <w:pPr>
        <w:spacing w:after="0" w:line="6" w:lineRule="exact"/>
        <w:rPr>
          <w:sz w:val="20"/>
          <w:szCs w:val="20"/>
          <w:color w:val="auto"/>
        </w:rPr>
      </w:pPr>
    </w:p>
    <w:p>
      <w:pPr>
        <w:ind w:left="4660"/>
        <w:spacing w:after="0"/>
        <w:tabs>
          <w:tab w:leader="none" w:pos="5080" w:val="left"/>
          <w:tab w:leader="none" w:pos="5820" w:val="left"/>
          <w:tab w:leader="none" w:pos="6200" w:val="left"/>
        </w:tabs>
        <w:rPr>
          <w:sz w:val="20"/>
          <w:szCs w:val="20"/>
          <w:color w:val="auto"/>
        </w:rPr>
      </w:pPr>
      <w:r>
        <w:rPr>
          <w:rFonts w:ascii="Courier New" w:cs="Courier New" w:eastAsia="Courier New" w:hAnsi="Courier New"/>
          <w:sz w:val="12"/>
          <w:szCs w:val="12"/>
          <w:color w:val="auto"/>
        </w:rPr>
        <w:t>the</w:t>
        <w:tab/>
        <w:t>holders</w:t>
        <w:tab/>
        <w:t>of</w:t>
        <w:tab/>
        <w:t>the</w:t>
      </w:r>
    </w:p>
    <w:p>
      <w:pPr>
        <w:spacing w:after="0" w:line="6" w:lineRule="exact"/>
        <w:rPr>
          <w:sz w:val="20"/>
          <w:szCs w:val="20"/>
          <w:color w:val="auto"/>
        </w:rPr>
      </w:pPr>
    </w:p>
    <w:p>
      <w:pPr>
        <w:jc w:val="both"/>
        <w:ind w:left="4660"/>
        <w:spacing w:after="0"/>
        <w:tabs>
          <w:tab w:leader="none" w:pos="5600" w:val="left"/>
        </w:tabs>
        <w:rPr>
          <w:sz w:val="20"/>
          <w:szCs w:val="20"/>
          <w:color w:val="auto"/>
        </w:rPr>
      </w:pPr>
      <w:r>
        <w:rPr>
          <w:rFonts w:ascii="Courier New" w:cs="Courier New" w:eastAsia="Courier New" w:hAnsi="Courier New"/>
          <w:sz w:val="12"/>
          <w:szCs w:val="12"/>
          <w:color w:val="auto"/>
        </w:rPr>
        <w:t>Equity</w:t>
      </w:r>
      <w:r>
        <w:rPr>
          <w:sz w:val="20"/>
          <w:szCs w:val="20"/>
          <w:color w:val="auto"/>
        </w:rPr>
        <w:tab/>
      </w:r>
      <w:r>
        <w:rPr>
          <w:rFonts w:ascii="Courier New" w:cs="Courier New" w:eastAsia="Courier New" w:hAnsi="Courier New"/>
          <w:sz w:val="12"/>
          <w:szCs w:val="12"/>
          <w:color w:val="auto"/>
        </w:rPr>
        <w:t>Convertible</w:t>
      </w:r>
    </w:p>
    <w:p>
      <w:pPr>
        <w:spacing w:after="0" w:line="6" w:lineRule="exact"/>
        <w:rPr>
          <w:sz w:val="20"/>
          <w:szCs w:val="20"/>
          <w:color w:val="auto"/>
        </w:rPr>
      </w:pPr>
    </w:p>
    <w:p>
      <w:pPr>
        <w:ind w:left="4660"/>
        <w:spacing w:after="0"/>
        <w:tabs>
          <w:tab w:leader="none" w:pos="5680" w:val="left"/>
          <w:tab w:leader="none" w:pos="6260" w:val="left"/>
        </w:tabs>
        <w:rPr>
          <w:sz w:val="20"/>
          <w:szCs w:val="20"/>
          <w:color w:val="auto"/>
        </w:rPr>
      </w:pPr>
      <w:r>
        <w:rPr>
          <w:rFonts w:ascii="Courier New" w:cs="Courier New" w:eastAsia="Courier New" w:hAnsi="Courier New"/>
          <w:sz w:val="12"/>
          <w:szCs w:val="12"/>
          <w:color w:val="auto"/>
        </w:rPr>
        <w:t>Debentures</w:t>
      </w:r>
      <w:r>
        <w:rPr>
          <w:sz w:val="20"/>
          <w:szCs w:val="20"/>
          <w:color w:val="auto"/>
        </w:rPr>
        <w:tab/>
      </w:r>
      <w:r>
        <w:rPr>
          <w:rFonts w:ascii="Courier New" w:cs="Courier New" w:eastAsia="Courier New" w:hAnsi="Courier New"/>
          <w:sz w:val="12"/>
          <w:szCs w:val="12"/>
          <w:color w:val="auto"/>
        </w:rPr>
        <w:t>(or,</w:t>
      </w:r>
      <w:r>
        <w:rPr>
          <w:sz w:val="20"/>
          <w:szCs w:val="20"/>
          <w:color w:val="auto"/>
        </w:rPr>
        <w:tab/>
      </w:r>
      <w:r>
        <w:rPr>
          <w:rFonts w:ascii="Courier New" w:cs="Courier New" w:eastAsia="Courier New" w:hAnsi="Courier New"/>
          <w:sz w:val="12"/>
          <w:szCs w:val="12"/>
          <w:color w:val="auto"/>
        </w:rPr>
        <w:t>as</w:t>
      </w:r>
    </w:p>
    <w:p>
      <w:pPr>
        <w:spacing w:after="0" w:line="6" w:lineRule="exact"/>
        <w:rPr>
          <w:sz w:val="20"/>
          <w:szCs w:val="20"/>
          <w:color w:val="auto"/>
        </w:rPr>
      </w:pPr>
    </w:p>
    <w:p>
      <w:pPr>
        <w:ind w:left="4660"/>
        <w:spacing w:after="0"/>
        <w:tabs>
          <w:tab w:leader="none" w:pos="5600" w:val="left"/>
          <w:tab w:leader="none" w:pos="5980" w:val="left"/>
        </w:tabs>
        <w:rPr>
          <w:sz w:val="20"/>
          <w:szCs w:val="20"/>
          <w:color w:val="auto"/>
        </w:rPr>
      </w:pPr>
      <w:r>
        <w:rPr>
          <w:rFonts w:ascii="Courier New" w:cs="Courier New" w:eastAsia="Courier New" w:hAnsi="Courier New"/>
          <w:sz w:val="12"/>
          <w:szCs w:val="12"/>
          <w:color w:val="auto"/>
        </w:rPr>
        <w:t>applicable,</w:t>
        <w:tab/>
        <w:t>any</w:t>
        <w:tab/>
        <w:t>person</w:t>
      </w:r>
    </w:p>
    <w:p>
      <w:pPr>
        <w:spacing w:after="0" w:line="6" w:lineRule="exact"/>
        <w:rPr>
          <w:sz w:val="20"/>
          <w:szCs w:val="20"/>
          <w:color w:val="auto"/>
        </w:rPr>
      </w:pPr>
    </w:p>
    <w:p>
      <w:pPr>
        <w:ind w:left="4660"/>
        <w:spacing w:after="0"/>
        <w:tabs>
          <w:tab w:leader="none" w:pos="5900" w:val="left"/>
        </w:tabs>
        <w:rPr>
          <w:sz w:val="20"/>
          <w:szCs w:val="20"/>
          <w:color w:val="auto"/>
        </w:rPr>
      </w:pPr>
      <w:r>
        <w:rPr>
          <w:rFonts w:ascii="Courier New" w:cs="Courier New" w:eastAsia="Courier New" w:hAnsi="Courier New"/>
          <w:sz w:val="12"/>
          <w:szCs w:val="12"/>
          <w:color w:val="auto"/>
        </w:rPr>
        <w:t>acting on their</w:t>
        <w:tab/>
        <w:t>behalf,</w:t>
      </w:r>
    </w:p>
    <w:p>
      <w:pPr>
        <w:spacing w:after="0" w:line="6" w:lineRule="exact"/>
        <w:rPr>
          <w:sz w:val="20"/>
          <w:szCs w:val="20"/>
          <w:color w:val="auto"/>
        </w:rPr>
      </w:pPr>
    </w:p>
    <w:p>
      <w:pPr>
        <w:ind w:left="4660"/>
        <w:spacing w:after="0"/>
        <w:tabs>
          <w:tab w:leader="none" w:pos="5520" w:val="left"/>
          <w:tab w:leader="none" w:pos="5820" w:val="left"/>
        </w:tabs>
        <w:rPr>
          <w:sz w:val="20"/>
          <w:szCs w:val="20"/>
          <w:color w:val="auto"/>
        </w:rPr>
      </w:pPr>
      <w:r>
        <w:rPr>
          <w:rFonts w:ascii="Courier New" w:cs="Courier New" w:eastAsia="Courier New" w:hAnsi="Courier New"/>
          <w:sz w:val="12"/>
          <w:szCs w:val="12"/>
          <w:color w:val="auto"/>
        </w:rPr>
        <w:t>including</w:t>
        <w:tab/>
        <w:t>a</w:t>
        <w:tab/>
        <w:t>trustee)</w:t>
      </w:r>
    </w:p>
    <w:p>
      <w:pPr>
        <w:spacing w:after="0" w:line="6" w:lineRule="exact"/>
        <w:rPr>
          <w:sz w:val="20"/>
          <w:szCs w:val="20"/>
          <w:color w:val="auto"/>
        </w:rPr>
      </w:pPr>
    </w:p>
    <w:p>
      <w:pPr>
        <w:jc w:val="both"/>
        <w:ind w:left="4660"/>
        <w:spacing w:after="0"/>
        <w:tabs>
          <w:tab w:leader="none" w:pos="5380" w:val="left"/>
          <w:tab w:leader="none" w:pos="6200" w:val="left"/>
        </w:tabs>
        <w:rPr>
          <w:sz w:val="20"/>
          <w:szCs w:val="20"/>
          <w:color w:val="auto"/>
        </w:rPr>
      </w:pPr>
      <w:r>
        <w:rPr>
          <w:rFonts w:ascii="Courier New" w:cs="Courier New" w:eastAsia="Courier New" w:hAnsi="Courier New"/>
          <w:sz w:val="12"/>
          <w:szCs w:val="12"/>
          <w:color w:val="auto"/>
        </w:rPr>
        <w:t>shall</w:t>
      </w:r>
      <w:r>
        <w:rPr>
          <w:sz w:val="20"/>
          <w:szCs w:val="20"/>
          <w:color w:val="auto"/>
        </w:rPr>
        <w:tab/>
      </w:r>
      <w:r>
        <w:rPr>
          <w:rFonts w:ascii="Courier New" w:cs="Courier New" w:eastAsia="Courier New" w:hAnsi="Courier New"/>
          <w:sz w:val="12"/>
          <w:szCs w:val="12"/>
          <w:color w:val="auto"/>
        </w:rPr>
        <w:t>receive</w:t>
      </w:r>
      <w:r>
        <w:rPr>
          <w:sz w:val="20"/>
          <w:szCs w:val="20"/>
          <w:color w:val="auto"/>
        </w:rPr>
        <w:tab/>
      </w:r>
      <w:r>
        <w:rPr>
          <w:rFonts w:ascii="Courier New" w:cs="Courier New" w:eastAsia="Courier New" w:hAnsi="Courier New"/>
          <w:sz w:val="12"/>
          <w:szCs w:val="12"/>
          <w:color w:val="auto"/>
        </w:rPr>
        <w:t>any</w:t>
      </w:r>
    </w:p>
    <w:p>
      <w:pPr>
        <w:spacing w:after="0" w:line="6" w:lineRule="exact"/>
        <w:rPr>
          <w:sz w:val="20"/>
          <w:szCs w:val="20"/>
          <w:color w:val="auto"/>
        </w:rPr>
      </w:pPr>
    </w:p>
    <w:p>
      <w:pPr>
        <w:jc w:val="both"/>
        <w:ind w:left="4660"/>
        <w:spacing w:after="0"/>
        <w:tabs>
          <w:tab w:leader="none" w:pos="5520" w:val="left"/>
        </w:tabs>
        <w:rPr>
          <w:sz w:val="20"/>
          <w:szCs w:val="20"/>
          <w:color w:val="auto"/>
        </w:rPr>
      </w:pPr>
      <w:r>
        <w:rPr>
          <w:rFonts w:ascii="Courier New" w:cs="Courier New" w:eastAsia="Courier New" w:hAnsi="Courier New"/>
          <w:sz w:val="12"/>
          <w:szCs w:val="12"/>
          <w:color w:val="auto"/>
        </w:rPr>
        <w:t>payment,</w:t>
      </w:r>
      <w:r>
        <w:rPr>
          <w:sz w:val="20"/>
          <w:szCs w:val="20"/>
          <w:color w:val="auto"/>
        </w:rPr>
        <w:tab/>
      </w:r>
      <w:r>
        <w:rPr>
          <w:rFonts w:ascii="Courier New" w:cs="Courier New" w:eastAsia="Courier New" w:hAnsi="Courier New"/>
          <w:sz w:val="12"/>
          <w:szCs w:val="12"/>
          <w:color w:val="auto"/>
        </w:rPr>
        <w:t>distribution</w:t>
      </w:r>
    </w:p>
    <w:p>
      <w:pPr>
        <w:spacing w:after="0" w:line="6" w:lineRule="exact"/>
        <w:rPr>
          <w:sz w:val="20"/>
          <w:szCs w:val="20"/>
          <w:color w:val="auto"/>
        </w:rPr>
      </w:pPr>
    </w:p>
    <w:p>
      <w:pPr>
        <w:ind w:left="4660"/>
        <w:spacing w:after="0"/>
        <w:tabs>
          <w:tab w:leader="none" w:pos="5160" w:val="left"/>
          <w:tab w:leader="none" w:pos="6200" w:val="left"/>
        </w:tabs>
        <w:rPr>
          <w:sz w:val="20"/>
          <w:szCs w:val="20"/>
          <w:color w:val="auto"/>
        </w:rPr>
      </w:pPr>
      <w:r>
        <w:rPr>
          <w:rFonts w:ascii="Courier New" w:cs="Courier New" w:eastAsia="Courier New" w:hAnsi="Courier New"/>
          <w:sz w:val="12"/>
          <w:szCs w:val="12"/>
          <w:color w:val="auto"/>
        </w:rPr>
        <w:t>or</w:t>
      </w:r>
      <w:r>
        <w:rPr>
          <w:sz w:val="20"/>
          <w:szCs w:val="20"/>
          <w:color w:val="auto"/>
        </w:rPr>
        <w:tab/>
      </w:r>
      <w:r>
        <w:rPr>
          <w:rFonts w:ascii="Courier New" w:cs="Courier New" w:eastAsia="Courier New" w:hAnsi="Courier New"/>
          <w:sz w:val="12"/>
          <w:szCs w:val="12"/>
          <w:color w:val="auto"/>
        </w:rPr>
        <w:t>benefit,</w:t>
      </w:r>
      <w:r>
        <w:rPr>
          <w:sz w:val="20"/>
          <w:szCs w:val="20"/>
          <w:color w:val="auto"/>
        </w:rPr>
        <w:tab/>
      </w:r>
      <w:r>
        <w:rPr>
          <w:rFonts w:ascii="Courier New" w:cs="Courier New" w:eastAsia="Courier New" w:hAnsi="Courier New"/>
          <w:sz w:val="12"/>
          <w:szCs w:val="12"/>
          <w:color w:val="auto"/>
        </w:rPr>
        <w:t>the</w:t>
      </w:r>
    </w:p>
    <w:p>
      <w:pPr>
        <w:spacing w:after="0" w:line="6" w:lineRule="exact"/>
        <w:rPr>
          <w:sz w:val="20"/>
          <w:szCs w:val="20"/>
          <w:color w:val="auto"/>
        </w:rPr>
      </w:pPr>
    </w:p>
    <w:p>
      <w:pPr>
        <w:ind w:left="4660"/>
        <w:spacing w:after="0"/>
        <w:tabs>
          <w:tab w:leader="none" w:pos="5460" w:val="left"/>
        </w:tabs>
        <w:rPr>
          <w:sz w:val="20"/>
          <w:szCs w:val="20"/>
          <w:color w:val="auto"/>
        </w:rPr>
      </w:pPr>
      <w:r>
        <w:rPr>
          <w:rFonts w:ascii="Courier New" w:cs="Courier New" w:eastAsia="Courier New" w:hAnsi="Courier New"/>
          <w:sz w:val="12"/>
          <w:szCs w:val="12"/>
          <w:color w:val="auto"/>
        </w:rPr>
        <w:t>recipient</w:t>
        <w:tab/>
        <w:t>thereof shall</w:t>
      </w:r>
    </w:p>
    <w:p>
      <w:pPr>
        <w:spacing w:after="0" w:line="6" w:lineRule="exact"/>
        <w:rPr>
          <w:sz w:val="20"/>
          <w:szCs w:val="20"/>
          <w:color w:val="auto"/>
        </w:rPr>
      </w:pPr>
    </w:p>
    <w:p>
      <w:pPr>
        <w:ind w:left="4660"/>
        <w:spacing w:after="0"/>
        <w:tabs>
          <w:tab w:leader="none" w:pos="4940" w:val="left"/>
          <w:tab w:leader="none" w:pos="5520" w:val="left"/>
        </w:tabs>
        <w:rPr>
          <w:sz w:val="20"/>
          <w:szCs w:val="20"/>
          <w:color w:val="auto"/>
        </w:rPr>
      </w:pPr>
      <w:r>
        <w:rPr>
          <w:rFonts w:ascii="Courier New" w:cs="Courier New" w:eastAsia="Courier New" w:hAnsi="Courier New"/>
          <w:sz w:val="12"/>
          <w:szCs w:val="12"/>
          <w:color w:val="auto"/>
        </w:rPr>
        <w:t>be</w:t>
        <w:tab/>
        <w:t>deemed</w:t>
        <w:tab/>
        <w:t>to hold same</w:t>
      </w:r>
    </w:p>
    <w:p>
      <w:pPr>
        <w:spacing w:after="0" w:line="6" w:lineRule="exact"/>
        <w:rPr>
          <w:sz w:val="20"/>
          <w:szCs w:val="20"/>
          <w:color w:val="auto"/>
        </w:rPr>
      </w:pPr>
    </w:p>
    <w:p>
      <w:pPr>
        <w:ind w:left="4660"/>
        <w:spacing w:after="0"/>
        <w:tabs>
          <w:tab w:leader="none" w:pos="5380" w:val="left"/>
          <w:tab w:leader="none" w:pos="6040" w:val="left"/>
        </w:tabs>
        <w:rPr>
          <w:sz w:val="20"/>
          <w:szCs w:val="20"/>
          <w:color w:val="auto"/>
        </w:rPr>
      </w:pPr>
      <w:r>
        <w:rPr>
          <w:rFonts w:ascii="Courier New" w:cs="Courier New" w:eastAsia="Courier New" w:hAnsi="Courier New"/>
          <w:sz w:val="12"/>
          <w:szCs w:val="12"/>
          <w:color w:val="auto"/>
        </w:rPr>
        <w:t>on trust</w:t>
        <w:tab/>
        <w:t>for the</w:t>
        <w:tab/>
        <w:t>Banks</w:t>
      </w:r>
    </w:p>
    <w:p>
      <w:pPr>
        <w:spacing w:after="0" w:line="6" w:lineRule="exact"/>
        <w:rPr>
          <w:sz w:val="20"/>
          <w:szCs w:val="20"/>
          <w:color w:val="auto"/>
        </w:rPr>
      </w:pPr>
    </w:p>
    <w:p>
      <w:pPr>
        <w:ind w:left="4660"/>
        <w:spacing w:after="0"/>
        <w:tabs>
          <w:tab w:leader="none" w:pos="5460" w:val="left"/>
        </w:tabs>
        <w:rPr>
          <w:sz w:val="20"/>
          <w:szCs w:val="20"/>
          <w:color w:val="auto"/>
        </w:rPr>
      </w:pPr>
      <w:r>
        <w:rPr>
          <w:rFonts w:ascii="Courier New" w:cs="Courier New" w:eastAsia="Courier New" w:hAnsi="Courier New"/>
          <w:sz w:val="12"/>
          <w:szCs w:val="12"/>
          <w:color w:val="auto"/>
        </w:rPr>
        <w:t>and shall</w:t>
        <w:tab/>
        <w:t>forthwith pay</w:t>
      </w:r>
    </w:p>
    <w:p>
      <w:pPr>
        <w:spacing w:after="0" w:line="6" w:lineRule="exact"/>
        <w:rPr>
          <w:sz w:val="20"/>
          <w:szCs w:val="20"/>
          <w:color w:val="auto"/>
        </w:rPr>
      </w:pPr>
    </w:p>
    <w:p>
      <w:pPr>
        <w:ind w:left="4660"/>
        <w:spacing w:after="0"/>
        <w:tabs>
          <w:tab w:leader="none" w:pos="5020" w:val="left"/>
          <w:tab w:leader="none" w:pos="5820" w:val="left"/>
          <w:tab w:leader="none" w:pos="6200" w:val="left"/>
        </w:tabs>
        <w:rPr>
          <w:sz w:val="20"/>
          <w:szCs w:val="20"/>
          <w:color w:val="auto"/>
        </w:rPr>
      </w:pPr>
      <w:r>
        <w:rPr>
          <w:rFonts w:ascii="Courier New" w:cs="Courier New" w:eastAsia="Courier New" w:hAnsi="Courier New"/>
          <w:sz w:val="12"/>
          <w:szCs w:val="12"/>
          <w:color w:val="auto"/>
        </w:rPr>
        <w:t>or</w:t>
        <w:tab/>
        <w:t>transfer</w:t>
        <w:tab/>
        <w:t>to</w:t>
        <w:tab/>
        <w:t>the</w:t>
      </w:r>
    </w:p>
    <w:p>
      <w:pPr>
        <w:spacing w:after="0" w:line="6" w:lineRule="exact"/>
        <w:rPr>
          <w:sz w:val="20"/>
          <w:szCs w:val="20"/>
          <w:color w:val="auto"/>
        </w:rPr>
      </w:pPr>
    </w:p>
    <w:p>
      <w:pPr>
        <w:ind w:left="4660"/>
        <w:spacing w:after="0"/>
        <w:tabs>
          <w:tab w:leader="none" w:pos="5300" w:val="left"/>
          <w:tab w:leader="none" w:pos="5820" w:val="left"/>
        </w:tabs>
        <w:rPr>
          <w:sz w:val="20"/>
          <w:szCs w:val="20"/>
          <w:color w:val="auto"/>
        </w:rPr>
      </w:pPr>
      <w:r>
        <w:rPr>
          <w:rFonts w:ascii="Courier New" w:cs="Courier New" w:eastAsia="Courier New" w:hAnsi="Courier New"/>
          <w:sz w:val="12"/>
          <w:szCs w:val="12"/>
          <w:color w:val="auto"/>
        </w:rPr>
        <w:t>Banks</w:t>
      </w:r>
      <w:r>
        <w:rPr>
          <w:sz w:val="20"/>
          <w:szCs w:val="20"/>
          <w:color w:val="auto"/>
        </w:rPr>
        <w:tab/>
      </w:r>
      <w:r>
        <w:rPr>
          <w:rFonts w:ascii="Courier New" w:cs="Courier New" w:eastAsia="Courier New" w:hAnsi="Courier New"/>
          <w:sz w:val="12"/>
          <w:szCs w:val="12"/>
          <w:color w:val="auto"/>
        </w:rPr>
        <w:t>any</w:t>
      </w:r>
      <w:r>
        <w:rPr>
          <w:sz w:val="20"/>
          <w:szCs w:val="20"/>
          <w:color w:val="auto"/>
        </w:rPr>
        <w:tab/>
      </w:r>
      <w:r>
        <w:rPr>
          <w:rFonts w:ascii="Courier New" w:cs="Courier New" w:eastAsia="Courier New" w:hAnsi="Courier New"/>
          <w:sz w:val="12"/>
          <w:szCs w:val="12"/>
          <w:color w:val="auto"/>
        </w:rPr>
        <w:t>payment,</w:t>
      </w:r>
    </w:p>
    <w:p>
      <w:pPr>
        <w:spacing w:after="0" w:line="6" w:lineRule="exact"/>
        <w:rPr>
          <w:sz w:val="20"/>
          <w:szCs w:val="20"/>
          <w:color w:val="auto"/>
        </w:rPr>
      </w:pPr>
    </w:p>
    <w:p>
      <w:pPr>
        <w:ind w:left="4660"/>
        <w:spacing w:after="0"/>
        <w:tabs>
          <w:tab w:leader="none" w:pos="5680" w:val="left"/>
        </w:tabs>
        <w:rPr>
          <w:sz w:val="20"/>
          <w:szCs w:val="20"/>
          <w:color w:val="auto"/>
        </w:rPr>
      </w:pPr>
      <w:r>
        <w:rPr>
          <w:rFonts w:ascii="Courier New" w:cs="Courier New" w:eastAsia="Courier New" w:hAnsi="Courier New"/>
          <w:sz w:val="12"/>
          <w:szCs w:val="12"/>
          <w:color w:val="auto"/>
        </w:rPr>
        <w:t>distribution</w:t>
        <w:tab/>
        <w:t>or benefit</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2"/>
          <w:szCs w:val="12"/>
          <w:color w:val="auto"/>
        </w:rPr>
        <w:t>so received;</w:t>
      </w:r>
    </w:p>
    <w:p>
      <w:pPr>
        <w:spacing w:after="0" w:line="289"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- 60 -</w:t>
      </w:r>
    </w:p>
    <w:p>
      <w:pPr>
        <w:spacing w:after="0" w:line="200" w:lineRule="exact"/>
        <w:rPr>
          <w:sz w:val="20"/>
          <w:szCs w:val="20"/>
          <w:color w:val="auto"/>
        </w:rPr>
      </w:pPr>
    </w:p>
    <w:p>
      <w:pPr>
        <w:spacing w:after="0" w:line="353" w:lineRule="exact"/>
        <w:rPr>
          <w:sz w:val="20"/>
          <w:szCs w:val="20"/>
          <w:color w:val="auto"/>
        </w:rPr>
      </w:pPr>
    </w:p>
    <w:p>
      <w:pPr>
        <w:ind w:left="4140"/>
        <w:spacing w:after="0"/>
        <w:tabs>
          <w:tab w:leader="none" w:pos="4640" w:val="left"/>
          <w:tab w:leader="none" w:pos="5020" w:val="left"/>
          <w:tab w:leader="none" w:pos="5740" w:val="left"/>
        </w:tabs>
        <w:rPr>
          <w:sz w:val="20"/>
          <w:szCs w:val="20"/>
          <w:color w:val="auto"/>
        </w:rPr>
      </w:pPr>
      <w:r>
        <w:rPr>
          <w:rFonts w:ascii="Courier New" w:cs="Courier New" w:eastAsia="Courier New" w:hAnsi="Courier New"/>
          <w:sz w:val="12"/>
          <w:szCs w:val="12"/>
          <w:color w:val="auto"/>
        </w:rPr>
        <w:t>(2)</w:t>
      </w:r>
      <w:r>
        <w:rPr>
          <w:sz w:val="20"/>
          <w:szCs w:val="20"/>
          <w:color w:val="auto"/>
        </w:rPr>
        <w:tab/>
      </w:r>
      <w:r>
        <w:rPr>
          <w:rFonts w:ascii="Courier New" w:cs="Courier New" w:eastAsia="Courier New" w:hAnsi="Courier New"/>
          <w:sz w:val="12"/>
          <w:szCs w:val="12"/>
          <w:color w:val="auto"/>
        </w:rPr>
        <w:t>the</w:t>
        <w:tab/>
        <w:t>Borrower</w:t>
        <w:tab/>
        <w:t>shall not</w:t>
      </w:r>
    </w:p>
    <w:p>
      <w:pPr>
        <w:spacing w:after="0" w:line="6" w:lineRule="exact"/>
        <w:rPr>
          <w:sz w:val="20"/>
          <w:szCs w:val="20"/>
          <w:color w:val="auto"/>
        </w:rPr>
      </w:pPr>
    </w:p>
    <w:p>
      <w:pPr>
        <w:ind w:left="4660"/>
        <w:spacing w:after="0"/>
        <w:tabs>
          <w:tab w:leader="none" w:pos="4940" w:val="left"/>
        </w:tabs>
        <w:rPr>
          <w:sz w:val="20"/>
          <w:szCs w:val="20"/>
          <w:color w:val="auto"/>
        </w:rPr>
      </w:pPr>
      <w:r>
        <w:rPr>
          <w:rFonts w:ascii="Courier New" w:cs="Courier New" w:eastAsia="Courier New" w:hAnsi="Courier New"/>
          <w:sz w:val="12"/>
          <w:szCs w:val="12"/>
          <w:color w:val="auto"/>
        </w:rPr>
        <w:t>be</w:t>
        <w:tab/>
        <w:t>entitled at any time</w:t>
      </w:r>
    </w:p>
    <w:p>
      <w:pPr>
        <w:spacing w:after="0" w:line="6" w:lineRule="exact"/>
        <w:rPr>
          <w:sz w:val="20"/>
          <w:szCs w:val="20"/>
          <w:color w:val="auto"/>
        </w:rPr>
      </w:pPr>
    </w:p>
    <w:p>
      <w:pPr>
        <w:ind w:left="4660"/>
        <w:spacing w:after="0"/>
        <w:tabs>
          <w:tab w:leader="none" w:pos="5460" w:val="left"/>
        </w:tabs>
        <w:rPr>
          <w:sz w:val="20"/>
          <w:szCs w:val="20"/>
          <w:color w:val="auto"/>
        </w:rPr>
      </w:pPr>
      <w:r>
        <w:rPr>
          <w:rFonts w:ascii="Courier New" w:cs="Courier New" w:eastAsia="Courier New" w:hAnsi="Courier New"/>
          <w:sz w:val="12"/>
          <w:szCs w:val="12"/>
          <w:color w:val="auto"/>
        </w:rPr>
        <w:t>after the</w:t>
        <w:tab/>
        <w:t>expiry of any</w:t>
      </w:r>
    </w:p>
    <w:p>
      <w:pPr>
        <w:spacing w:after="0" w:line="6" w:lineRule="exact"/>
        <w:rPr>
          <w:sz w:val="20"/>
          <w:szCs w:val="20"/>
          <w:color w:val="auto"/>
        </w:rPr>
      </w:pPr>
    </w:p>
    <w:p>
      <w:pPr>
        <w:ind w:left="4660"/>
        <w:spacing w:after="0"/>
        <w:tabs>
          <w:tab w:leader="none" w:pos="5740" w:val="left"/>
        </w:tabs>
        <w:rPr>
          <w:sz w:val="20"/>
          <w:szCs w:val="20"/>
          <w:color w:val="auto"/>
        </w:rPr>
      </w:pPr>
      <w:r>
        <w:rPr>
          <w:rFonts w:ascii="Courier New" w:cs="Courier New" w:eastAsia="Courier New" w:hAnsi="Courier New"/>
          <w:sz w:val="12"/>
          <w:szCs w:val="12"/>
          <w:color w:val="auto"/>
        </w:rPr>
        <w:t>Relevant</w:t>
      </w:r>
      <w:r>
        <w:rPr>
          <w:sz w:val="20"/>
          <w:szCs w:val="20"/>
          <w:color w:val="auto"/>
        </w:rPr>
        <w:tab/>
      </w:r>
      <w:r>
        <w:rPr>
          <w:rFonts w:ascii="Courier New" w:cs="Courier New" w:eastAsia="Courier New" w:hAnsi="Courier New"/>
          <w:sz w:val="12"/>
          <w:szCs w:val="12"/>
          <w:color w:val="auto"/>
        </w:rPr>
        <w:t>Six-Month</w:t>
      </w:r>
    </w:p>
    <w:p>
      <w:pPr>
        <w:spacing w:after="0" w:line="6" w:lineRule="exact"/>
        <w:rPr>
          <w:sz w:val="20"/>
          <w:szCs w:val="20"/>
          <w:color w:val="auto"/>
        </w:rPr>
      </w:pPr>
    </w:p>
    <w:p>
      <w:pPr>
        <w:ind w:left="4660"/>
        <w:spacing w:after="0"/>
        <w:tabs>
          <w:tab w:leader="none" w:pos="5240" w:val="left"/>
          <w:tab w:leader="none" w:pos="5520" w:val="left"/>
          <w:tab w:leader="none" w:pos="6260" w:val="left"/>
        </w:tabs>
        <w:rPr>
          <w:sz w:val="20"/>
          <w:szCs w:val="20"/>
          <w:color w:val="auto"/>
        </w:rPr>
      </w:pPr>
      <w:r>
        <w:rPr>
          <w:rFonts w:ascii="Courier New" w:cs="Courier New" w:eastAsia="Courier New" w:hAnsi="Courier New"/>
          <w:sz w:val="12"/>
          <w:szCs w:val="12"/>
          <w:color w:val="auto"/>
        </w:rPr>
        <w:t>Period</w:t>
        <w:tab/>
        <w:t>as</w:t>
        <w:tab/>
        <w:t>referred</w:t>
        <w:tab/>
        <w:t>to</w:t>
      </w:r>
    </w:p>
    <w:p>
      <w:pPr>
        <w:spacing w:after="0" w:line="6" w:lineRule="exact"/>
        <w:rPr>
          <w:sz w:val="20"/>
          <w:szCs w:val="20"/>
          <w:color w:val="auto"/>
        </w:rPr>
      </w:pPr>
    </w:p>
    <w:p>
      <w:pPr>
        <w:ind w:left="4660"/>
        <w:spacing w:after="0"/>
        <w:tabs>
          <w:tab w:leader="none" w:pos="5160" w:val="left"/>
        </w:tabs>
        <w:rPr>
          <w:sz w:val="20"/>
          <w:szCs w:val="20"/>
          <w:color w:val="auto"/>
        </w:rPr>
      </w:pPr>
      <w:r>
        <w:rPr>
          <w:rFonts w:ascii="Courier New" w:cs="Courier New" w:eastAsia="Courier New" w:hAnsi="Courier New"/>
          <w:sz w:val="12"/>
          <w:szCs w:val="12"/>
          <w:color w:val="auto"/>
        </w:rPr>
        <w:t>in</w:t>
      </w:r>
      <w:r>
        <w:rPr>
          <w:sz w:val="20"/>
          <w:szCs w:val="20"/>
          <w:color w:val="auto"/>
        </w:rPr>
        <w:tab/>
      </w:r>
      <w:r>
        <w:rPr>
          <w:rFonts w:ascii="Courier New" w:cs="Courier New" w:eastAsia="Courier New" w:hAnsi="Courier New"/>
          <w:sz w:val="12"/>
          <w:szCs w:val="12"/>
          <w:color w:val="auto"/>
        </w:rPr>
        <w:t>paragraph (ii)(1)</w:t>
      </w:r>
    </w:p>
    <w:p>
      <w:pPr>
        <w:spacing w:after="0" w:line="6" w:lineRule="exact"/>
        <w:rPr>
          <w:sz w:val="20"/>
          <w:szCs w:val="20"/>
          <w:color w:val="auto"/>
        </w:rPr>
      </w:pPr>
    </w:p>
    <w:p>
      <w:pPr>
        <w:ind w:left="4660"/>
        <w:spacing w:after="0"/>
        <w:tabs>
          <w:tab w:leader="none" w:pos="5160" w:val="left"/>
        </w:tabs>
        <w:rPr>
          <w:sz w:val="20"/>
          <w:szCs w:val="20"/>
          <w:color w:val="auto"/>
        </w:rPr>
      </w:pPr>
      <w:r>
        <w:rPr>
          <w:rFonts w:ascii="Courier New" w:cs="Courier New" w:eastAsia="Courier New" w:hAnsi="Courier New"/>
          <w:sz w:val="12"/>
          <w:szCs w:val="12"/>
          <w:color w:val="auto"/>
        </w:rPr>
        <w:t>above</w:t>
        <w:tab/>
        <w:t>(including in the</w:t>
      </w:r>
    </w:p>
    <w:p>
      <w:pPr>
        <w:spacing w:after="0" w:line="6" w:lineRule="exact"/>
        <w:rPr>
          <w:sz w:val="20"/>
          <w:szCs w:val="20"/>
          <w:color w:val="auto"/>
        </w:rPr>
      </w:pPr>
    </w:p>
    <w:p>
      <w:pPr>
        <w:ind w:left="4660"/>
        <w:spacing w:after="0"/>
        <w:tabs>
          <w:tab w:leader="none" w:pos="5520" w:val="left"/>
          <w:tab w:leader="none" w:pos="6200" w:val="left"/>
        </w:tabs>
        <w:rPr>
          <w:sz w:val="20"/>
          <w:szCs w:val="20"/>
          <w:color w:val="auto"/>
        </w:rPr>
      </w:pPr>
      <w:r>
        <w:rPr>
          <w:rFonts w:ascii="Courier New" w:cs="Courier New" w:eastAsia="Courier New" w:hAnsi="Courier New"/>
          <w:sz w:val="12"/>
          <w:szCs w:val="12"/>
          <w:color w:val="auto"/>
        </w:rPr>
        <w:t>event</w:t>
      </w:r>
      <w:r>
        <w:rPr>
          <w:sz w:val="20"/>
          <w:szCs w:val="20"/>
          <w:color w:val="auto"/>
        </w:rPr>
        <w:tab/>
      </w:r>
      <w:r>
        <w:rPr>
          <w:rFonts w:ascii="Courier New" w:cs="Courier New" w:eastAsia="Courier New" w:hAnsi="Courier New"/>
          <w:sz w:val="12"/>
          <w:szCs w:val="12"/>
          <w:color w:val="auto"/>
        </w:rPr>
        <w:t>of</w:t>
      </w:r>
      <w:r>
        <w:rPr>
          <w:sz w:val="20"/>
          <w:szCs w:val="20"/>
          <w:color w:val="auto"/>
        </w:rPr>
        <w:tab/>
      </w:r>
      <w:r>
        <w:rPr>
          <w:rFonts w:ascii="Courier New" w:cs="Courier New" w:eastAsia="Courier New" w:hAnsi="Courier New"/>
          <w:sz w:val="12"/>
          <w:szCs w:val="12"/>
          <w:color w:val="auto"/>
        </w:rPr>
        <w:t>any</w:t>
      </w:r>
    </w:p>
    <w:p>
      <w:pPr>
        <w:spacing w:after="0" w:line="6" w:lineRule="exact"/>
        <w:rPr>
          <w:sz w:val="20"/>
          <w:szCs w:val="20"/>
          <w:color w:val="auto"/>
        </w:rPr>
      </w:pPr>
    </w:p>
    <w:p>
      <w:pPr>
        <w:ind w:left="4660"/>
        <w:spacing w:after="0"/>
        <w:tabs>
          <w:tab w:leader="none" w:pos="5600" w:val="left"/>
        </w:tabs>
        <w:rPr>
          <w:sz w:val="20"/>
          <w:szCs w:val="20"/>
          <w:color w:val="auto"/>
        </w:rPr>
      </w:pPr>
      <w:r>
        <w:rPr>
          <w:rFonts w:ascii="Courier New" w:cs="Courier New" w:eastAsia="Courier New" w:hAnsi="Courier New"/>
          <w:sz w:val="12"/>
          <w:szCs w:val="12"/>
          <w:color w:val="auto"/>
        </w:rPr>
        <w:t>Proceedings</w:t>
        <w:tab/>
        <w:t>as referred</w:t>
      </w:r>
    </w:p>
    <w:p>
      <w:pPr>
        <w:spacing w:after="0" w:line="6" w:lineRule="exact"/>
        <w:rPr>
          <w:sz w:val="20"/>
          <w:szCs w:val="20"/>
          <w:color w:val="auto"/>
        </w:rPr>
      </w:pPr>
    </w:p>
    <w:p>
      <w:pPr>
        <w:jc w:val="both"/>
        <w:ind w:left="4660"/>
        <w:spacing w:after="0"/>
        <w:tabs>
          <w:tab w:leader="none" w:pos="5080" w:val="left"/>
          <w:tab w:leader="none" w:pos="5520" w:val="left"/>
        </w:tabs>
        <w:rPr>
          <w:sz w:val="20"/>
          <w:szCs w:val="20"/>
          <w:color w:val="auto"/>
        </w:rPr>
      </w:pPr>
      <w:r>
        <w:rPr>
          <w:rFonts w:ascii="Courier New" w:cs="Courier New" w:eastAsia="Courier New" w:hAnsi="Courier New"/>
          <w:sz w:val="12"/>
          <w:szCs w:val="12"/>
          <w:color w:val="auto"/>
        </w:rPr>
        <w:t>to</w:t>
      </w:r>
      <w:r>
        <w:rPr>
          <w:sz w:val="20"/>
          <w:szCs w:val="20"/>
          <w:color w:val="auto"/>
        </w:rPr>
        <w:tab/>
      </w:r>
      <w:r>
        <w:rPr>
          <w:rFonts w:ascii="Courier New" w:cs="Courier New" w:eastAsia="Courier New" w:hAnsi="Courier New"/>
          <w:sz w:val="12"/>
          <w:szCs w:val="12"/>
          <w:color w:val="auto"/>
        </w:rPr>
        <w:t>in</w:t>
      </w:r>
      <w:r>
        <w:rPr>
          <w:sz w:val="20"/>
          <w:szCs w:val="20"/>
          <w:color w:val="auto"/>
        </w:rPr>
        <w:tab/>
      </w:r>
      <w:r>
        <w:rPr>
          <w:rFonts w:ascii="Courier New" w:cs="Courier New" w:eastAsia="Courier New" w:hAnsi="Courier New"/>
          <w:sz w:val="12"/>
          <w:szCs w:val="12"/>
          <w:color w:val="auto"/>
        </w:rPr>
        <w:t>subparagraph</w:t>
      </w:r>
    </w:p>
    <w:p>
      <w:pPr>
        <w:spacing w:after="0" w:line="6" w:lineRule="exact"/>
        <w:rPr>
          <w:sz w:val="20"/>
          <w:szCs w:val="20"/>
          <w:color w:val="auto"/>
        </w:rPr>
      </w:pPr>
    </w:p>
    <w:p>
      <w:pPr>
        <w:ind w:left="4660"/>
        <w:spacing w:after="0"/>
        <w:tabs>
          <w:tab w:leader="none" w:pos="5680" w:val="left"/>
          <w:tab w:leader="none" w:pos="6120" w:val="left"/>
        </w:tabs>
        <w:rPr>
          <w:sz w:val="20"/>
          <w:szCs w:val="20"/>
          <w:color w:val="auto"/>
        </w:rPr>
      </w:pPr>
      <w:r>
        <w:rPr>
          <w:rFonts w:ascii="Courier New" w:cs="Courier New" w:eastAsia="Courier New" w:hAnsi="Courier New"/>
          <w:sz w:val="12"/>
          <w:szCs w:val="12"/>
          <w:color w:val="auto"/>
        </w:rPr>
        <w:t>(1)(A)(II)</w:t>
      </w:r>
      <w:r>
        <w:rPr>
          <w:sz w:val="20"/>
          <w:szCs w:val="20"/>
          <w:color w:val="auto"/>
        </w:rPr>
        <w:tab/>
      </w:r>
      <w:r>
        <w:rPr>
          <w:rFonts w:ascii="Courier New" w:cs="Courier New" w:eastAsia="Courier New" w:hAnsi="Courier New"/>
          <w:sz w:val="12"/>
          <w:szCs w:val="12"/>
          <w:color w:val="auto"/>
        </w:rPr>
        <w:t>of</w:t>
      </w:r>
      <w:r>
        <w:rPr>
          <w:sz w:val="20"/>
          <w:szCs w:val="20"/>
          <w:color w:val="auto"/>
        </w:rPr>
        <w:tab/>
      </w:r>
      <w:r>
        <w:rPr>
          <w:rFonts w:ascii="Courier New" w:cs="Courier New" w:eastAsia="Courier New" w:hAnsi="Courier New"/>
          <w:sz w:val="12"/>
          <w:szCs w:val="12"/>
          <w:color w:val="auto"/>
        </w:rPr>
        <w:t>this</w:t>
      </w:r>
    </w:p>
    <w:p>
      <w:pPr>
        <w:spacing w:after="0" w:line="6" w:lineRule="exact"/>
        <w:rPr>
          <w:sz w:val="20"/>
          <w:szCs w:val="20"/>
          <w:color w:val="auto"/>
        </w:rPr>
      </w:pPr>
    </w:p>
    <w:p>
      <w:pPr>
        <w:ind w:left="4660"/>
        <w:spacing w:after="0"/>
        <w:tabs>
          <w:tab w:leader="none" w:pos="5980" w:val="left"/>
        </w:tabs>
        <w:rPr>
          <w:sz w:val="20"/>
          <w:szCs w:val="20"/>
          <w:color w:val="auto"/>
        </w:rPr>
      </w:pPr>
      <w:r>
        <w:rPr>
          <w:rFonts w:ascii="Courier New" w:cs="Courier New" w:eastAsia="Courier New" w:hAnsi="Courier New"/>
          <w:sz w:val="12"/>
          <w:szCs w:val="12"/>
          <w:color w:val="auto"/>
        </w:rPr>
        <w:t>paragraph (iii)</w:t>
      </w:r>
      <w:r>
        <w:rPr>
          <w:sz w:val="20"/>
          <w:szCs w:val="20"/>
          <w:color w:val="auto"/>
        </w:rPr>
        <w:tab/>
      </w:r>
      <w:r>
        <w:rPr>
          <w:rFonts w:ascii="Courier New" w:cs="Courier New" w:eastAsia="Courier New" w:hAnsi="Courier New"/>
          <w:sz w:val="12"/>
          <w:szCs w:val="12"/>
          <w:color w:val="auto"/>
        </w:rPr>
        <w:t>above)</w:t>
      </w:r>
    </w:p>
    <w:p>
      <w:pPr>
        <w:spacing w:after="0" w:line="6" w:lineRule="exact"/>
        <w:rPr>
          <w:sz w:val="20"/>
          <w:szCs w:val="20"/>
          <w:color w:val="auto"/>
        </w:rPr>
      </w:pPr>
    </w:p>
    <w:p>
      <w:pPr>
        <w:ind w:left="4660"/>
        <w:spacing w:after="0"/>
        <w:tabs>
          <w:tab w:leader="none" w:pos="5600" w:val="left"/>
          <w:tab w:leader="none" w:pos="6260" w:val="left"/>
        </w:tabs>
        <w:rPr>
          <w:sz w:val="20"/>
          <w:szCs w:val="20"/>
          <w:color w:val="auto"/>
        </w:rPr>
      </w:pPr>
      <w:r>
        <w:rPr>
          <w:rFonts w:ascii="Courier New" w:cs="Courier New" w:eastAsia="Courier New" w:hAnsi="Courier New"/>
          <w:sz w:val="12"/>
          <w:szCs w:val="12"/>
          <w:color w:val="auto"/>
        </w:rPr>
        <w:t>to make any</w:t>
        <w:tab/>
        <w:t>payment</w:t>
        <w:tab/>
        <w:t>in</w:t>
      </w:r>
    </w:p>
    <w:p>
      <w:pPr>
        <w:spacing w:after="0" w:line="6" w:lineRule="exact"/>
        <w:rPr>
          <w:sz w:val="20"/>
          <w:szCs w:val="20"/>
          <w:color w:val="auto"/>
        </w:rPr>
      </w:pPr>
    </w:p>
    <w:p>
      <w:pPr>
        <w:ind w:left="4660"/>
        <w:spacing w:after="0"/>
        <w:tabs>
          <w:tab w:leader="none" w:pos="5600" w:val="left"/>
          <w:tab w:leader="none" w:pos="6200" w:val="left"/>
        </w:tabs>
        <w:rPr>
          <w:sz w:val="20"/>
          <w:szCs w:val="20"/>
          <w:color w:val="auto"/>
        </w:rPr>
      </w:pPr>
      <w:r>
        <w:rPr>
          <w:rFonts w:ascii="Courier New" w:cs="Courier New" w:eastAsia="Courier New" w:hAnsi="Courier New"/>
          <w:sz w:val="12"/>
          <w:szCs w:val="12"/>
          <w:color w:val="auto"/>
        </w:rPr>
        <w:t>respect</w:t>
      </w:r>
      <w:r>
        <w:rPr>
          <w:sz w:val="20"/>
          <w:szCs w:val="20"/>
          <w:color w:val="auto"/>
        </w:rPr>
        <w:tab/>
      </w:r>
      <w:r>
        <w:rPr>
          <w:rFonts w:ascii="Courier New" w:cs="Courier New" w:eastAsia="Courier New" w:hAnsi="Courier New"/>
          <w:sz w:val="12"/>
          <w:szCs w:val="12"/>
          <w:color w:val="auto"/>
        </w:rPr>
        <w:t>of</w:t>
      </w:r>
      <w:r>
        <w:rPr>
          <w:sz w:val="20"/>
          <w:szCs w:val="20"/>
          <w:color w:val="auto"/>
        </w:rPr>
        <w:tab/>
      </w:r>
      <w:r>
        <w:rPr>
          <w:rFonts w:ascii="Courier New" w:cs="Courier New" w:eastAsia="Courier New" w:hAnsi="Courier New"/>
          <w:sz w:val="12"/>
          <w:szCs w:val="12"/>
          <w:color w:val="auto"/>
        </w:rPr>
        <w:t>any</w:t>
      </w:r>
    </w:p>
    <w:p>
      <w:pPr>
        <w:spacing w:after="0" w:line="6" w:lineRule="exact"/>
        <w:rPr>
          <w:sz w:val="20"/>
          <w:szCs w:val="20"/>
          <w:color w:val="auto"/>
        </w:rPr>
      </w:pPr>
    </w:p>
    <w:p>
      <w:pPr>
        <w:ind w:left="4660"/>
        <w:spacing w:after="0"/>
        <w:tabs>
          <w:tab w:leader="none" w:pos="5520" w:val="left"/>
          <w:tab w:leader="none" w:pos="6260" w:val="left"/>
        </w:tabs>
        <w:rPr>
          <w:sz w:val="20"/>
          <w:szCs w:val="20"/>
          <w:color w:val="auto"/>
        </w:rPr>
      </w:pPr>
      <w:r>
        <w:rPr>
          <w:rFonts w:ascii="Courier New" w:cs="Courier New" w:eastAsia="Courier New" w:hAnsi="Courier New"/>
          <w:sz w:val="12"/>
          <w:szCs w:val="12"/>
          <w:color w:val="auto"/>
        </w:rPr>
        <w:t>scheduled</w:t>
        <w:tab/>
        <w:t>payment</w:t>
        <w:tab/>
        <w:t>to</w:t>
      </w:r>
    </w:p>
    <w:p>
      <w:pPr>
        <w:spacing w:after="0" w:line="6" w:lineRule="exact"/>
        <w:rPr>
          <w:sz w:val="20"/>
          <w:szCs w:val="20"/>
          <w:color w:val="auto"/>
        </w:rPr>
      </w:pPr>
    </w:p>
    <w:p>
      <w:pPr>
        <w:ind w:left="4660"/>
        <w:spacing w:after="0"/>
        <w:tabs>
          <w:tab w:leader="none" w:pos="5080" w:val="left"/>
          <w:tab w:leader="none" w:pos="5820" w:val="left"/>
          <w:tab w:leader="none" w:pos="6200" w:val="left"/>
        </w:tabs>
        <w:rPr>
          <w:sz w:val="20"/>
          <w:szCs w:val="20"/>
          <w:color w:val="auto"/>
        </w:rPr>
      </w:pPr>
      <w:r>
        <w:rPr>
          <w:rFonts w:ascii="Courier New" w:cs="Courier New" w:eastAsia="Courier New" w:hAnsi="Courier New"/>
          <w:sz w:val="12"/>
          <w:szCs w:val="12"/>
          <w:color w:val="auto"/>
        </w:rPr>
        <w:t>the</w:t>
        <w:tab/>
        <w:t>holders</w:t>
        <w:tab/>
        <w:t>of</w:t>
        <w:tab/>
        <w:t>the</w:t>
      </w:r>
    </w:p>
    <w:p>
      <w:pPr>
        <w:spacing w:after="0" w:line="6" w:lineRule="exact"/>
        <w:rPr>
          <w:sz w:val="20"/>
          <w:szCs w:val="20"/>
          <w:color w:val="auto"/>
        </w:rPr>
      </w:pPr>
    </w:p>
    <w:p>
      <w:pPr>
        <w:jc w:val="both"/>
        <w:ind w:left="4660"/>
        <w:spacing w:after="0"/>
        <w:tabs>
          <w:tab w:leader="none" w:pos="5600" w:val="left"/>
        </w:tabs>
        <w:rPr>
          <w:sz w:val="20"/>
          <w:szCs w:val="20"/>
          <w:color w:val="auto"/>
        </w:rPr>
      </w:pPr>
      <w:r>
        <w:rPr>
          <w:rFonts w:ascii="Courier New" w:cs="Courier New" w:eastAsia="Courier New" w:hAnsi="Courier New"/>
          <w:sz w:val="12"/>
          <w:szCs w:val="12"/>
          <w:color w:val="auto"/>
        </w:rPr>
        <w:t>Equity</w:t>
      </w:r>
      <w:r>
        <w:rPr>
          <w:sz w:val="20"/>
          <w:szCs w:val="20"/>
          <w:color w:val="auto"/>
        </w:rPr>
        <w:tab/>
      </w:r>
      <w:r>
        <w:rPr>
          <w:rFonts w:ascii="Courier New" w:cs="Courier New" w:eastAsia="Courier New" w:hAnsi="Courier New"/>
          <w:sz w:val="12"/>
          <w:szCs w:val="12"/>
          <w:color w:val="auto"/>
        </w:rPr>
        <w:t>Convertible</w:t>
      </w:r>
    </w:p>
    <w:p>
      <w:pPr>
        <w:spacing w:after="0" w:line="6" w:lineRule="exact"/>
        <w:rPr>
          <w:sz w:val="20"/>
          <w:szCs w:val="20"/>
          <w:color w:val="auto"/>
        </w:rPr>
      </w:pPr>
    </w:p>
    <w:p>
      <w:pPr>
        <w:ind w:left="4660"/>
        <w:spacing w:after="0"/>
        <w:tabs>
          <w:tab w:leader="none" w:pos="5680" w:val="left"/>
          <w:tab w:leader="none" w:pos="6120" w:val="left"/>
        </w:tabs>
        <w:rPr>
          <w:sz w:val="20"/>
          <w:szCs w:val="20"/>
          <w:color w:val="auto"/>
        </w:rPr>
      </w:pPr>
      <w:r>
        <w:rPr>
          <w:rFonts w:ascii="Courier New" w:cs="Courier New" w:eastAsia="Courier New" w:hAnsi="Courier New"/>
          <w:sz w:val="12"/>
          <w:szCs w:val="12"/>
          <w:color w:val="auto"/>
        </w:rPr>
        <w:t>Debentures</w:t>
      </w:r>
      <w:r>
        <w:rPr>
          <w:sz w:val="20"/>
          <w:szCs w:val="20"/>
          <w:color w:val="auto"/>
        </w:rPr>
        <w:tab/>
      </w:r>
      <w:r>
        <w:rPr>
          <w:rFonts w:ascii="Courier New" w:cs="Courier New" w:eastAsia="Courier New" w:hAnsi="Courier New"/>
          <w:sz w:val="12"/>
          <w:szCs w:val="12"/>
          <w:color w:val="auto"/>
        </w:rPr>
        <w:t>not</w:t>
        <w:tab/>
        <w:t>made</w:t>
      </w:r>
    </w:p>
    <w:p>
      <w:pPr>
        <w:spacing w:after="0" w:line="6" w:lineRule="exact"/>
        <w:rPr>
          <w:sz w:val="20"/>
          <w:szCs w:val="20"/>
          <w:color w:val="auto"/>
        </w:rPr>
      </w:pPr>
    </w:p>
    <w:p>
      <w:pPr>
        <w:ind w:left="4660"/>
        <w:spacing w:after="0"/>
        <w:tabs>
          <w:tab w:leader="none" w:pos="5300" w:val="left"/>
          <w:tab w:leader="none" w:pos="5820" w:val="left"/>
        </w:tabs>
        <w:rPr>
          <w:sz w:val="20"/>
          <w:szCs w:val="20"/>
          <w:color w:val="auto"/>
        </w:rPr>
      </w:pPr>
      <w:r>
        <w:rPr>
          <w:rFonts w:ascii="Courier New" w:cs="Courier New" w:eastAsia="Courier New" w:hAnsi="Courier New"/>
          <w:sz w:val="12"/>
          <w:szCs w:val="12"/>
          <w:color w:val="auto"/>
        </w:rPr>
        <w:t>during</w:t>
        <w:tab/>
        <w:t>such</w:t>
        <w:tab/>
        <w:t>Relevant</w:t>
      </w:r>
    </w:p>
    <w:p>
      <w:pPr>
        <w:spacing w:after="0" w:line="6" w:lineRule="exact"/>
        <w:rPr>
          <w:sz w:val="20"/>
          <w:szCs w:val="20"/>
          <w:color w:val="auto"/>
        </w:rPr>
      </w:pPr>
    </w:p>
    <w:p>
      <w:pPr>
        <w:ind w:left="4660"/>
        <w:spacing w:after="0"/>
        <w:tabs>
          <w:tab w:leader="none" w:pos="5460" w:val="left"/>
        </w:tabs>
        <w:rPr>
          <w:sz w:val="20"/>
          <w:szCs w:val="20"/>
          <w:color w:val="auto"/>
        </w:rPr>
      </w:pPr>
      <w:r>
        <w:rPr>
          <w:rFonts w:ascii="Courier New" w:cs="Courier New" w:eastAsia="Courier New" w:hAnsi="Courier New"/>
          <w:sz w:val="12"/>
          <w:szCs w:val="12"/>
          <w:color w:val="auto"/>
        </w:rPr>
        <w:t>Six-Month</w:t>
        <w:tab/>
        <w:t>Period due to</w:t>
      </w:r>
    </w:p>
    <w:p>
      <w:pPr>
        <w:spacing w:after="0" w:line="6" w:lineRule="exact"/>
        <w:rPr>
          <w:sz w:val="20"/>
          <w:szCs w:val="20"/>
          <w:color w:val="auto"/>
        </w:rPr>
      </w:pPr>
    </w:p>
    <w:p>
      <w:pPr>
        <w:ind w:left="4660"/>
        <w:spacing w:after="0"/>
        <w:tabs>
          <w:tab w:leader="none" w:pos="5080" w:val="left"/>
          <w:tab w:leader="none" w:pos="5900" w:val="left"/>
          <w:tab w:leader="none" w:pos="6200" w:val="left"/>
        </w:tabs>
        <w:rPr>
          <w:sz w:val="20"/>
          <w:szCs w:val="20"/>
          <w:color w:val="auto"/>
        </w:rPr>
      </w:pPr>
      <w:r>
        <w:rPr>
          <w:rFonts w:ascii="Courier New" w:cs="Courier New" w:eastAsia="Courier New" w:hAnsi="Courier New"/>
          <w:sz w:val="12"/>
          <w:szCs w:val="12"/>
          <w:color w:val="auto"/>
        </w:rPr>
        <w:t>the</w:t>
        <w:tab/>
        <w:t>operation</w:t>
        <w:tab/>
        <w:t>of</w:t>
        <w:tab/>
        <w:t>the</w:t>
      </w:r>
    </w:p>
    <w:p>
      <w:pPr>
        <w:spacing w:after="0" w:line="6" w:lineRule="exact"/>
        <w:rPr>
          <w:sz w:val="20"/>
          <w:szCs w:val="20"/>
          <w:color w:val="auto"/>
        </w:rPr>
      </w:pPr>
    </w:p>
    <w:p>
      <w:pPr>
        <w:ind w:left="4660"/>
        <w:spacing w:after="0"/>
        <w:tabs>
          <w:tab w:leader="none" w:pos="5380" w:val="left"/>
          <w:tab w:leader="none" w:pos="6260" w:val="left"/>
        </w:tabs>
        <w:rPr>
          <w:sz w:val="20"/>
          <w:szCs w:val="20"/>
          <w:color w:val="auto"/>
        </w:rPr>
      </w:pPr>
      <w:r>
        <w:rPr>
          <w:rFonts w:ascii="Courier New" w:cs="Courier New" w:eastAsia="Courier New" w:hAnsi="Courier New"/>
          <w:sz w:val="12"/>
          <w:szCs w:val="12"/>
          <w:color w:val="auto"/>
        </w:rPr>
        <w:t>opening</w:t>
        <w:tab/>
        <w:t>paragraph</w:t>
        <w:tab/>
        <w:t>of</w:t>
      </w:r>
    </w:p>
    <w:p>
      <w:pPr>
        <w:spacing w:after="0" w:line="6" w:lineRule="exact"/>
        <w:rPr>
          <w:sz w:val="20"/>
          <w:szCs w:val="20"/>
          <w:color w:val="auto"/>
        </w:rPr>
      </w:pPr>
    </w:p>
    <w:p>
      <w:pPr>
        <w:ind w:left="4660"/>
        <w:spacing w:after="0"/>
        <w:tabs>
          <w:tab w:leader="none" w:pos="5080" w:val="left"/>
          <w:tab w:leader="none" w:pos="5600" w:val="left"/>
          <w:tab w:leader="none" w:pos="6200" w:val="left"/>
        </w:tabs>
        <w:rPr>
          <w:sz w:val="20"/>
          <w:szCs w:val="20"/>
          <w:color w:val="auto"/>
        </w:rPr>
      </w:pPr>
      <w:r>
        <w:rPr>
          <w:rFonts w:ascii="Courier New" w:cs="Courier New" w:eastAsia="Courier New" w:hAnsi="Courier New"/>
          <w:sz w:val="12"/>
          <w:szCs w:val="12"/>
          <w:color w:val="auto"/>
        </w:rPr>
        <w:t>(ii)</w:t>
        <w:tab/>
        <w:t>above</w:t>
        <w:tab/>
        <w:t>unless</w:t>
        <w:tab/>
        <w:t>all</w:t>
      </w:r>
    </w:p>
    <w:p>
      <w:pPr>
        <w:spacing w:after="0" w:line="6" w:lineRule="exact"/>
        <w:rPr>
          <w:sz w:val="20"/>
          <w:szCs w:val="20"/>
          <w:color w:val="auto"/>
        </w:rPr>
      </w:pPr>
    </w:p>
    <w:p>
      <w:pPr>
        <w:ind w:left="4660"/>
        <w:spacing w:after="0"/>
        <w:tabs>
          <w:tab w:leader="none" w:pos="5380" w:val="left"/>
          <w:tab w:leader="none" w:pos="5820" w:val="left"/>
          <w:tab w:leader="none" w:pos="6200" w:val="left"/>
        </w:tabs>
        <w:rPr>
          <w:sz w:val="20"/>
          <w:szCs w:val="20"/>
          <w:color w:val="auto"/>
        </w:rPr>
      </w:pPr>
      <w:r>
        <w:rPr>
          <w:rFonts w:ascii="Courier New" w:cs="Courier New" w:eastAsia="Courier New" w:hAnsi="Courier New"/>
          <w:sz w:val="12"/>
          <w:szCs w:val="12"/>
          <w:color w:val="auto"/>
        </w:rPr>
        <w:t>amounts</w:t>
        <w:tab/>
        <w:t>then</w:t>
        <w:tab/>
        <w:t>due</w:t>
        <w:tab/>
        <w:t>and</w:t>
      </w:r>
    </w:p>
    <w:p>
      <w:pPr>
        <w:spacing w:after="0" w:line="6" w:lineRule="exact"/>
        <w:rPr>
          <w:sz w:val="20"/>
          <w:szCs w:val="20"/>
          <w:color w:val="auto"/>
        </w:rPr>
      </w:pPr>
    </w:p>
    <w:p>
      <w:pPr>
        <w:ind w:left="4660"/>
        <w:spacing w:after="0"/>
        <w:tabs>
          <w:tab w:leader="none" w:pos="5520" w:val="left"/>
          <w:tab w:leader="none" w:pos="6200" w:val="left"/>
        </w:tabs>
        <w:rPr>
          <w:sz w:val="20"/>
          <w:szCs w:val="20"/>
          <w:color w:val="auto"/>
        </w:rPr>
      </w:pPr>
      <w:r>
        <w:rPr>
          <w:rFonts w:ascii="Courier New" w:cs="Courier New" w:eastAsia="Courier New" w:hAnsi="Courier New"/>
          <w:sz w:val="12"/>
          <w:szCs w:val="12"/>
          <w:color w:val="auto"/>
        </w:rPr>
        <w:t>payable</w:t>
      </w:r>
      <w:r>
        <w:rPr>
          <w:sz w:val="20"/>
          <w:szCs w:val="20"/>
          <w:color w:val="auto"/>
        </w:rPr>
        <w:tab/>
      </w:r>
      <w:r>
        <w:rPr>
          <w:rFonts w:ascii="Courier New" w:cs="Courier New" w:eastAsia="Courier New" w:hAnsi="Courier New"/>
          <w:sz w:val="12"/>
          <w:szCs w:val="12"/>
          <w:color w:val="auto"/>
        </w:rPr>
        <w:t>under</w:t>
      </w:r>
      <w:r>
        <w:rPr>
          <w:sz w:val="20"/>
          <w:szCs w:val="20"/>
          <w:color w:val="auto"/>
        </w:rPr>
        <w:tab/>
      </w:r>
      <w:r>
        <w:rPr>
          <w:rFonts w:ascii="Courier New" w:cs="Courier New" w:eastAsia="Courier New" w:hAnsi="Courier New"/>
          <w:sz w:val="12"/>
          <w:szCs w:val="12"/>
          <w:color w:val="auto"/>
        </w:rPr>
        <w:t>the</w:t>
      </w:r>
    </w:p>
    <w:p>
      <w:pPr>
        <w:spacing w:after="0" w:line="6" w:lineRule="exact"/>
        <w:rPr>
          <w:sz w:val="20"/>
          <w:szCs w:val="20"/>
          <w:color w:val="auto"/>
        </w:rPr>
      </w:pPr>
    </w:p>
    <w:p>
      <w:pPr>
        <w:ind w:left="4660"/>
        <w:spacing w:after="0"/>
        <w:tabs>
          <w:tab w:leader="none" w:pos="5300" w:val="left"/>
        </w:tabs>
        <w:rPr>
          <w:sz w:val="20"/>
          <w:szCs w:val="20"/>
          <w:color w:val="auto"/>
        </w:rPr>
      </w:pPr>
      <w:r>
        <w:rPr>
          <w:rFonts w:ascii="Courier New" w:cs="Courier New" w:eastAsia="Courier New" w:hAnsi="Courier New"/>
          <w:sz w:val="12"/>
          <w:szCs w:val="12"/>
          <w:color w:val="auto"/>
        </w:rPr>
        <w:t>Finance</w:t>
        <w:tab/>
        <w:t>Documents shall</w:t>
      </w:r>
    </w:p>
    <w:p>
      <w:pPr>
        <w:spacing w:after="0" w:line="6" w:lineRule="exact"/>
        <w:rPr>
          <w:sz w:val="20"/>
          <w:szCs w:val="20"/>
          <w:color w:val="auto"/>
        </w:rPr>
      </w:pPr>
    </w:p>
    <w:p>
      <w:pPr>
        <w:ind w:left="4660"/>
        <w:spacing w:after="0"/>
        <w:tabs>
          <w:tab w:leader="none" w:pos="5080" w:val="left"/>
          <w:tab w:leader="none" w:pos="5520" w:val="left"/>
        </w:tabs>
        <w:rPr>
          <w:sz w:val="20"/>
          <w:szCs w:val="20"/>
          <w:color w:val="auto"/>
        </w:rPr>
      </w:pPr>
      <w:r>
        <w:rPr>
          <w:rFonts w:ascii="Courier New" w:cs="Courier New" w:eastAsia="Courier New" w:hAnsi="Courier New"/>
          <w:sz w:val="12"/>
          <w:szCs w:val="12"/>
          <w:color w:val="auto"/>
        </w:rPr>
        <w:t>have</w:t>
        <w:tab/>
        <w:t>been</w:t>
        <w:tab/>
        <w:t>paid in full</w:t>
      </w:r>
    </w:p>
    <w:p>
      <w:pPr>
        <w:spacing w:after="0" w:line="6" w:lineRule="exact"/>
        <w:rPr>
          <w:sz w:val="20"/>
          <w:szCs w:val="20"/>
          <w:color w:val="auto"/>
        </w:rPr>
      </w:pPr>
    </w:p>
    <w:p>
      <w:pPr>
        <w:ind w:left="4660"/>
        <w:spacing w:after="0"/>
        <w:tabs>
          <w:tab w:leader="none" w:pos="4940" w:val="left"/>
          <w:tab w:leader="none" w:pos="5240" w:val="left"/>
          <w:tab w:leader="none" w:pos="5820" w:val="left"/>
        </w:tabs>
        <w:rPr>
          <w:sz w:val="20"/>
          <w:szCs w:val="20"/>
          <w:color w:val="auto"/>
        </w:rPr>
      </w:pPr>
      <w:r>
        <w:rPr>
          <w:rFonts w:ascii="Courier New" w:cs="Courier New" w:eastAsia="Courier New" w:hAnsi="Courier New"/>
          <w:sz w:val="12"/>
          <w:szCs w:val="12"/>
          <w:color w:val="auto"/>
        </w:rPr>
        <w:t>or</w:t>
        <w:tab/>
        <w:t>a</w:t>
        <w:tab/>
        <w:t>final</w:t>
        <w:tab/>
        <w:t>judgment</w:t>
      </w:r>
    </w:p>
    <w:p>
      <w:pPr>
        <w:spacing w:after="0" w:line="6" w:lineRule="exact"/>
        <w:rPr>
          <w:sz w:val="20"/>
          <w:szCs w:val="20"/>
          <w:color w:val="auto"/>
        </w:rPr>
      </w:pPr>
    </w:p>
    <w:p>
      <w:pPr>
        <w:ind w:left="4660"/>
        <w:spacing w:after="0"/>
        <w:tabs>
          <w:tab w:leader="none" w:pos="5160" w:val="left"/>
          <w:tab w:leader="none" w:pos="5600" w:val="left"/>
          <w:tab w:leader="none" w:pos="6040" w:val="left"/>
        </w:tabs>
        <w:rPr>
          <w:sz w:val="20"/>
          <w:szCs w:val="20"/>
          <w:color w:val="auto"/>
        </w:rPr>
      </w:pPr>
      <w:r>
        <w:rPr>
          <w:rFonts w:ascii="Courier New" w:cs="Courier New" w:eastAsia="Courier New" w:hAnsi="Courier New"/>
          <w:sz w:val="12"/>
          <w:szCs w:val="12"/>
          <w:color w:val="auto"/>
        </w:rPr>
        <w:t>shall</w:t>
        <w:tab/>
        <w:t>have</w:t>
        <w:tab/>
        <w:t>been</w:t>
        <w:tab/>
        <w:t>given</w:t>
      </w:r>
    </w:p>
    <w:p>
      <w:pPr>
        <w:spacing w:after="0" w:line="6" w:lineRule="exact"/>
        <w:rPr>
          <w:sz w:val="20"/>
          <w:szCs w:val="20"/>
          <w:color w:val="auto"/>
        </w:rPr>
      </w:pPr>
    </w:p>
    <w:p>
      <w:pPr>
        <w:ind w:left="4660"/>
        <w:spacing w:after="0"/>
        <w:tabs>
          <w:tab w:leader="none" w:pos="5080" w:val="left"/>
          <w:tab w:leader="none" w:pos="5820" w:val="left"/>
          <w:tab w:leader="none" w:pos="6200" w:val="left"/>
        </w:tabs>
        <w:rPr>
          <w:sz w:val="20"/>
          <w:szCs w:val="20"/>
          <w:color w:val="auto"/>
        </w:rPr>
      </w:pPr>
      <w:r>
        <w:rPr>
          <w:rFonts w:ascii="Courier New" w:cs="Courier New" w:eastAsia="Courier New" w:hAnsi="Courier New"/>
          <w:sz w:val="12"/>
          <w:szCs w:val="12"/>
          <w:color w:val="auto"/>
        </w:rPr>
        <w:t>in</w:t>
      </w:r>
      <w:r>
        <w:rPr>
          <w:sz w:val="20"/>
          <w:szCs w:val="20"/>
          <w:color w:val="auto"/>
        </w:rPr>
        <w:tab/>
      </w:r>
      <w:r>
        <w:rPr>
          <w:rFonts w:ascii="Courier New" w:cs="Courier New" w:eastAsia="Courier New" w:hAnsi="Courier New"/>
          <w:sz w:val="12"/>
          <w:szCs w:val="12"/>
          <w:color w:val="auto"/>
        </w:rPr>
        <w:t>favour</w:t>
      </w:r>
      <w:r>
        <w:rPr>
          <w:sz w:val="20"/>
          <w:szCs w:val="20"/>
          <w:color w:val="auto"/>
        </w:rPr>
        <w:tab/>
      </w:r>
      <w:r>
        <w:rPr>
          <w:rFonts w:ascii="Courier New" w:cs="Courier New" w:eastAsia="Courier New" w:hAnsi="Courier New"/>
          <w:sz w:val="12"/>
          <w:szCs w:val="12"/>
          <w:color w:val="auto"/>
        </w:rPr>
        <w:t>of</w:t>
        <w:tab/>
        <w:t>the</w:t>
      </w:r>
    </w:p>
    <w:p>
      <w:pPr>
        <w:spacing w:after="0" w:line="6" w:lineRule="exact"/>
        <w:rPr>
          <w:sz w:val="20"/>
          <w:szCs w:val="20"/>
          <w:color w:val="auto"/>
        </w:rPr>
      </w:pPr>
    </w:p>
    <w:p>
      <w:pPr>
        <w:ind w:left="4660"/>
        <w:spacing w:after="0"/>
        <w:tabs>
          <w:tab w:leader="none" w:pos="5300" w:val="left"/>
          <w:tab w:leader="none" w:pos="5600" w:val="left"/>
          <w:tab w:leader="none" w:pos="5980" w:val="left"/>
        </w:tabs>
        <w:rPr>
          <w:sz w:val="20"/>
          <w:szCs w:val="20"/>
          <w:color w:val="auto"/>
        </w:rPr>
      </w:pPr>
      <w:r>
        <w:rPr>
          <w:rFonts w:ascii="Courier New" w:cs="Courier New" w:eastAsia="Courier New" w:hAnsi="Courier New"/>
          <w:sz w:val="12"/>
          <w:szCs w:val="12"/>
          <w:color w:val="auto"/>
        </w:rPr>
        <w:t>holders</w:t>
        <w:tab/>
        <w:t>of</w:t>
        <w:tab/>
        <w:t>the</w:t>
        <w:tab/>
        <w:t>Equity</w:t>
      </w:r>
    </w:p>
    <w:p>
      <w:pPr>
        <w:spacing w:after="0" w:line="6" w:lineRule="exact"/>
        <w:rPr>
          <w:sz w:val="20"/>
          <w:szCs w:val="20"/>
          <w:color w:val="auto"/>
        </w:rPr>
      </w:pPr>
    </w:p>
    <w:p>
      <w:pPr>
        <w:ind w:left="4660"/>
        <w:spacing w:after="0"/>
        <w:tabs>
          <w:tab w:leader="none" w:pos="5680" w:val="left"/>
        </w:tabs>
        <w:rPr>
          <w:sz w:val="20"/>
          <w:szCs w:val="20"/>
          <w:color w:val="auto"/>
        </w:rPr>
      </w:pPr>
      <w:r>
        <w:rPr>
          <w:rFonts w:ascii="Courier New" w:cs="Courier New" w:eastAsia="Courier New" w:hAnsi="Courier New"/>
          <w:sz w:val="12"/>
          <w:szCs w:val="12"/>
          <w:color w:val="auto"/>
        </w:rPr>
        <w:t>Convertible</w:t>
        <w:tab/>
        <w:t>Debentures</w:t>
      </w:r>
    </w:p>
    <w:p>
      <w:pPr>
        <w:spacing w:after="0" w:line="6" w:lineRule="exact"/>
        <w:rPr>
          <w:sz w:val="20"/>
          <w:szCs w:val="20"/>
          <w:color w:val="auto"/>
        </w:rPr>
      </w:pPr>
    </w:p>
    <w:p>
      <w:pPr>
        <w:ind w:left="4660"/>
        <w:spacing w:after="0"/>
        <w:tabs>
          <w:tab w:leader="none" w:pos="5020" w:val="left"/>
          <w:tab w:leader="none" w:pos="5740" w:val="left"/>
          <w:tab w:leader="none" w:pos="6120" w:val="left"/>
        </w:tabs>
        <w:rPr>
          <w:sz w:val="20"/>
          <w:szCs w:val="20"/>
          <w:color w:val="auto"/>
        </w:rPr>
      </w:pPr>
      <w:r>
        <w:rPr>
          <w:rFonts w:ascii="Courier New" w:cs="Courier New" w:eastAsia="Courier New" w:hAnsi="Courier New"/>
          <w:sz w:val="12"/>
          <w:szCs w:val="12"/>
          <w:color w:val="auto"/>
        </w:rPr>
        <w:t>in</w:t>
        <w:tab/>
        <w:t>respect</w:t>
        <w:tab/>
        <w:t>of</w:t>
        <w:tab/>
        <w:t>such</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2"/>
          <w:szCs w:val="12"/>
          <w:color w:val="auto"/>
        </w:rPr>
        <w:t>scheduled payment; and</w:t>
      </w:r>
    </w:p>
    <w:p>
      <w:pPr>
        <w:spacing w:after="0" w:line="289"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- 61 -</w:t>
      </w:r>
    </w:p>
    <w:p>
      <w:pPr>
        <w:spacing w:after="0" w:line="200" w:lineRule="exact"/>
        <w:rPr>
          <w:sz w:val="20"/>
          <w:szCs w:val="20"/>
          <w:color w:val="auto"/>
        </w:rPr>
      </w:pPr>
    </w:p>
    <w:p>
      <w:pPr>
        <w:spacing w:after="0" w:line="353" w:lineRule="exact"/>
        <w:rPr>
          <w:sz w:val="20"/>
          <w:szCs w:val="20"/>
          <w:color w:val="auto"/>
        </w:rPr>
      </w:pPr>
    </w:p>
    <w:p>
      <w:pPr>
        <w:jc w:val="both"/>
        <w:ind w:left="4140"/>
        <w:spacing w:after="0"/>
        <w:tabs>
          <w:tab w:leader="none" w:pos="4640" w:val="left"/>
          <w:tab w:leader="none" w:pos="5380" w:val="left"/>
          <w:tab w:leader="none" w:pos="6260" w:val="left"/>
        </w:tabs>
        <w:rPr>
          <w:sz w:val="20"/>
          <w:szCs w:val="20"/>
          <w:color w:val="auto"/>
        </w:rPr>
      </w:pPr>
      <w:r>
        <w:rPr>
          <w:rFonts w:ascii="Courier New" w:cs="Courier New" w:eastAsia="Courier New" w:hAnsi="Courier New"/>
          <w:sz w:val="12"/>
          <w:szCs w:val="12"/>
          <w:color w:val="auto"/>
        </w:rPr>
        <w:t>(3)</w:t>
      </w:r>
      <w:r>
        <w:rPr>
          <w:sz w:val="20"/>
          <w:szCs w:val="20"/>
          <w:color w:val="auto"/>
        </w:rPr>
        <w:tab/>
      </w:r>
      <w:r>
        <w:rPr>
          <w:rFonts w:ascii="Courier New" w:cs="Courier New" w:eastAsia="Courier New" w:hAnsi="Courier New"/>
          <w:sz w:val="12"/>
          <w:szCs w:val="12"/>
          <w:color w:val="auto"/>
        </w:rPr>
        <w:t>nothing</w:t>
        <w:tab/>
        <w:t>contained</w:t>
        <w:tab/>
        <w:t>in</w:t>
      </w:r>
    </w:p>
    <w:p>
      <w:pPr>
        <w:spacing w:after="0" w:line="6" w:lineRule="exact"/>
        <w:rPr>
          <w:sz w:val="20"/>
          <w:szCs w:val="20"/>
          <w:color w:val="auto"/>
        </w:rPr>
      </w:pPr>
    </w:p>
    <w:p>
      <w:pPr>
        <w:ind w:left="4660"/>
        <w:spacing w:after="0"/>
        <w:tabs>
          <w:tab w:leader="none" w:pos="5460" w:val="left"/>
        </w:tabs>
        <w:rPr>
          <w:sz w:val="20"/>
          <w:szCs w:val="20"/>
          <w:color w:val="auto"/>
        </w:rPr>
      </w:pPr>
      <w:r>
        <w:rPr>
          <w:rFonts w:ascii="Courier New" w:cs="Courier New" w:eastAsia="Courier New" w:hAnsi="Courier New"/>
          <w:sz w:val="12"/>
          <w:szCs w:val="12"/>
          <w:color w:val="auto"/>
        </w:rPr>
        <w:t>this</w:t>
      </w:r>
      <w:r>
        <w:rPr>
          <w:sz w:val="20"/>
          <w:szCs w:val="20"/>
          <w:color w:val="auto"/>
        </w:rPr>
        <w:tab/>
      </w:r>
      <w:r>
        <w:rPr>
          <w:rFonts w:ascii="Courier New" w:cs="Courier New" w:eastAsia="Courier New" w:hAnsi="Courier New"/>
          <w:sz w:val="12"/>
          <w:szCs w:val="12"/>
          <w:color w:val="auto"/>
        </w:rPr>
        <w:t>paragraph (j)</w:t>
      </w:r>
    </w:p>
    <w:p>
      <w:pPr>
        <w:spacing w:after="0" w:line="6" w:lineRule="exact"/>
        <w:rPr>
          <w:sz w:val="20"/>
          <w:szCs w:val="20"/>
          <w:color w:val="auto"/>
        </w:rPr>
      </w:pPr>
    </w:p>
    <w:p>
      <w:pPr>
        <w:ind w:left="4660"/>
        <w:spacing w:after="0"/>
        <w:tabs>
          <w:tab w:leader="none" w:pos="5160" w:val="left"/>
          <w:tab w:leader="none" w:pos="5460" w:val="left"/>
          <w:tab w:leader="none" w:pos="6260" w:val="left"/>
        </w:tabs>
        <w:rPr>
          <w:sz w:val="20"/>
          <w:szCs w:val="20"/>
          <w:color w:val="auto"/>
        </w:rPr>
      </w:pPr>
      <w:r>
        <w:rPr>
          <w:rFonts w:ascii="Courier New" w:cs="Courier New" w:eastAsia="Courier New" w:hAnsi="Courier New"/>
          <w:sz w:val="12"/>
          <w:szCs w:val="12"/>
          <w:color w:val="auto"/>
        </w:rPr>
        <w:t>shall</w:t>
        <w:tab/>
        <w:t>be</w:t>
        <w:tab/>
        <w:t>construed</w:t>
        <w:tab/>
        <w:t>as</w:t>
      </w:r>
    </w:p>
    <w:p>
      <w:pPr>
        <w:sectPr>
          <w:pgSz w:w="11900" w:h="16843" w:orient="portrait"/>
          <w:cols w:equalWidth="0" w:num="1">
            <w:col w:w="9019"/>
          </w:cols>
          <w:pgMar w:left="1440" w:top="141" w:right="1440" w:bottom="0" w:gutter="0" w:footer="0" w:header="0"/>
        </w:sectPr>
      </w:pPr>
    </w:p>
    <w:bookmarkStart w:id="98" w:name="page99"/>
    <w:bookmarkEnd w:id="98"/>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in any way</w:t>
            </w:r>
          </w:p>
        </w:tc>
        <w:tc>
          <w:tcPr>
            <w:tcW w:w="60" w:type="dxa"/>
            <w:vAlign w:val="bottom"/>
          </w:tcPr>
          <w:p>
            <w:pPr>
              <w:spacing w:after="0"/>
              <w:rPr>
                <w:sz w:val="12"/>
                <w:szCs w:val="12"/>
                <w:color w:val="auto"/>
              </w:rPr>
            </w:pP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obliging 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w w:val="99"/>
              </w:rPr>
              <w:t>Banks</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to</w:t>
            </w: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rPr>
              <w:t>refrain</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from</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exercising,</w:t>
            </w:r>
          </w:p>
        </w:tc>
        <w:tc>
          <w:tcPr>
            <w:tcW w:w="60" w:type="dxa"/>
            <w:vAlign w:val="bottom"/>
          </w:tcPr>
          <w:p>
            <w:pPr>
              <w:spacing w:after="0"/>
              <w:rPr>
                <w:sz w:val="12"/>
                <w:szCs w:val="12"/>
                <w:color w:val="auto"/>
              </w:rPr>
            </w:pP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or to delay</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exercising,</w:t>
            </w:r>
          </w:p>
        </w:tc>
        <w:tc>
          <w:tcPr>
            <w:tcW w:w="6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any</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right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Courier New" w:cs="Courier New" w:eastAsia="Courier New" w:hAnsi="Courier New"/>
                <w:sz w:val="12"/>
                <w:szCs w:val="12"/>
                <w:color w:val="auto"/>
                <w:w w:val="96"/>
              </w:rPr>
              <w:t>or</w:t>
            </w:r>
          </w:p>
        </w:tc>
        <w:tc>
          <w:tcPr>
            <w:tcW w:w="22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remedy</w:t>
            </w:r>
          </w:p>
        </w:tc>
        <w:tc>
          <w:tcPr>
            <w:tcW w:w="60" w:type="dxa"/>
            <w:vAlign w:val="bottom"/>
          </w:tcPr>
          <w:p>
            <w:pPr>
              <w:spacing w:after="0"/>
              <w:rPr>
                <w:sz w:val="12"/>
                <w:szCs w:val="12"/>
                <w:color w:val="auto"/>
              </w:rPr>
            </w:pPr>
          </w:p>
        </w:tc>
        <w:tc>
          <w:tcPr>
            <w:tcW w:w="60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which</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w w:val="99"/>
              </w:rPr>
              <w:t>Banks</w:t>
            </w:r>
          </w:p>
        </w:tc>
        <w:tc>
          <w:tcPr>
            <w:tcW w:w="72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7"/>
              </w:rPr>
              <w:t>may have</w:t>
            </w:r>
          </w:p>
        </w:tc>
        <w:tc>
          <w:tcPr>
            <w:tcW w:w="1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against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rPr>
              <w:t>the</w:t>
            </w:r>
          </w:p>
        </w:tc>
        <w:tc>
          <w:tcPr>
            <w:tcW w:w="720" w:type="dxa"/>
            <w:vAlign w:val="bottom"/>
            <w:gridSpan w:val="4"/>
          </w:tcPr>
          <w:p>
            <w:pPr>
              <w:ind w:left="60"/>
              <w:spacing w:after="0"/>
              <w:rPr>
                <w:sz w:val="20"/>
                <w:szCs w:val="20"/>
                <w:color w:val="auto"/>
              </w:rPr>
            </w:pPr>
            <w:r>
              <w:rPr>
                <w:rFonts w:ascii="Courier New" w:cs="Courier New" w:eastAsia="Courier New" w:hAnsi="Courier New"/>
                <w:sz w:val="12"/>
                <w:szCs w:val="12"/>
                <w:color w:val="auto"/>
                <w:w w:val="98"/>
              </w:rPr>
              <w:t>Borrower,</w:t>
            </w:r>
          </w:p>
        </w:tc>
        <w:tc>
          <w:tcPr>
            <w:tcW w:w="1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as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consequence</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w w:val="96"/>
              </w:rPr>
              <w:t>of</w:t>
            </w:r>
          </w:p>
        </w:tc>
        <w:tc>
          <w:tcPr>
            <w:tcW w:w="2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9"/>
          </w:tcPr>
          <w:p>
            <w:pPr>
              <w:spacing w:after="0"/>
              <w:rPr>
                <w:sz w:val="20"/>
                <w:szCs w:val="20"/>
                <w:color w:val="auto"/>
              </w:rPr>
            </w:pPr>
            <w:r>
              <w:rPr>
                <w:rFonts w:ascii="Courier New" w:cs="Courier New" w:eastAsia="Courier New" w:hAnsi="Courier New"/>
                <w:sz w:val="12"/>
                <w:szCs w:val="12"/>
                <w:color w:val="auto"/>
              </w:rPr>
              <w:t>occurrence of a Default;</w:t>
            </w: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1.1.119.</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"PROCEEDING"</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28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92"/>
              </w:rPr>
              <w:t>any</w:t>
            </w:r>
          </w:p>
        </w:tc>
        <w:tc>
          <w:tcPr>
            <w:tcW w:w="220" w:type="dxa"/>
            <w:vAlign w:val="bottom"/>
          </w:tcPr>
          <w:p>
            <w:pPr>
              <w:spacing w:after="0"/>
              <w:rPr>
                <w:sz w:val="24"/>
                <w:szCs w:val="24"/>
                <w:color w:val="auto"/>
              </w:rPr>
            </w:pP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w w:val="99"/>
              </w:rPr>
              <w:t>action,</w:t>
            </w:r>
          </w:p>
        </w:tc>
        <w:tc>
          <w:tcPr>
            <w:tcW w:w="160" w:type="dxa"/>
            <w:vAlign w:val="bottom"/>
          </w:tcPr>
          <w:p>
            <w:pPr>
              <w:spacing w:after="0"/>
              <w:rPr>
                <w:sz w:val="24"/>
                <w:szCs w:val="24"/>
                <w:color w:val="auto"/>
              </w:rPr>
            </w:pPr>
          </w:p>
        </w:tc>
        <w:tc>
          <w:tcPr>
            <w:tcW w:w="940" w:type="dxa"/>
            <w:vAlign w:val="bottom"/>
            <w:gridSpan w:val="5"/>
          </w:tcPr>
          <w:p>
            <w:pPr>
              <w:ind w:left="60"/>
              <w:spacing w:after="0"/>
              <w:rPr>
                <w:sz w:val="20"/>
                <w:szCs w:val="20"/>
                <w:color w:val="auto"/>
              </w:rPr>
            </w:pPr>
            <w:r>
              <w:rPr>
                <w:rFonts w:ascii="Courier New" w:cs="Courier New" w:eastAsia="Courier New" w:hAnsi="Courier New"/>
                <w:sz w:val="12"/>
                <w:szCs w:val="12"/>
                <w:color w:val="auto"/>
                <w:w w:val="99"/>
              </w:rPr>
              <w:t>arbitration,</w:t>
            </w:r>
          </w:p>
        </w:tc>
        <w:tc>
          <w:tcPr>
            <w:tcW w:w="1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audit,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hearing,</w:t>
            </w:r>
          </w:p>
        </w:tc>
        <w:tc>
          <w:tcPr>
            <w:tcW w:w="1180" w:type="dxa"/>
            <w:vAlign w:val="bottom"/>
            <w:gridSpan w:val="7"/>
          </w:tcPr>
          <w:p>
            <w:pPr>
              <w:spacing w:after="0"/>
              <w:rPr>
                <w:sz w:val="20"/>
                <w:szCs w:val="20"/>
                <w:color w:val="auto"/>
              </w:rPr>
            </w:pPr>
            <w:r>
              <w:rPr>
                <w:rFonts w:ascii="Courier New" w:cs="Courier New" w:eastAsia="Courier New" w:hAnsi="Courier New"/>
                <w:sz w:val="12"/>
                <w:szCs w:val="12"/>
                <w:color w:val="auto"/>
              </w:rPr>
              <w:t>investigation,</w:t>
            </w:r>
          </w:p>
        </w:tc>
        <w:tc>
          <w:tcPr>
            <w:tcW w:w="720" w:type="dxa"/>
            <w:vAlign w:val="bottom"/>
            <w:gridSpan w:val="4"/>
          </w:tcPr>
          <w:p>
            <w:pPr>
              <w:spacing w:after="0"/>
              <w:rPr>
                <w:sz w:val="20"/>
                <w:szCs w:val="20"/>
                <w:color w:val="auto"/>
              </w:rPr>
            </w:pPr>
            <w:r>
              <w:rPr>
                <w:rFonts w:ascii="Courier New" w:cs="Courier New" w:eastAsia="Courier New" w:hAnsi="Courier New"/>
                <w:sz w:val="12"/>
                <w:szCs w:val="12"/>
                <w:color w:val="auto"/>
                <w:w w:val="97"/>
              </w:rPr>
              <w:t>litigation</w:t>
            </w:r>
          </w:p>
        </w:tc>
        <w:tc>
          <w:tcPr>
            <w:tcW w:w="1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or suit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(whether</w:t>
            </w:r>
          </w:p>
        </w:tc>
        <w:tc>
          <w:tcPr>
            <w:tcW w:w="440" w:type="dxa"/>
            <w:vAlign w:val="bottom"/>
            <w:gridSpan w:val="3"/>
          </w:tcPr>
          <w:p>
            <w:pPr>
              <w:spacing w:after="0"/>
              <w:rPr>
                <w:sz w:val="20"/>
                <w:szCs w:val="20"/>
                <w:color w:val="auto"/>
              </w:rPr>
            </w:pPr>
            <w:r>
              <w:rPr>
                <w:rFonts w:ascii="Courier New" w:cs="Courier New" w:eastAsia="Courier New" w:hAnsi="Courier New"/>
                <w:sz w:val="12"/>
                <w:szCs w:val="12"/>
                <w:color w:val="auto"/>
                <w:w w:val="97"/>
              </w:rPr>
              <w:t>civil,</w:t>
            </w:r>
          </w:p>
        </w:tc>
        <w:tc>
          <w:tcPr>
            <w:tcW w:w="96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criminal,</w:t>
            </w:r>
          </w:p>
        </w:tc>
        <w:tc>
          <w:tcPr>
            <w:tcW w:w="118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administrative,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investigative</w:t>
            </w:r>
          </w:p>
        </w:tc>
        <w:tc>
          <w:tcPr>
            <w:tcW w:w="16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w w:val="82"/>
              </w:rPr>
              <w:t>or</w:t>
            </w:r>
          </w:p>
        </w:tc>
        <w:tc>
          <w:tcPr>
            <w:tcW w:w="140" w:type="dxa"/>
            <w:vAlign w:val="bottom"/>
          </w:tcPr>
          <w:p>
            <w:pPr>
              <w:spacing w:after="0"/>
              <w:rPr>
                <w:sz w:val="12"/>
                <w:szCs w:val="12"/>
                <w:color w:val="auto"/>
              </w:rPr>
            </w:pPr>
          </w:p>
        </w:tc>
        <w:tc>
          <w:tcPr>
            <w:tcW w:w="82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informal)</w:t>
            </w:r>
          </w:p>
        </w:tc>
        <w:tc>
          <w:tcPr>
            <w:tcW w:w="60" w:type="dxa"/>
            <w:vAlign w:val="bottom"/>
          </w:tcPr>
          <w:p>
            <w:pPr>
              <w:spacing w:after="0"/>
              <w:rPr>
                <w:sz w:val="12"/>
                <w:szCs w:val="12"/>
                <w:color w:val="auto"/>
              </w:rPr>
            </w:pP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commenced,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brought,</w:t>
            </w: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w w:val="98"/>
              </w:rPr>
              <w:t>conducted</w:t>
            </w:r>
          </w:p>
        </w:tc>
        <w:tc>
          <w:tcPr>
            <w:tcW w:w="140" w:type="dxa"/>
            <w:vAlign w:val="bottom"/>
          </w:tcPr>
          <w:p>
            <w:pPr>
              <w:spacing w:after="0"/>
              <w:rPr>
                <w:sz w:val="12"/>
                <w:szCs w:val="12"/>
                <w:color w:val="auto"/>
              </w:rPr>
            </w:pPr>
          </w:p>
        </w:tc>
        <w:tc>
          <w:tcPr>
            <w:tcW w:w="1780" w:type="dxa"/>
            <w:vAlign w:val="bottom"/>
            <w:gridSpan w:val="9"/>
          </w:tcPr>
          <w:p>
            <w:pPr>
              <w:spacing w:after="0"/>
              <w:rPr>
                <w:sz w:val="20"/>
                <w:szCs w:val="20"/>
                <w:color w:val="auto"/>
              </w:rPr>
            </w:pPr>
            <w:r>
              <w:rPr>
                <w:rFonts w:ascii="Courier New" w:cs="Courier New" w:eastAsia="Courier New" w:hAnsi="Courier New"/>
                <w:sz w:val="12"/>
                <w:szCs w:val="12"/>
                <w:color w:val="auto"/>
              </w:rPr>
              <w:t>or heard by or before or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otherwise</w:t>
            </w:r>
          </w:p>
        </w:tc>
        <w:tc>
          <w:tcPr>
            <w:tcW w:w="60" w:type="dxa"/>
            <w:vAlign w:val="bottom"/>
          </w:tcPr>
          <w:p>
            <w:pPr>
              <w:spacing w:after="0"/>
              <w:rPr>
                <w:sz w:val="12"/>
                <w:szCs w:val="12"/>
                <w:color w:val="auto"/>
              </w:rPr>
            </w:pP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w w:val="99"/>
              </w:rPr>
              <w:t>involving,</w:t>
            </w:r>
          </w:p>
        </w:tc>
        <w:tc>
          <w:tcPr>
            <w:tcW w:w="160" w:type="dxa"/>
            <w:vAlign w:val="bottom"/>
          </w:tcPr>
          <w:p>
            <w:pPr>
              <w:spacing w:after="0"/>
              <w:rPr>
                <w:sz w:val="12"/>
                <w:szCs w:val="12"/>
                <w:color w:val="auto"/>
              </w:rPr>
            </w:pPr>
          </w:p>
        </w:tc>
        <w:tc>
          <w:tcPr>
            <w:tcW w:w="1620" w:type="dxa"/>
            <w:vAlign w:val="bottom"/>
            <w:gridSpan w:val="8"/>
          </w:tcPr>
          <w:p>
            <w:pPr>
              <w:jc w:val="right"/>
              <w:spacing w:after="0"/>
              <w:rPr>
                <w:sz w:val="20"/>
                <w:szCs w:val="20"/>
                <w:color w:val="auto"/>
              </w:rPr>
            </w:pPr>
            <w:r>
              <w:rPr>
                <w:rFonts w:ascii="Courier New" w:cs="Courier New" w:eastAsia="Courier New" w:hAnsi="Courier New"/>
                <w:sz w:val="12"/>
                <w:szCs w:val="12"/>
                <w:color w:val="auto"/>
              </w:rPr>
              <w:t>any Governmental Body,</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arbitrator or mediator;</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1.1.120.</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"PROJECT"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28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92"/>
              </w:rPr>
              <w:t>the</w:t>
            </w:r>
          </w:p>
        </w:tc>
        <w:tc>
          <w:tcPr>
            <w:tcW w:w="220" w:type="dxa"/>
            <w:vAlign w:val="bottom"/>
          </w:tcPr>
          <w:p>
            <w:pPr>
              <w:spacing w:after="0"/>
              <w:rPr>
                <w:sz w:val="24"/>
                <w:szCs w:val="24"/>
                <w:color w:val="auto"/>
              </w:rPr>
            </w:pPr>
          </w:p>
        </w:tc>
        <w:tc>
          <w:tcPr>
            <w:tcW w:w="6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project</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for</w:t>
            </w:r>
          </w:p>
        </w:tc>
        <w:tc>
          <w:tcPr>
            <w:tcW w:w="2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rPr>
              <w:t>the</w:t>
            </w:r>
          </w:p>
        </w:tc>
        <w:tc>
          <w:tcPr>
            <w:tcW w:w="1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design,</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construction</w:t>
            </w: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rPr>
              <w:t>and</w:t>
            </w:r>
          </w:p>
        </w:tc>
        <w:tc>
          <w:tcPr>
            <w:tcW w:w="1920" w:type="dxa"/>
            <w:vAlign w:val="bottom"/>
            <w:gridSpan w:val="10"/>
          </w:tcPr>
          <w:p>
            <w:pPr>
              <w:spacing w:after="0"/>
              <w:rPr>
                <w:sz w:val="20"/>
                <w:szCs w:val="20"/>
                <w:color w:val="auto"/>
              </w:rPr>
            </w:pPr>
            <w:r>
              <w:rPr>
                <w:rFonts w:ascii="Courier New" w:cs="Courier New" w:eastAsia="Courier New" w:hAnsi="Courier New"/>
                <w:sz w:val="12"/>
                <w:szCs w:val="12"/>
                <w:color w:val="auto"/>
              </w:rPr>
              <w:t>operation of Fab 2 and 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operation</w:t>
            </w:r>
          </w:p>
        </w:tc>
        <w:tc>
          <w:tcPr>
            <w:tcW w:w="6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w w:val="82"/>
              </w:rPr>
              <w:t>of</w:t>
            </w:r>
          </w:p>
        </w:tc>
        <w:tc>
          <w:tcPr>
            <w:tcW w:w="16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w w:val="94"/>
              </w:rPr>
              <w:t>Fab 1</w:t>
            </w:r>
          </w:p>
        </w:tc>
        <w:tc>
          <w:tcPr>
            <w:tcW w:w="160" w:type="dxa"/>
            <w:vAlign w:val="bottom"/>
          </w:tcPr>
          <w:p>
            <w:pPr>
              <w:spacing w:after="0"/>
              <w:rPr>
                <w:sz w:val="12"/>
                <w:szCs w:val="12"/>
                <w:color w:val="auto"/>
              </w:rPr>
            </w:pPr>
          </w:p>
        </w:tc>
        <w:tc>
          <w:tcPr>
            <w:tcW w:w="44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and</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all</w:t>
            </w:r>
          </w:p>
        </w:tc>
        <w:tc>
          <w:tcPr>
            <w:tcW w:w="60" w:type="dxa"/>
            <w:vAlign w:val="bottom"/>
          </w:tcPr>
          <w:p>
            <w:pPr>
              <w:spacing w:after="0"/>
              <w:rPr>
                <w:sz w:val="12"/>
                <w:szCs w:val="12"/>
                <w:color w:val="auto"/>
              </w:rPr>
            </w:pP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activities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necessary</w:t>
            </w:r>
          </w:p>
        </w:tc>
        <w:tc>
          <w:tcPr>
            <w:tcW w:w="6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for, or</w:t>
            </w:r>
          </w:p>
        </w:tc>
        <w:tc>
          <w:tcPr>
            <w:tcW w:w="74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ancillary</w:t>
            </w:r>
          </w:p>
        </w:tc>
        <w:tc>
          <w:tcPr>
            <w:tcW w:w="118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to, any of 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aforegoing,</w:t>
            </w:r>
          </w:p>
        </w:tc>
        <w:tc>
          <w:tcPr>
            <w:tcW w:w="22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rPr>
              <w:t>all</w:t>
            </w:r>
          </w:p>
        </w:tc>
        <w:tc>
          <w:tcPr>
            <w:tcW w:w="140" w:type="dxa"/>
            <w:vAlign w:val="bottom"/>
          </w:tcPr>
          <w:p>
            <w:pPr>
              <w:spacing w:after="0"/>
              <w:rPr>
                <w:sz w:val="20"/>
                <w:szCs w:val="20"/>
                <w:color w:val="auto"/>
              </w:rPr>
            </w:pPr>
            <w:r>
              <w:rPr>
                <w:rFonts w:ascii="Courier New" w:cs="Courier New" w:eastAsia="Courier New" w:hAnsi="Courier New"/>
                <w:sz w:val="12"/>
                <w:szCs w:val="12"/>
                <w:color w:val="auto"/>
                <w:w w:val="82"/>
              </w:rPr>
              <w:t>as</w:t>
            </w:r>
          </w:p>
        </w:tc>
        <w:tc>
          <w:tcPr>
            <w:tcW w:w="160" w:type="dxa"/>
            <w:vAlign w:val="bottom"/>
          </w:tcPr>
          <w:p>
            <w:pPr>
              <w:spacing w:after="0"/>
              <w:rPr>
                <w:sz w:val="12"/>
                <w:szCs w:val="12"/>
                <w:color w:val="auto"/>
              </w:rPr>
            </w:pPr>
          </w:p>
        </w:tc>
        <w:tc>
          <w:tcPr>
            <w:tcW w:w="940" w:type="dxa"/>
            <w:vAlign w:val="bottom"/>
            <w:gridSpan w:val="5"/>
          </w:tcPr>
          <w:p>
            <w:pPr>
              <w:ind w:left="60"/>
              <w:spacing w:after="0"/>
              <w:rPr>
                <w:sz w:val="20"/>
                <w:szCs w:val="20"/>
                <w:color w:val="auto"/>
              </w:rPr>
            </w:pPr>
            <w:r>
              <w:rPr>
                <w:rFonts w:ascii="Courier New" w:cs="Courier New" w:eastAsia="Courier New" w:hAnsi="Courier New"/>
                <w:sz w:val="12"/>
                <w:szCs w:val="12"/>
                <w:color w:val="auto"/>
                <w:w w:val="99"/>
              </w:rPr>
              <w:t>contemplated</w:t>
            </w:r>
          </w:p>
        </w:tc>
        <w:tc>
          <w:tcPr>
            <w:tcW w:w="160" w:type="dxa"/>
            <w:vAlign w:val="bottom"/>
          </w:tcPr>
          <w:p>
            <w:pPr>
              <w:spacing w:after="0"/>
              <w:rPr>
                <w:sz w:val="12"/>
                <w:szCs w:val="12"/>
                <w:color w:val="auto"/>
              </w:rPr>
            </w:pPr>
          </w:p>
        </w:tc>
        <w:tc>
          <w:tcPr>
            <w:tcW w:w="2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by</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w w:val="99"/>
              </w:rPr>
              <w:t>Business Plan;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1.1.121.</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"PROPORTION"</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220" w:type="dxa"/>
            <w:vAlign w:val="bottom"/>
          </w:tcPr>
          <w:p>
            <w:pPr>
              <w:ind w:left="60"/>
              <w:spacing w:after="0"/>
              <w:rPr>
                <w:sz w:val="20"/>
                <w:szCs w:val="20"/>
                <w:color w:val="auto"/>
              </w:rPr>
            </w:pPr>
            <w:r>
              <w:rPr>
                <w:rFonts w:ascii="Courier New" w:cs="Courier New" w:eastAsia="Courier New" w:hAnsi="Courier New"/>
                <w:sz w:val="12"/>
                <w:szCs w:val="12"/>
                <w:color w:val="auto"/>
                <w:w w:val="96"/>
              </w:rPr>
              <w:t>in</w:t>
            </w:r>
          </w:p>
        </w:tc>
        <w:tc>
          <w:tcPr>
            <w:tcW w:w="60" w:type="dxa"/>
            <w:vAlign w:val="bottom"/>
          </w:tcPr>
          <w:p>
            <w:pPr>
              <w:spacing w:after="0"/>
              <w:rPr>
                <w:sz w:val="24"/>
                <w:szCs w:val="24"/>
                <w:color w:val="auto"/>
              </w:rPr>
            </w:pPr>
          </w:p>
        </w:tc>
        <w:tc>
          <w:tcPr>
            <w:tcW w:w="74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relation</w:t>
            </w:r>
          </w:p>
        </w:tc>
        <w:tc>
          <w:tcPr>
            <w:tcW w:w="126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to a Bank at any</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time,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w w:val="99"/>
              </w:rPr>
              <w:t>the proportion</w:t>
            </w:r>
          </w:p>
        </w:tc>
        <w:tc>
          <w:tcPr>
            <w:tcW w:w="160" w:type="dxa"/>
            <w:vAlign w:val="bottom"/>
          </w:tcPr>
          <w:p>
            <w:pPr>
              <w:spacing w:after="0"/>
              <w:rPr>
                <w:sz w:val="12"/>
                <w:szCs w:val="12"/>
                <w:color w:val="auto"/>
              </w:rPr>
            </w:pPr>
          </w:p>
        </w:tc>
        <w:tc>
          <w:tcPr>
            <w:tcW w:w="960" w:type="dxa"/>
            <w:vAlign w:val="bottom"/>
            <w:gridSpan w:val="5"/>
          </w:tcPr>
          <w:p>
            <w:pPr>
              <w:spacing w:after="0"/>
              <w:rPr>
                <w:sz w:val="20"/>
                <w:szCs w:val="20"/>
                <w:color w:val="auto"/>
              </w:rPr>
            </w:pPr>
            <w:r>
              <w:rPr>
                <w:rFonts w:ascii="Courier New" w:cs="Courier New" w:eastAsia="Courier New" w:hAnsi="Courier New"/>
                <w:sz w:val="12"/>
                <w:szCs w:val="12"/>
                <w:color w:val="auto"/>
              </w:rPr>
              <w:t>borne by its</w:t>
            </w:r>
          </w:p>
        </w:tc>
        <w:tc>
          <w:tcPr>
            <w:tcW w:w="118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Contribution at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such time to the aggregate</w:t>
            </w:r>
          </w:p>
        </w:tc>
        <w:tc>
          <w:tcPr>
            <w:tcW w:w="1100" w:type="dxa"/>
            <w:vAlign w:val="bottom"/>
            <w:gridSpan w:val="6"/>
          </w:tcPr>
          <w:p>
            <w:pPr>
              <w:ind w:left="140"/>
              <w:spacing w:after="0"/>
              <w:rPr>
                <w:sz w:val="20"/>
                <w:szCs w:val="20"/>
                <w:color w:val="auto"/>
              </w:rPr>
            </w:pPr>
            <w:r>
              <w:rPr>
                <w:rFonts w:ascii="Courier New" w:cs="Courier New" w:eastAsia="Courier New" w:hAnsi="Courier New"/>
                <w:sz w:val="12"/>
                <w:szCs w:val="12"/>
                <w:color w:val="auto"/>
              </w:rPr>
              <w:t>Contributions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such time;</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25"/>
        </w:trPr>
        <w:tc>
          <w:tcPr>
            <w:tcW w:w="1100" w:type="dxa"/>
            <w:vAlign w:val="bottom"/>
          </w:tcPr>
          <w:p>
            <w:pPr>
              <w:spacing w:after="0"/>
              <w:rPr>
                <w:sz w:val="24"/>
                <w:szCs w:val="24"/>
                <w:color w:val="auto"/>
              </w:rPr>
            </w:pPr>
          </w:p>
        </w:tc>
        <w:tc>
          <w:tcPr>
            <w:tcW w:w="2580" w:type="dxa"/>
            <w:vAlign w:val="bottom"/>
          </w:tcPr>
          <w:p>
            <w:pPr>
              <w:ind w:left="1620"/>
              <w:spacing w:after="0"/>
              <w:rPr>
                <w:sz w:val="20"/>
                <w:szCs w:val="20"/>
                <w:color w:val="auto"/>
              </w:rPr>
            </w:pPr>
            <w:r>
              <w:rPr>
                <w:rFonts w:ascii="Courier New" w:cs="Courier New" w:eastAsia="Courier New" w:hAnsi="Courier New"/>
                <w:sz w:val="12"/>
                <w:szCs w:val="12"/>
                <w:color w:val="auto"/>
              </w:rPr>
              <w:t>- 62 -</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1.1.122.</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"QUALIFYING WAFER</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100" w:type="dxa"/>
            <w:vAlign w:val="bottom"/>
          </w:tcPr>
          <w:p>
            <w:pPr>
              <w:spacing w:after="0"/>
              <w:rPr>
                <w:sz w:val="12"/>
                <w:szCs w:val="12"/>
                <w:color w:val="auto"/>
              </w:rPr>
            </w:pP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PREPAYMENT CONTRACT"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220" w:type="dxa"/>
            <w:vAlign w:val="bottom"/>
          </w:tcPr>
          <w:p>
            <w:pPr>
              <w:spacing w:after="0"/>
              <w:rPr>
                <w:sz w:val="20"/>
                <w:szCs w:val="20"/>
                <w:color w:val="auto"/>
              </w:rPr>
            </w:pPr>
            <w:r>
              <w:rPr>
                <w:rFonts w:ascii="Courier New" w:cs="Courier New" w:eastAsia="Courier New" w:hAnsi="Courier New"/>
                <w:sz w:val="12"/>
                <w:szCs w:val="12"/>
                <w:color w:val="auto"/>
              </w:rPr>
              <w:t>a</w:t>
            </w:r>
          </w:p>
        </w:tc>
        <w:tc>
          <w:tcPr>
            <w:tcW w:w="440" w:type="dxa"/>
            <w:vAlign w:val="bottom"/>
            <w:gridSpan w:val="3"/>
          </w:tcPr>
          <w:p>
            <w:pPr>
              <w:spacing w:after="0"/>
              <w:rPr>
                <w:sz w:val="20"/>
                <w:szCs w:val="20"/>
                <w:color w:val="auto"/>
              </w:rPr>
            </w:pPr>
            <w:r>
              <w:rPr>
                <w:rFonts w:ascii="Courier New" w:cs="Courier New" w:eastAsia="Courier New" w:hAnsi="Courier New"/>
                <w:sz w:val="12"/>
                <w:szCs w:val="12"/>
                <w:color w:val="auto"/>
              </w:rPr>
              <w:t>Wafer</w:t>
            </w:r>
          </w:p>
        </w:tc>
        <w:tc>
          <w:tcPr>
            <w:tcW w:w="96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Prepayment</w:t>
            </w:r>
          </w:p>
        </w:tc>
        <w:tc>
          <w:tcPr>
            <w:tcW w:w="66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Contract</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which</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7"/>
          </w:tcPr>
          <w:p>
            <w:pPr>
              <w:ind w:left="80"/>
              <w:spacing w:after="0"/>
              <w:rPr>
                <w:sz w:val="20"/>
                <w:szCs w:val="20"/>
                <w:color w:val="auto"/>
              </w:rPr>
            </w:pPr>
            <w:r>
              <w:rPr>
                <w:rFonts w:ascii="Courier New" w:cs="Courier New" w:eastAsia="Courier New" w:hAnsi="Courier New"/>
                <w:sz w:val="12"/>
                <w:szCs w:val="12"/>
                <w:color w:val="auto"/>
              </w:rPr>
              <w:t>includes  all  of the  following  conditions,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which</w:t>
            </w:r>
          </w:p>
        </w:tc>
        <w:tc>
          <w:tcPr>
            <w:tcW w:w="880" w:type="dxa"/>
            <w:vAlign w:val="bottom"/>
            <w:gridSpan w:val="5"/>
          </w:tcPr>
          <w:p>
            <w:pPr>
              <w:spacing w:after="0"/>
              <w:rPr>
                <w:sz w:val="20"/>
                <w:szCs w:val="20"/>
                <w:color w:val="auto"/>
              </w:rPr>
            </w:pPr>
            <w:r>
              <w:rPr>
                <w:rFonts w:ascii="Courier New" w:cs="Courier New" w:eastAsia="Courier New" w:hAnsi="Courier New"/>
                <w:sz w:val="12"/>
                <w:szCs w:val="12"/>
                <w:color w:val="auto"/>
              </w:rPr>
              <w:t>conditions</w:t>
            </w:r>
          </w:p>
        </w:tc>
        <w:tc>
          <w:tcPr>
            <w:tcW w:w="1920" w:type="dxa"/>
            <w:vAlign w:val="bottom"/>
            <w:gridSpan w:val="10"/>
          </w:tcPr>
          <w:p>
            <w:pPr>
              <w:spacing w:after="0"/>
              <w:rPr>
                <w:sz w:val="20"/>
                <w:szCs w:val="20"/>
                <w:color w:val="auto"/>
              </w:rPr>
            </w:pPr>
            <w:r>
              <w:rPr>
                <w:rFonts w:ascii="Courier New" w:cs="Courier New" w:eastAsia="Courier New" w:hAnsi="Courier New"/>
                <w:sz w:val="12"/>
                <w:szCs w:val="12"/>
                <w:color w:val="auto"/>
              </w:rPr>
              <w:t>the Borrower shall procure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20" w:type="dxa"/>
            <w:vAlign w:val="bottom"/>
            <w:gridSpan w:val="11"/>
          </w:tcPr>
          <w:p>
            <w:pPr>
              <w:ind w:left="80"/>
              <w:spacing w:after="0"/>
              <w:rPr>
                <w:sz w:val="20"/>
                <w:szCs w:val="20"/>
                <w:color w:val="auto"/>
              </w:rPr>
            </w:pPr>
            <w:r>
              <w:rPr>
                <w:rFonts w:ascii="Courier New" w:cs="Courier New" w:eastAsia="Courier New" w:hAnsi="Courier New"/>
                <w:sz w:val="12"/>
                <w:szCs w:val="12"/>
                <w:color w:val="auto"/>
              </w:rPr>
              <w:t>shall  not be  varied,  save</w:t>
            </w:r>
          </w:p>
        </w:tc>
        <w:tc>
          <w:tcPr>
            <w:tcW w:w="66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with the</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prior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40" w:type="dxa"/>
            <w:vAlign w:val="bottom"/>
            <w:gridSpan w:val="12"/>
          </w:tcPr>
          <w:p>
            <w:pPr>
              <w:ind w:left="80"/>
              <w:spacing w:after="0"/>
              <w:rPr>
                <w:sz w:val="20"/>
                <w:szCs w:val="20"/>
                <w:color w:val="auto"/>
              </w:rPr>
            </w:pPr>
            <w:r>
              <w:rPr>
                <w:rFonts w:ascii="Courier New" w:cs="Courier New" w:eastAsia="Courier New" w:hAnsi="Courier New"/>
                <w:sz w:val="12"/>
                <w:szCs w:val="12"/>
                <w:color w:val="auto"/>
              </w:rPr>
              <w:t>written  consent  of  the  Banks</w:t>
            </w:r>
          </w:p>
        </w:tc>
        <w:tc>
          <w:tcPr>
            <w:tcW w:w="6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w w:val="82"/>
              </w:rPr>
              <w:t>or</w:t>
            </w:r>
          </w:p>
        </w:tc>
        <w:tc>
          <w:tcPr>
            <w:tcW w:w="160" w:type="dxa"/>
            <w:vAlign w:val="bottom"/>
          </w:tcPr>
          <w:p>
            <w:pPr>
              <w:spacing w:after="0"/>
              <w:rPr>
                <w:sz w:val="12"/>
                <w:szCs w:val="12"/>
                <w:color w:val="auto"/>
              </w:rPr>
            </w:pPr>
          </w:p>
        </w:tc>
        <w:tc>
          <w:tcPr>
            <w:tcW w:w="2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as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set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40" w:type="dxa"/>
            <w:vAlign w:val="bottom"/>
            <w:gridSpan w:val="12"/>
          </w:tcPr>
          <w:p>
            <w:pPr>
              <w:ind w:left="80"/>
              <w:spacing w:after="0"/>
              <w:rPr>
                <w:sz w:val="20"/>
                <w:szCs w:val="20"/>
                <w:color w:val="auto"/>
              </w:rPr>
            </w:pPr>
            <w:r>
              <w:rPr>
                <w:rFonts w:ascii="Courier New" w:cs="Courier New" w:eastAsia="Courier New" w:hAnsi="Courier New"/>
                <w:sz w:val="12"/>
                <w:szCs w:val="12"/>
                <w:color w:val="auto"/>
              </w:rPr>
              <w:t>forth in clause 16.27.3.1 below:</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(a)</w:t>
            </w:r>
          </w:p>
        </w:tc>
        <w:tc>
          <w:tcPr>
            <w:tcW w:w="22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Courier New" w:cs="Courier New" w:eastAsia="Courier New" w:hAnsi="Courier New"/>
                <w:sz w:val="12"/>
                <w:szCs w:val="12"/>
                <w:color w:val="auto"/>
              </w:rPr>
              <w:t>prepayments</w:t>
            </w:r>
          </w:p>
        </w:tc>
        <w:tc>
          <w:tcPr>
            <w:tcW w:w="96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(including</w:t>
            </w: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rPr>
              <w:t>credits)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may</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be</w:t>
            </w:r>
          </w:p>
        </w:tc>
        <w:tc>
          <w:tcPr>
            <w:tcW w:w="6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applied</w:t>
            </w:r>
          </w:p>
        </w:tc>
        <w:tc>
          <w:tcPr>
            <w:tcW w:w="5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as a</w:t>
            </w: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credit</w:t>
            </w:r>
          </w:p>
        </w:tc>
        <w:tc>
          <w:tcPr>
            <w:tcW w:w="6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against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no</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w w:val="90"/>
              </w:rPr>
              <w:t>more</w:t>
            </w:r>
          </w:p>
        </w:tc>
        <w:tc>
          <w:tcPr>
            <w:tcW w:w="740" w:type="dxa"/>
            <w:vAlign w:val="bottom"/>
            <w:gridSpan w:val="4"/>
          </w:tcPr>
          <w:p>
            <w:pPr>
              <w:ind w:left="160"/>
              <w:spacing w:after="0"/>
              <w:rPr>
                <w:sz w:val="20"/>
                <w:szCs w:val="20"/>
                <w:color w:val="auto"/>
              </w:rPr>
            </w:pPr>
            <w:r>
              <w:rPr>
                <w:rFonts w:ascii="Courier New" w:cs="Courier New" w:eastAsia="Courier New" w:hAnsi="Courier New"/>
                <w:sz w:val="12"/>
                <w:szCs w:val="12"/>
                <w:color w:val="auto"/>
                <w:w w:val="97"/>
              </w:rPr>
              <w:t>than 15%</w:t>
            </w:r>
          </w:p>
        </w:tc>
        <w:tc>
          <w:tcPr>
            <w:tcW w:w="16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(fifteen</w:t>
            </w:r>
          </w:p>
        </w:tc>
        <w:tc>
          <w:tcPr>
            <w:tcW w:w="6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percent)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w w:val="98"/>
              </w:rPr>
              <w:t>the order</w:t>
            </w:r>
          </w:p>
        </w:tc>
        <w:tc>
          <w:tcPr>
            <w:tcW w:w="1180" w:type="dxa"/>
            <w:vAlign w:val="bottom"/>
            <w:gridSpan w:val="6"/>
          </w:tcPr>
          <w:p>
            <w:pPr>
              <w:ind w:left="140"/>
              <w:spacing w:after="0"/>
              <w:rPr>
                <w:sz w:val="20"/>
                <w:szCs w:val="20"/>
                <w:color w:val="auto"/>
              </w:rPr>
            </w:pPr>
            <w:r>
              <w:rPr>
                <w:rFonts w:ascii="Courier New" w:cs="Courier New" w:eastAsia="Courier New" w:hAnsi="Courier New"/>
                <w:sz w:val="12"/>
                <w:szCs w:val="12"/>
                <w:color w:val="auto"/>
              </w:rPr>
              <w:t>value of any</w:t>
            </w:r>
          </w:p>
        </w:tc>
        <w:tc>
          <w:tcPr>
            <w:tcW w:w="440" w:type="dxa"/>
            <w:vAlign w:val="bottom"/>
            <w:gridSpan w:val="3"/>
          </w:tcPr>
          <w:p>
            <w:pPr>
              <w:spacing w:after="0"/>
              <w:rPr>
                <w:sz w:val="20"/>
                <w:szCs w:val="20"/>
                <w:color w:val="auto"/>
              </w:rPr>
            </w:pPr>
            <w:r>
              <w:rPr>
                <w:rFonts w:ascii="Courier New" w:cs="Courier New" w:eastAsia="Courier New" w:hAnsi="Courier New"/>
                <w:sz w:val="12"/>
                <w:szCs w:val="12"/>
                <w:color w:val="auto"/>
              </w:rPr>
              <w:t>order</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placed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gridSpan w:val="12"/>
          </w:tcPr>
          <w:p>
            <w:pPr>
              <w:spacing w:after="0"/>
              <w:rPr>
                <w:sz w:val="20"/>
                <w:szCs w:val="20"/>
                <w:color w:val="auto"/>
              </w:rPr>
            </w:pPr>
            <w:r>
              <w:rPr>
                <w:rFonts w:ascii="Courier New" w:cs="Courier New" w:eastAsia="Courier New" w:hAnsi="Courier New"/>
                <w:sz w:val="12"/>
                <w:szCs w:val="12"/>
                <w:color w:val="auto"/>
              </w:rPr>
              <w:t>under such Wafer Prepayment</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Contract;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and</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(b)</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no</w:t>
            </w:r>
          </w:p>
        </w:tc>
        <w:tc>
          <w:tcPr>
            <w:tcW w:w="6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Interest</w:t>
            </w:r>
          </w:p>
        </w:tc>
        <w:tc>
          <w:tcPr>
            <w:tcW w:w="140" w:type="dxa"/>
            <w:vAlign w:val="bottom"/>
          </w:tcPr>
          <w:p>
            <w:pPr>
              <w:spacing w:after="0"/>
              <w:rPr>
                <w:sz w:val="24"/>
                <w:szCs w:val="24"/>
                <w:color w:val="auto"/>
              </w:rPr>
            </w:pPr>
          </w:p>
        </w:tc>
        <w:tc>
          <w:tcPr>
            <w:tcW w:w="60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shall</w:t>
            </w:r>
          </w:p>
        </w:tc>
        <w:tc>
          <w:tcPr>
            <w:tcW w:w="220" w:type="dxa"/>
            <w:vAlign w:val="bottom"/>
          </w:tcPr>
          <w:p>
            <w:pPr>
              <w:spacing w:after="0"/>
              <w:rPr>
                <w:sz w:val="20"/>
                <w:szCs w:val="20"/>
                <w:color w:val="auto"/>
              </w:rPr>
            </w:pPr>
            <w:r>
              <w:rPr>
                <w:rFonts w:ascii="Courier New" w:cs="Courier New" w:eastAsia="Courier New" w:hAnsi="Courier New"/>
                <w:sz w:val="12"/>
                <w:szCs w:val="12"/>
                <w:color w:val="auto"/>
              </w:rPr>
              <w:t>be</w:t>
            </w:r>
          </w:p>
        </w:tc>
        <w:tc>
          <w:tcPr>
            <w:tcW w:w="6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credited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w w:val="98"/>
              </w:rPr>
              <w:t>accrue in</w:t>
            </w:r>
          </w:p>
        </w:tc>
        <w:tc>
          <w:tcPr>
            <w:tcW w:w="74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respect</w:t>
            </w:r>
          </w:p>
        </w:tc>
        <w:tc>
          <w:tcPr>
            <w:tcW w:w="500" w:type="dxa"/>
            <w:vAlign w:val="bottom"/>
            <w:gridSpan w:val="3"/>
          </w:tcPr>
          <w:p>
            <w:pPr>
              <w:ind w:left="60"/>
              <w:spacing w:after="0"/>
              <w:rPr>
                <w:sz w:val="20"/>
                <w:szCs w:val="20"/>
                <w:color w:val="auto"/>
              </w:rPr>
            </w:pPr>
            <w:r>
              <w:rPr>
                <w:rFonts w:ascii="Courier New" w:cs="Courier New" w:eastAsia="Courier New" w:hAnsi="Courier New"/>
                <w:sz w:val="12"/>
                <w:szCs w:val="12"/>
                <w:color w:val="auto"/>
                <w:w w:val="97"/>
              </w:rPr>
              <w:t>of any</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prepayment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5"/>
          </w:tcPr>
          <w:p>
            <w:pPr>
              <w:spacing w:after="0"/>
              <w:rPr>
                <w:sz w:val="20"/>
                <w:szCs w:val="20"/>
                <w:color w:val="auto"/>
              </w:rPr>
            </w:pPr>
            <w:r>
              <w:rPr>
                <w:rFonts w:ascii="Courier New" w:cs="Courier New" w:eastAsia="Courier New" w:hAnsi="Courier New"/>
                <w:sz w:val="12"/>
                <w:szCs w:val="12"/>
                <w:color w:val="auto"/>
              </w:rPr>
              <w:t>(including</w:t>
            </w: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credit).</w:t>
            </w:r>
          </w:p>
        </w:tc>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w w:val="95"/>
              </w:rPr>
              <w:t>For the</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purposes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of</w:t>
            </w:r>
          </w:p>
        </w:tc>
        <w:tc>
          <w:tcPr>
            <w:tcW w:w="6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rPr>
              <w:t>this</w:t>
            </w:r>
          </w:p>
        </w:tc>
        <w:tc>
          <w:tcPr>
            <w:tcW w:w="146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clause 1.1.122(b)</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Interest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w w:val="95"/>
              </w:rPr>
              <w:t>("RIBIT</w:t>
            </w:r>
          </w:p>
        </w:tc>
        <w:tc>
          <w:tcPr>
            <w:tcW w:w="160" w:type="dxa"/>
            <w:vAlign w:val="bottom"/>
          </w:tcPr>
          <w:p>
            <w:pPr>
              <w:spacing w:after="0"/>
              <w:rPr>
                <w:sz w:val="12"/>
                <w:szCs w:val="12"/>
                <w:color w:val="auto"/>
              </w:rPr>
            </w:pP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RAYONIT")</w:t>
            </w:r>
          </w:p>
        </w:tc>
        <w:tc>
          <w:tcPr>
            <w:tcW w:w="72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which is</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required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gridSpan w:val="12"/>
          </w:tcPr>
          <w:p>
            <w:pPr>
              <w:spacing w:after="0"/>
              <w:rPr>
                <w:sz w:val="20"/>
                <w:szCs w:val="20"/>
                <w:color w:val="auto"/>
              </w:rPr>
            </w:pPr>
            <w:r>
              <w:rPr>
                <w:rFonts w:ascii="Courier New" w:cs="Courier New" w:eastAsia="Courier New" w:hAnsi="Courier New"/>
                <w:sz w:val="12"/>
                <w:szCs w:val="12"/>
                <w:color w:val="auto"/>
              </w:rPr>
              <w:t>under  GAAP  to  be  recorded</w:t>
            </w:r>
          </w:p>
        </w:tc>
        <w:tc>
          <w:tcPr>
            <w:tcW w:w="160" w:type="dxa"/>
            <w:vAlign w:val="bottom"/>
          </w:tcPr>
          <w:p>
            <w:pPr>
              <w:spacing w:after="0"/>
              <w:rPr>
                <w:sz w:val="12"/>
                <w:szCs w:val="12"/>
                <w:color w:val="auto"/>
              </w:rPr>
            </w:pPr>
          </w:p>
        </w:tc>
        <w:tc>
          <w:tcPr>
            <w:tcW w:w="2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in</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5"/>
          </w:tcPr>
          <w:p>
            <w:pPr>
              <w:spacing w:after="0"/>
              <w:rPr>
                <w:sz w:val="20"/>
                <w:szCs w:val="20"/>
                <w:color w:val="auto"/>
              </w:rPr>
            </w:pPr>
            <w:r>
              <w:rPr>
                <w:rFonts w:ascii="Courier New" w:cs="Courier New" w:eastAsia="Courier New" w:hAnsi="Courier New"/>
                <w:sz w:val="12"/>
                <w:szCs w:val="12"/>
                <w:color w:val="auto"/>
                <w:w w:val="99"/>
              </w:rPr>
              <w:t>books of the</w:t>
            </w:r>
          </w:p>
        </w:tc>
        <w:tc>
          <w:tcPr>
            <w:tcW w:w="14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Borrower</w:t>
            </w:r>
          </w:p>
        </w:tc>
        <w:tc>
          <w:tcPr>
            <w:tcW w:w="28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82"/>
              </w:rPr>
              <w:t>in</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respect of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gridSpan w:val="15"/>
          </w:tcPr>
          <w:p>
            <w:pPr>
              <w:spacing w:after="0"/>
              <w:rPr>
                <w:sz w:val="20"/>
                <w:szCs w:val="20"/>
                <w:color w:val="auto"/>
              </w:rPr>
            </w:pPr>
            <w:r>
              <w:rPr>
                <w:rFonts w:ascii="Courier New" w:cs="Courier New" w:eastAsia="Courier New" w:hAnsi="Courier New"/>
                <w:sz w:val="12"/>
                <w:szCs w:val="12"/>
                <w:color w:val="auto"/>
              </w:rPr>
              <w:t>any such  prepayment  or  credit,  but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7"/>
          </w:tcPr>
          <w:p>
            <w:pPr>
              <w:spacing w:after="0"/>
              <w:rPr>
                <w:sz w:val="20"/>
                <w:szCs w:val="20"/>
                <w:color w:val="auto"/>
              </w:rPr>
            </w:pPr>
            <w:r>
              <w:rPr>
                <w:rFonts w:ascii="Courier New" w:cs="Courier New" w:eastAsia="Courier New" w:hAnsi="Courier New"/>
                <w:sz w:val="12"/>
                <w:szCs w:val="12"/>
                <w:color w:val="auto"/>
              </w:rPr>
              <w:t>which is not in</w:t>
            </w:r>
          </w:p>
        </w:tc>
        <w:tc>
          <w:tcPr>
            <w:tcW w:w="66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practice</w:t>
            </w:r>
          </w:p>
        </w:tc>
        <w:tc>
          <w:tcPr>
            <w:tcW w:w="60" w:type="dxa"/>
            <w:vAlign w:val="bottom"/>
          </w:tcPr>
          <w:p>
            <w:pPr>
              <w:spacing w:after="0"/>
              <w:rPr>
                <w:sz w:val="12"/>
                <w:szCs w:val="12"/>
                <w:color w:val="auto"/>
              </w:rPr>
            </w:pP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credited or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w w:val="98"/>
              </w:rPr>
              <w:t>otherwise</w:t>
            </w:r>
          </w:p>
        </w:tc>
        <w:tc>
          <w:tcPr>
            <w:tcW w:w="74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applied</w:t>
            </w:r>
          </w:p>
        </w:tc>
        <w:tc>
          <w:tcPr>
            <w:tcW w:w="140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for the benefit of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8"/>
          </w:tcPr>
          <w:p>
            <w:pPr>
              <w:spacing w:after="0"/>
              <w:rPr>
                <w:sz w:val="20"/>
                <w:szCs w:val="20"/>
                <w:color w:val="auto"/>
              </w:rPr>
            </w:pPr>
            <w:r>
              <w:rPr>
                <w:rFonts w:ascii="Courier New" w:cs="Courier New" w:eastAsia="Courier New" w:hAnsi="Courier New"/>
                <w:sz w:val="12"/>
                <w:szCs w:val="12"/>
                <w:color w:val="auto"/>
              </w:rPr>
              <w:t>the counterparty,</w:t>
            </w:r>
          </w:p>
        </w:tc>
        <w:tc>
          <w:tcPr>
            <w:tcW w:w="140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shall not be deemed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5"/>
          </w:tcPr>
          <w:p>
            <w:pPr>
              <w:spacing w:after="0"/>
              <w:rPr>
                <w:sz w:val="20"/>
                <w:szCs w:val="20"/>
                <w:color w:val="auto"/>
              </w:rPr>
            </w:pPr>
            <w:r>
              <w:rPr>
                <w:rFonts w:ascii="Courier New" w:cs="Courier New" w:eastAsia="Courier New" w:hAnsi="Courier New"/>
                <w:sz w:val="12"/>
                <w:szCs w:val="12"/>
                <w:color w:val="auto"/>
              </w:rPr>
              <w:t>"Interest".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For the removal of doubt,</w:t>
            </w:r>
          </w:p>
        </w:tc>
        <w:tc>
          <w:tcPr>
            <w:tcW w:w="72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nothing</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contained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in the above</w:t>
            </w:r>
          </w:p>
        </w:tc>
        <w:tc>
          <w:tcPr>
            <w:tcW w:w="900" w:type="dxa"/>
            <w:vAlign w:val="bottom"/>
            <w:gridSpan w:val="5"/>
          </w:tcPr>
          <w:p>
            <w:pPr>
              <w:spacing w:after="0"/>
              <w:rPr>
                <w:sz w:val="20"/>
                <w:szCs w:val="20"/>
                <w:color w:val="auto"/>
              </w:rPr>
            </w:pPr>
            <w:r>
              <w:rPr>
                <w:rFonts w:ascii="Courier New" w:cs="Courier New" w:eastAsia="Courier New" w:hAnsi="Courier New"/>
                <w:sz w:val="12"/>
                <w:szCs w:val="12"/>
                <w:color w:val="auto"/>
              </w:rPr>
              <w:t>definition</w:t>
            </w: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shall</w:t>
            </w:r>
          </w:p>
        </w:tc>
        <w:tc>
          <w:tcPr>
            <w:tcW w:w="60" w:type="dxa"/>
            <w:vAlign w:val="bottom"/>
          </w:tcPr>
          <w:p>
            <w:pPr>
              <w:spacing w:after="0"/>
              <w:rPr>
                <w:sz w:val="12"/>
                <w:szCs w:val="12"/>
                <w:color w:val="auto"/>
              </w:rPr>
            </w:pPr>
          </w:p>
        </w:tc>
        <w:tc>
          <w:tcPr>
            <w:tcW w:w="60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w w:val="99"/>
              </w:rPr>
              <w:t>prevent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Borrower</w:t>
            </w:r>
          </w:p>
        </w:tc>
        <w:tc>
          <w:tcPr>
            <w:tcW w:w="60" w:type="dxa"/>
            <w:vAlign w:val="bottom"/>
          </w:tcPr>
          <w:p>
            <w:pPr>
              <w:spacing w:after="0"/>
              <w:rPr>
                <w:sz w:val="12"/>
                <w:szCs w:val="12"/>
                <w:color w:val="auto"/>
              </w:rPr>
            </w:pPr>
          </w:p>
        </w:tc>
        <w:tc>
          <w:tcPr>
            <w:tcW w:w="38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7"/>
              </w:rPr>
              <w:t>from</w:t>
            </w:r>
          </w:p>
        </w:tc>
        <w:tc>
          <w:tcPr>
            <w:tcW w:w="220" w:type="dxa"/>
            <w:vAlign w:val="bottom"/>
          </w:tcPr>
          <w:p>
            <w:pPr>
              <w:spacing w:after="0"/>
              <w:rPr>
                <w:sz w:val="12"/>
                <w:szCs w:val="12"/>
                <w:color w:val="auto"/>
              </w:rPr>
            </w:pPr>
          </w:p>
        </w:tc>
        <w:tc>
          <w:tcPr>
            <w:tcW w:w="74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entering</w:t>
            </w:r>
          </w:p>
        </w:tc>
        <w:tc>
          <w:tcPr>
            <w:tcW w:w="220" w:type="dxa"/>
            <w:vAlign w:val="bottom"/>
          </w:tcPr>
          <w:p>
            <w:pPr>
              <w:spacing w:after="0"/>
              <w:rPr>
                <w:sz w:val="12"/>
                <w:szCs w:val="12"/>
                <w:color w:val="auto"/>
              </w:rPr>
            </w:pP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w w:val="90"/>
              </w:rPr>
              <w:t>into</w:t>
            </w:r>
          </w:p>
        </w:tc>
        <w:tc>
          <w:tcPr>
            <w:tcW w:w="1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Wafer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Prepayment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4"/>
          </w:tcPr>
          <w:p>
            <w:pPr>
              <w:spacing w:after="0"/>
              <w:rPr>
                <w:sz w:val="20"/>
                <w:szCs w:val="20"/>
                <w:color w:val="auto"/>
              </w:rPr>
            </w:pPr>
            <w:r>
              <w:rPr>
                <w:rFonts w:ascii="Courier New" w:cs="Courier New" w:eastAsia="Courier New" w:hAnsi="Courier New"/>
                <w:sz w:val="12"/>
                <w:szCs w:val="12"/>
                <w:color w:val="auto"/>
              </w:rPr>
              <w:t>Contracts</w:t>
            </w:r>
          </w:p>
        </w:tc>
        <w:tc>
          <w:tcPr>
            <w:tcW w:w="220" w:type="dxa"/>
            <w:vAlign w:val="bottom"/>
          </w:tcPr>
          <w:p>
            <w:pPr>
              <w:spacing w:after="0"/>
              <w:rPr>
                <w:sz w:val="12"/>
                <w:szCs w:val="12"/>
                <w:color w:val="auto"/>
              </w:rPr>
            </w:pPr>
          </w:p>
        </w:tc>
        <w:tc>
          <w:tcPr>
            <w:tcW w:w="44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99"/>
              </w:rPr>
              <w:t>which</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are</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not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80" w:type="dxa"/>
            <w:vAlign w:val="bottom"/>
            <w:gridSpan w:val="15"/>
          </w:tcPr>
          <w:p>
            <w:pPr>
              <w:ind w:left="80"/>
              <w:spacing w:after="0"/>
              <w:rPr>
                <w:sz w:val="20"/>
                <w:szCs w:val="20"/>
                <w:color w:val="auto"/>
              </w:rPr>
            </w:pPr>
            <w:r>
              <w:rPr>
                <w:rFonts w:ascii="Courier New" w:cs="Courier New" w:eastAsia="Courier New" w:hAnsi="Courier New"/>
                <w:sz w:val="12"/>
                <w:szCs w:val="12"/>
                <w:color w:val="auto"/>
              </w:rPr>
              <w:t>Qualifying Wafer Prepayment Contracts;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1.1.123.</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"QUARTER DAY"</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w w:val="98"/>
              </w:rPr>
              <w:t>31 March,</w:t>
            </w:r>
          </w:p>
        </w:tc>
        <w:tc>
          <w:tcPr>
            <w:tcW w:w="74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30 June,</w:t>
            </w:r>
          </w:p>
        </w:tc>
        <w:tc>
          <w:tcPr>
            <w:tcW w:w="1100" w:type="dxa"/>
            <w:vAlign w:val="bottom"/>
            <w:gridSpan w:val="6"/>
          </w:tcPr>
          <w:p>
            <w:pPr>
              <w:ind w:left="140"/>
              <w:spacing w:after="0"/>
              <w:rPr>
                <w:sz w:val="20"/>
                <w:szCs w:val="20"/>
                <w:color w:val="auto"/>
              </w:rPr>
            </w:pPr>
            <w:r>
              <w:rPr>
                <w:rFonts w:ascii="Courier New" w:cs="Courier New" w:eastAsia="Courier New" w:hAnsi="Courier New"/>
                <w:sz w:val="12"/>
                <w:szCs w:val="12"/>
                <w:color w:val="auto"/>
              </w:rPr>
              <w:t>30 September</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31 December</w:t>
            </w:r>
          </w:p>
        </w:tc>
        <w:tc>
          <w:tcPr>
            <w:tcW w:w="600" w:type="dxa"/>
            <w:vAlign w:val="bottom"/>
            <w:gridSpan w:val="3"/>
          </w:tcPr>
          <w:p>
            <w:pPr>
              <w:ind w:left="160"/>
              <w:spacing w:after="0"/>
              <w:rPr>
                <w:sz w:val="20"/>
                <w:szCs w:val="20"/>
                <w:color w:val="auto"/>
              </w:rPr>
            </w:pPr>
            <w:r>
              <w:rPr>
                <w:rFonts w:ascii="Courier New" w:cs="Courier New" w:eastAsia="Courier New" w:hAnsi="Courier New"/>
                <w:sz w:val="12"/>
                <w:szCs w:val="12"/>
                <w:color w:val="auto"/>
                <w:w w:val="97"/>
              </w:rPr>
              <w:t>in any</w:t>
            </w:r>
          </w:p>
        </w:tc>
        <w:tc>
          <w:tcPr>
            <w:tcW w:w="14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year and</w:t>
            </w:r>
          </w:p>
        </w:tc>
        <w:tc>
          <w:tcPr>
            <w:tcW w:w="880" w:type="dxa"/>
            <w:vAlign w:val="bottom"/>
            <w:gridSpan w:val="5"/>
          </w:tcPr>
          <w:p>
            <w:pPr>
              <w:jc w:val="right"/>
              <w:ind w:right="79"/>
              <w:spacing w:after="0"/>
              <w:rPr>
                <w:sz w:val="20"/>
                <w:szCs w:val="20"/>
                <w:color w:val="auto"/>
              </w:rPr>
            </w:pPr>
            <w:r>
              <w:rPr>
                <w:rFonts w:ascii="Courier New" w:cs="Courier New" w:eastAsia="Courier New" w:hAnsi="Courier New"/>
                <w:sz w:val="12"/>
                <w:szCs w:val="12"/>
                <w:color w:val="auto"/>
              </w:rPr>
              <w:t>"QUARTER</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DAY"</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means any of them;</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1.1.124.</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"QUARTERS"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w w:val="90"/>
              </w:rPr>
              <w:t>each</w:t>
            </w:r>
          </w:p>
        </w:tc>
        <w:tc>
          <w:tcPr>
            <w:tcW w:w="600" w:type="dxa"/>
            <w:vAlign w:val="bottom"/>
            <w:gridSpan w:val="3"/>
          </w:tcPr>
          <w:p>
            <w:pPr>
              <w:ind w:left="160"/>
              <w:spacing w:after="0"/>
              <w:rPr>
                <w:sz w:val="20"/>
                <w:szCs w:val="20"/>
                <w:color w:val="auto"/>
              </w:rPr>
            </w:pPr>
            <w:r>
              <w:rPr>
                <w:rFonts w:ascii="Courier New" w:cs="Courier New" w:eastAsia="Courier New" w:hAnsi="Courier New"/>
                <w:sz w:val="12"/>
                <w:szCs w:val="12"/>
                <w:color w:val="auto"/>
                <w:w w:val="97"/>
              </w:rPr>
              <w:t>period</w:t>
            </w:r>
          </w:p>
        </w:tc>
        <w:tc>
          <w:tcPr>
            <w:tcW w:w="14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commencing</w:t>
            </w:r>
          </w:p>
        </w:tc>
        <w:tc>
          <w:tcPr>
            <w:tcW w:w="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on</w:t>
            </w:r>
          </w:p>
        </w:tc>
        <w:tc>
          <w:tcPr>
            <w:tcW w:w="3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the</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day</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after a</w:t>
            </w:r>
          </w:p>
        </w:tc>
        <w:tc>
          <w:tcPr>
            <w:tcW w:w="66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9"/>
              </w:rPr>
              <w:t>Quarter</w:t>
            </w:r>
          </w:p>
        </w:tc>
        <w:tc>
          <w:tcPr>
            <w:tcW w:w="74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Day and</w:t>
            </w:r>
          </w:p>
        </w:tc>
        <w:tc>
          <w:tcPr>
            <w:tcW w:w="140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ending on the next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following Quarter Day;</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25"/>
        </w:trPr>
        <w:tc>
          <w:tcPr>
            <w:tcW w:w="1100" w:type="dxa"/>
            <w:vAlign w:val="bottom"/>
          </w:tcPr>
          <w:p>
            <w:pPr>
              <w:spacing w:after="0"/>
              <w:rPr>
                <w:sz w:val="24"/>
                <w:szCs w:val="24"/>
                <w:color w:val="auto"/>
              </w:rPr>
            </w:pPr>
          </w:p>
        </w:tc>
        <w:tc>
          <w:tcPr>
            <w:tcW w:w="2580" w:type="dxa"/>
            <w:vAlign w:val="bottom"/>
          </w:tcPr>
          <w:p>
            <w:pPr>
              <w:ind w:left="1620"/>
              <w:spacing w:after="0"/>
              <w:rPr>
                <w:sz w:val="20"/>
                <w:szCs w:val="20"/>
                <w:color w:val="auto"/>
              </w:rPr>
            </w:pPr>
            <w:r>
              <w:rPr>
                <w:rFonts w:ascii="Courier New" w:cs="Courier New" w:eastAsia="Courier New" w:hAnsi="Courier New"/>
                <w:sz w:val="12"/>
                <w:szCs w:val="12"/>
                <w:color w:val="auto"/>
              </w:rPr>
              <w:t>- 63 -</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1.1.125.</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"QUICKLOGIC"</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6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means QuickLogic</w:t>
            </w:r>
          </w:p>
        </w:tc>
        <w:tc>
          <w:tcPr>
            <w:tcW w:w="1180" w:type="dxa"/>
            <w:vAlign w:val="bottom"/>
            <w:gridSpan w:val="6"/>
          </w:tcPr>
          <w:p>
            <w:pPr>
              <w:ind w:left="140"/>
              <w:spacing w:after="0"/>
              <w:rPr>
                <w:sz w:val="20"/>
                <w:szCs w:val="20"/>
                <w:color w:val="auto"/>
              </w:rPr>
            </w:pPr>
            <w:r>
              <w:rPr>
                <w:rFonts w:ascii="Courier New" w:cs="Courier New" w:eastAsia="Courier New" w:hAnsi="Courier New"/>
                <w:sz w:val="12"/>
                <w:szCs w:val="12"/>
                <w:color w:val="auto"/>
              </w:rPr>
              <w:t>Corporation,</w:t>
            </w:r>
          </w:p>
        </w:tc>
        <w:tc>
          <w:tcPr>
            <w:tcW w:w="96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a corporation</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incorporated</w:t>
            </w: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w w:val="99"/>
              </w:rPr>
              <w:t>under</w:t>
            </w:r>
          </w:p>
        </w:tc>
        <w:tc>
          <w:tcPr>
            <w:tcW w:w="14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rPr>
              <w:t>the</w:t>
            </w: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rPr>
              <w:t>laws</w:t>
            </w: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rPr>
              <w:t>of</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Delaware,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w w:val="97"/>
              </w:rPr>
              <w:t>USA;</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1.1.126.</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1.1.127.</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"REPRESENTATIVE RATE"</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50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with</w:t>
            </w:r>
          </w:p>
        </w:tc>
        <w:tc>
          <w:tcPr>
            <w:tcW w:w="1120" w:type="dxa"/>
            <w:vAlign w:val="bottom"/>
            <w:gridSpan w:val="6"/>
          </w:tcPr>
          <w:p>
            <w:pPr>
              <w:spacing w:after="0"/>
              <w:rPr>
                <w:sz w:val="20"/>
                <w:szCs w:val="20"/>
                <w:color w:val="auto"/>
              </w:rPr>
            </w:pPr>
            <w:r>
              <w:rPr>
                <w:rFonts w:ascii="Courier New" w:cs="Courier New" w:eastAsia="Courier New" w:hAnsi="Courier New"/>
                <w:sz w:val="12"/>
                <w:szCs w:val="12"/>
                <w:color w:val="auto"/>
              </w:rPr>
              <w:t>respect to any</w:t>
            </w:r>
          </w:p>
        </w:tc>
        <w:tc>
          <w:tcPr>
            <w:tcW w:w="66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currency</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other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w w:val="97"/>
              </w:rPr>
              <w:t>than</w:t>
            </w:r>
          </w:p>
        </w:tc>
        <w:tc>
          <w:tcPr>
            <w:tcW w:w="220" w:type="dxa"/>
            <w:vAlign w:val="bottom"/>
          </w:tcPr>
          <w:p>
            <w:pPr>
              <w:spacing w:after="0"/>
              <w:rPr>
                <w:sz w:val="12"/>
                <w:szCs w:val="12"/>
                <w:color w:val="auto"/>
              </w:rPr>
            </w:pP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w w:val="90"/>
              </w:rPr>
              <w:t>NIS,</w:t>
            </w:r>
          </w:p>
        </w:tc>
        <w:tc>
          <w:tcPr>
            <w:tcW w:w="22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rPr>
              <w:t>the</w:t>
            </w:r>
          </w:p>
        </w:tc>
        <w:tc>
          <w:tcPr>
            <w:tcW w:w="124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representative</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rate</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20" w:type="dxa"/>
            <w:vAlign w:val="bottom"/>
            <w:gridSpan w:val="11"/>
          </w:tcPr>
          <w:p>
            <w:pPr>
              <w:ind w:left="80"/>
              <w:spacing w:after="0"/>
              <w:rPr>
                <w:sz w:val="20"/>
                <w:szCs w:val="20"/>
                <w:color w:val="auto"/>
              </w:rPr>
            </w:pPr>
            <w:r>
              <w:rPr>
                <w:rFonts w:ascii="Courier New" w:cs="Courier New" w:eastAsia="Courier New" w:hAnsi="Courier New"/>
                <w:sz w:val="12"/>
                <w:szCs w:val="12"/>
                <w:color w:val="auto"/>
              </w:rPr>
              <w:t>exchange of the NIS and such</w:t>
            </w:r>
          </w:p>
        </w:tc>
        <w:tc>
          <w:tcPr>
            <w:tcW w:w="880" w:type="dxa"/>
            <w:vAlign w:val="bottom"/>
            <w:gridSpan w:val="5"/>
          </w:tcPr>
          <w:p>
            <w:pPr>
              <w:jc w:val="right"/>
              <w:ind w:right="79"/>
              <w:spacing w:after="0"/>
              <w:rPr>
                <w:sz w:val="20"/>
                <w:szCs w:val="20"/>
                <w:color w:val="auto"/>
              </w:rPr>
            </w:pPr>
            <w:r>
              <w:rPr>
                <w:rFonts w:ascii="Courier New" w:cs="Courier New" w:eastAsia="Courier New" w:hAnsi="Courier New"/>
                <w:sz w:val="12"/>
                <w:szCs w:val="12"/>
                <w:color w:val="auto"/>
              </w:rPr>
              <w:t>currency,</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last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published</w:t>
            </w:r>
          </w:p>
        </w:tc>
        <w:tc>
          <w:tcPr>
            <w:tcW w:w="60" w:type="dxa"/>
            <w:vAlign w:val="bottom"/>
          </w:tcPr>
          <w:p>
            <w:pPr>
              <w:spacing w:after="0"/>
              <w:rPr>
                <w:sz w:val="12"/>
                <w:szCs w:val="12"/>
                <w:color w:val="auto"/>
              </w:rPr>
            </w:pPr>
          </w:p>
        </w:tc>
        <w:tc>
          <w:tcPr>
            <w:tcW w:w="1560" w:type="dxa"/>
            <w:vAlign w:val="bottom"/>
            <w:gridSpan w:val="8"/>
          </w:tcPr>
          <w:p>
            <w:pPr>
              <w:spacing w:after="0"/>
              <w:rPr>
                <w:sz w:val="20"/>
                <w:szCs w:val="20"/>
                <w:color w:val="auto"/>
              </w:rPr>
            </w:pPr>
            <w:r>
              <w:rPr>
                <w:rFonts w:ascii="Courier New" w:cs="Courier New" w:eastAsia="Courier New" w:hAnsi="Courier New"/>
                <w:sz w:val="12"/>
                <w:szCs w:val="12"/>
                <w:color w:val="auto"/>
              </w:rPr>
              <w:t>by the Bank of Israel</w:t>
            </w:r>
          </w:p>
        </w:tc>
        <w:tc>
          <w:tcPr>
            <w:tcW w:w="60" w:type="dxa"/>
            <w:vAlign w:val="bottom"/>
          </w:tcPr>
          <w:p>
            <w:pPr>
              <w:spacing w:after="0"/>
              <w:rPr>
                <w:sz w:val="12"/>
                <w:szCs w:val="12"/>
                <w:color w:val="auto"/>
              </w:rPr>
            </w:pP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immediately</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prior</w:t>
            </w:r>
          </w:p>
        </w:tc>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rPr>
              <w:t>to the</w:t>
            </w:r>
          </w:p>
        </w:tc>
        <w:tc>
          <w:tcPr>
            <w:tcW w:w="6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relevant</w:t>
            </w:r>
          </w:p>
        </w:tc>
        <w:tc>
          <w:tcPr>
            <w:tcW w:w="66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9"/>
              </w:rPr>
              <w:t>date of</w:t>
            </w:r>
          </w:p>
        </w:tc>
        <w:tc>
          <w:tcPr>
            <w:tcW w:w="6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payment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calculation</w:t>
            </w:r>
          </w:p>
        </w:tc>
        <w:tc>
          <w:tcPr>
            <w:tcW w:w="74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(as the</w:t>
            </w:r>
          </w:p>
        </w:tc>
        <w:tc>
          <w:tcPr>
            <w:tcW w:w="38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7"/>
              </w:rPr>
              <w:t>case</w:t>
            </w:r>
          </w:p>
        </w:tc>
        <w:tc>
          <w:tcPr>
            <w:tcW w:w="72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may be)</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and,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the Bank of Israel</w:t>
            </w:r>
          </w:p>
        </w:tc>
        <w:tc>
          <w:tcPr>
            <w:tcW w:w="5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shall</w:t>
            </w:r>
          </w:p>
        </w:tc>
        <w:tc>
          <w:tcPr>
            <w:tcW w:w="140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cease to publish a</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w w:val="99"/>
              </w:rPr>
              <w:t>representative</w:t>
            </w:r>
          </w:p>
        </w:tc>
        <w:tc>
          <w:tcPr>
            <w:tcW w:w="16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w w:val="94"/>
              </w:rPr>
              <w:t>rate,</w:t>
            </w:r>
          </w:p>
        </w:tc>
        <w:tc>
          <w:tcPr>
            <w:tcW w:w="160" w:type="dxa"/>
            <w:vAlign w:val="bottom"/>
          </w:tcPr>
          <w:p>
            <w:pPr>
              <w:spacing w:after="0"/>
              <w:rPr>
                <w:sz w:val="12"/>
                <w:szCs w:val="12"/>
                <w:color w:val="auto"/>
              </w:rPr>
            </w:pPr>
          </w:p>
        </w:tc>
        <w:tc>
          <w:tcPr>
            <w:tcW w:w="1620" w:type="dxa"/>
            <w:vAlign w:val="bottom"/>
            <w:gridSpan w:val="8"/>
          </w:tcPr>
          <w:p>
            <w:pPr>
              <w:jc w:val="right"/>
              <w:spacing w:after="0"/>
              <w:rPr>
                <w:sz w:val="20"/>
                <w:szCs w:val="20"/>
                <w:color w:val="auto"/>
              </w:rPr>
            </w:pPr>
            <w:r>
              <w:rPr>
                <w:rFonts w:ascii="Courier New" w:cs="Courier New" w:eastAsia="Courier New" w:hAnsi="Courier New"/>
                <w:sz w:val="12"/>
                <w:szCs w:val="12"/>
                <w:color w:val="auto"/>
              </w:rPr>
              <w:t>then any other rate of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00" w:type="dxa"/>
            <w:vAlign w:val="bottom"/>
            <w:gridSpan w:val="13"/>
          </w:tcPr>
          <w:p>
            <w:pPr>
              <w:ind w:left="80"/>
              <w:spacing w:after="0"/>
              <w:rPr>
                <w:sz w:val="20"/>
                <w:szCs w:val="20"/>
                <w:color w:val="auto"/>
              </w:rPr>
            </w:pPr>
            <w:r>
              <w:rPr>
                <w:rFonts w:ascii="Courier New" w:cs="Courier New" w:eastAsia="Courier New" w:hAnsi="Courier New"/>
                <w:sz w:val="12"/>
                <w:szCs w:val="12"/>
                <w:color w:val="auto"/>
              </w:rPr>
              <w:t>exchange  of  the  NIS  and  such</w:t>
            </w:r>
          </w:p>
        </w:tc>
        <w:tc>
          <w:tcPr>
            <w:tcW w:w="22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currency,</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officially</w:t>
            </w:r>
          </w:p>
        </w:tc>
        <w:tc>
          <w:tcPr>
            <w:tcW w:w="60" w:type="dxa"/>
            <w:vAlign w:val="bottom"/>
          </w:tcPr>
          <w:p>
            <w:pPr>
              <w:spacing w:after="0"/>
              <w:rPr>
                <w:sz w:val="12"/>
                <w:szCs w:val="12"/>
                <w:color w:val="auto"/>
              </w:rPr>
            </w:pPr>
          </w:p>
        </w:tc>
        <w:tc>
          <w:tcPr>
            <w:tcW w:w="9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published,</w:t>
            </w:r>
          </w:p>
        </w:tc>
        <w:tc>
          <w:tcPr>
            <w:tcW w:w="44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99"/>
              </w:rPr>
              <w:t>which</w:t>
            </w:r>
          </w:p>
        </w:tc>
        <w:tc>
          <w:tcPr>
            <w:tcW w:w="118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comes in place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of such</w:t>
            </w:r>
          </w:p>
        </w:tc>
        <w:tc>
          <w:tcPr>
            <w:tcW w:w="1180" w:type="dxa"/>
            <w:vAlign w:val="bottom"/>
            <w:gridSpan w:val="7"/>
          </w:tcPr>
          <w:p>
            <w:pPr>
              <w:ind w:left="140"/>
              <w:spacing w:after="0"/>
              <w:rPr>
                <w:sz w:val="20"/>
                <w:szCs w:val="20"/>
                <w:color w:val="auto"/>
              </w:rPr>
            </w:pPr>
            <w:r>
              <w:rPr>
                <w:rFonts w:ascii="Courier New" w:cs="Courier New" w:eastAsia="Courier New" w:hAnsi="Courier New"/>
                <w:sz w:val="12"/>
                <w:szCs w:val="12"/>
                <w:color w:val="auto"/>
              </w:rPr>
              <w:t>representative</w:t>
            </w:r>
          </w:p>
        </w:tc>
        <w:tc>
          <w:tcPr>
            <w:tcW w:w="1620" w:type="dxa"/>
            <w:vAlign w:val="bottom"/>
            <w:gridSpan w:val="8"/>
          </w:tcPr>
          <w:p>
            <w:pPr>
              <w:jc w:val="right"/>
              <w:spacing w:after="0"/>
              <w:rPr>
                <w:sz w:val="20"/>
                <w:szCs w:val="20"/>
                <w:color w:val="auto"/>
              </w:rPr>
            </w:pPr>
            <w:r>
              <w:rPr>
                <w:rFonts w:ascii="Courier New" w:cs="Courier New" w:eastAsia="Courier New" w:hAnsi="Courier New"/>
                <w:sz w:val="12"/>
                <w:szCs w:val="12"/>
                <w:color w:val="auto"/>
              </w:rPr>
              <w:t>rate, last published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720" w:type="dxa"/>
            <w:vAlign w:val="bottom"/>
            <w:gridSpan w:val="14"/>
          </w:tcPr>
          <w:p>
            <w:pPr>
              <w:ind w:left="80"/>
              <w:spacing w:after="0"/>
              <w:rPr>
                <w:sz w:val="20"/>
                <w:szCs w:val="20"/>
                <w:color w:val="auto"/>
              </w:rPr>
            </w:pPr>
            <w:r>
              <w:rPr>
                <w:rFonts w:ascii="Courier New" w:cs="Courier New" w:eastAsia="Courier New" w:hAnsi="Courier New"/>
                <w:sz w:val="12"/>
                <w:szCs w:val="12"/>
                <w:color w:val="auto"/>
              </w:rPr>
              <w:t>immediately  prior  to the  relevant</w:t>
            </w:r>
          </w:p>
        </w:tc>
        <w:tc>
          <w:tcPr>
            <w:tcW w:w="1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date of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payment or</w:t>
            </w:r>
          </w:p>
        </w:tc>
        <w:tc>
          <w:tcPr>
            <w:tcW w:w="60" w:type="dxa"/>
            <w:vAlign w:val="bottom"/>
          </w:tcPr>
          <w:p>
            <w:pPr>
              <w:spacing w:after="0"/>
              <w:rPr>
                <w:sz w:val="12"/>
                <w:szCs w:val="12"/>
                <w:color w:val="auto"/>
              </w:rPr>
            </w:pPr>
          </w:p>
        </w:tc>
        <w:tc>
          <w:tcPr>
            <w:tcW w:w="9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calculation</w:t>
            </w:r>
          </w:p>
        </w:tc>
        <w:tc>
          <w:tcPr>
            <w:tcW w:w="1620" w:type="dxa"/>
            <w:vAlign w:val="bottom"/>
            <w:gridSpan w:val="8"/>
          </w:tcPr>
          <w:p>
            <w:pPr>
              <w:jc w:val="right"/>
              <w:spacing w:after="0"/>
              <w:rPr>
                <w:sz w:val="20"/>
                <w:szCs w:val="20"/>
                <w:color w:val="auto"/>
              </w:rPr>
            </w:pPr>
            <w:r>
              <w:rPr>
                <w:rFonts w:ascii="Courier New" w:cs="Courier New" w:eastAsia="Courier New" w:hAnsi="Courier New"/>
                <w:sz w:val="12"/>
                <w:szCs w:val="12"/>
                <w:color w:val="auto"/>
              </w:rPr>
              <w:t>(as the case may be)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w w:val="97"/>
              </w:rPr>
              <w:t>and,</w:t>
            </w:r>
          </w:p>
        </w:tc>
        <w:tc>
          <w:tcPr>
            <w:tcW w:w="72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in the</w:t>
            </w: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w w:val="99"/>
              </w:rPr>
              <w:t>absence</w:t>
            </w:r>
          </w:p>
        </w:tc>
        <w:tc>
          <w:tcPr>
            <w:tcW w:w="1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of any</w:t>
            </w:r>
          </w:p>
        </w:tc>
        <w:tc>
          <w:tcPr>
            <w:tcW w:w="50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such</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official</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rate,</w:t>
            </w: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rPr>
              <w:t>then the</w:t>
            </w:r>
          </w:p>
        </w:tc>
        <w:tc>
          <w:tcPr>
            <w:tcW w:w="118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average of the</w:t>
            </w:r>
          </w:p>
        </w:tc>
        <w:tc>
          <w:tcPr>
            <w:tcW w:w="60" w:type="dxa"/>
            <w:vAlign w:val="bottom"/>
          </w:tcPr>
          <w:p>
            <w:pPr>
              <w:spacing w:after="0"/>
              <w:rPr>
                <w:sz w:val="12"/>
                <w:szCs w:val="12"/>
                <w:color w:val="auto"/>
              </w:rPr>
            </w:pPr>
          </w:p>
        </w:tc>
        <w:tc>
          <w:tcPr>
            <w:tcW w:w="60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w w:val="99"/>
              </w:rPr>
              <w:t>selling</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buying</w:t>
            </w:r>
          </w:p>
        </w:tc>
        <w:tc>
          <w:tcPr>
            <w:tcW w:w="1400" w:type="dxa"/>
            <w:vAlign w:val="bottom"/>
            <w:gridSpan w:val="8"/>
          </w:tcPr>
          <w:p>
            <w:pPr>
              <w:ind w:left="60"/>
              <w:spacing w:after="0"/>
              <w:rPr>
                <w:sz w:val="20"/>
                <w:szCs w:val="20"/>
                <w:color w:val="auto"/>
              </w:rPr>
            </w:pPr>
            <w:r>
              <w:rPr>
                <w:rFonts w:ascii="Courier New" w:cs="Courier New" w:eastAsia="Courier New" w:hAnsi="Courier New"/>
                <w:sz w:val="12"/>
                <w:szCs w:val="12"/>
                <w:color w:val="auto"/>
              </w:rPr>
              <w:t>rates of exchange</w:t>
            </w:r>
          </w:p>
        </w:tc>
        <w:tc>
          <w:tcPr>
            <w:tcW w:w="72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of such</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currency,</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for</w:t>
            </w:r>
          </w:p>
        </w:tc>
        <w:tc>
          <w:tcPr>
            <w:tcW w:w="44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NIS</w:t>
            </w:r>
          </w:p>
        </w:tc>
        <w:tc>
          <w:tcPr>
            <w:tcW w:w="280" w:type="dxa"/>
            <w:vAlign w:val="bottom"/>
            <w:gridSpan w:val="2"/>
          </w:tcPr>
          <w:p>
            <w:pPr>
              <w:spacing w:after="0"/>
              <w:rPr>
                <w:sz w:val="20"/>
                <w:szCs w:val="20"/>
                <w:color w:val="auto"/>
              </w:rPr>
            </w:pPr>
            <w:r>
              <w:rPr>
                <w:rFonts w:ascii="Courier New" w:cs="Courier New" w:eastAsia="Courier New" w:hAnsi="Courier New"/>
                <w:sz w:val="12"/>
                <w:szCs w:val="12"/>
                <w:color w:val="auto"/>
                <w:w w:val="90"/>
              </w:rPr>
              <w:t>(for</w:t>
            </w:r>
          </w:p>
        </w:tc>
        <w:tc>
          <w:tcPr>
            <w:tcW w:w="160" w:type="dxa"/>
            <w:vAlign w:val="bottom"/>
          </w:tcPr>
          <w:p>
            <w:pPr>
              <w:spacing w:after="0"/>
              <w:rPr>
                <w:sz w:val="12"/>
                <w:szCs w:val="12"/>
                <w:color w:val="auto"/>
              </w:rPr>
            </w:pPr>
          </w:p>
        </w:tc>
        <w:tc>
          <w:tcPr>
            <w:tcW w:w="74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cheques</w:t>
            </w:r>
          </w:p>
        </w:tc>
        <w:tc>
          <w:tcPr>
            <w:tcW w:w="44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and</w:t>
            </w:r>
          </w:p>
        </w:tc>
        <w:tc>
          <w:tcPr>
            <w:tcW w:w="60" w:type="dxa"/>
            <w:vAlign w:val="bottom"/>
          </w:tcPr>
          <w:p>
            <w:pPr>
              <w:spacing w:after="0"/>
              <w:rPr>
                <w:sz w:val="12"/>
                <w:szCs w:val="12"/>
                <w:color w:val="auto"/>
              </w:rPr>
            </w:pP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remittances)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prevailing</w:t>
            </w:r>
          </w:p>
        </w:tc>
        <w:tc>
          <w:tcPr>
            <w:tcW w:w="60" w:type="dxa"/>
            <w:vAlign w:val="bottom"/>
          </w:tcPr>
          <w:p>
            <w:pPr>
              <w:spacing w:after="0"/>
              <w:rPr>
                <w:sz w:val="12"/>
                <w:szCs w:val="12"/>
                <w:color w:val="auto"/>
              </w:rPr>
            </w:pPr>
          </w:p>
        </w:tc>
        <w:tc>
          <w:tcPr>
            <w:tcW w:w="60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at Bank</w:t>
            </w:r>
          </w:p>
        </w:tc>
        <w:tc>
          <w:tcPr>
            <w:tcW w:w="14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Hapoalim</w:t>
            </w:r>
          </w:p>
        </w:tc>
        <w:tc>
          <w:tcPr>
            <w:tcW w:w="118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and Bank Leumi</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at the end of the</w:t>
            </w:r>
          </w:p>
        </w:tc>
        <w:tc>
          <w:tcPr>
            <w:tcW w:w="300" w:type="dxa"/>
            <w:vAlign w:val="bottom"/>
            <w:gridSpan w:val="2"/>
          </w:tcPr>
          <w:p>
            <w:pPr>
              <w:spacing w:after="0"/>
              <w:rPr>
                <w:sz w:val="20"/>
                <w:szCs w:val="20"/>
                <w:color w:val="auto"/>
              </w:rPr>
            </w:pPr>
            <w:r>
              <w:rPr>
                <w:rFonts w:ascii="Courier New" w:cs="Courier New" w:eastAsia="Courier New" w:hAnsi="Courier New"/>
                <w:sz w:val="12"/>
                <w:szCs w:val="12"/>
                <w:color w:val="auto"/>
                <w:w w:val="97"/>
              </w:rPr>
              <w:t>last</w:t>
            </w:r>
          </w:p>
        </w:tc>
        <w:tc>
          <w:tcPr>
            <w:tcW w:w="72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7"/>
              </w:rPr>
              <w:t>Business</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Day</w:t>
            </w:r>
          </w:p>
        </w:tc>
        <w:tc>
          <w:tcPr>
            <w:tcW w:w="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prior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to</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220" w:type="dxa"/>
            <w:vAlign w:val="bottom"/>
          </w:tcPr>
          <w:p>
            <w:pPr>
              <w:spacing w:after="0"/>
              <w:rPr>
                <w:sz w:val="12"/>
                <w:szCs w:val="12"/>
                <w:color w:val="auto"/>
              </w:rPr>
            </w:pP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rPr>
              <w:t>relevant</w:t>
            </w:r>
          </w:p>
        </w:tc>
        <w:tc>
          <w:tcPr>
            <w:tcW w:w="14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rPr>
              <w:t>date</w:t>
            </w:r>
          </w:p>
        </w:tc>
        <w:tc>
          <w:tcPr>
            <w:tcW w:w="140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of   payment   or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00" w:type="dxa"/>
            <w:vAlign w:val="bottom"/>
            <w:gridSpan w:val="13"/>
          </w:tcPr>
          <w:p>
            <w:pPr>
              <w:ind w:left="80"/>
              <w:spacing w:after="0"/>
              <w:rPr>
                <w:sz w:val="20"/>
                <w:szCs w:val="20"/>
                <w:color w:val="auto"/>
              </w:rPr>
            </w:pPr>
            <w:r>
              <w:rPr>
                <w:rFonts w:ascii="Courier New" w:cs="Courier New" w:eastAsia="Courier New" w:hAnsi="Courier New"/>
                <w:sz w:val="12"/>
                <w:szCs w:val="12"/>
                <w:color w:val="auto"/>
              </w:rPr>
              <w:t>calculation (as the case may be);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1.1.127A.</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1.1.127B.</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1.1.127C.</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65" w:orient="portrait"/>
          <w:cols w:equalWidth="0" w:num="1">
            <w:col w:w="10239"/>
          </w:cols>
          <w:pgMar w:left="220" w:top="141" w:right="1440" w:bottom="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1.1.127D.</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1.1.127E.</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1.1.127F.</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1.1.127G.</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1.1.128.</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25"/>
        </w:trPr>
        <w:tc>
          <w:tcPr>
            <w:tcW w:w="1100" w:type="dxa"/>
            <w:vAlign w:val="bottom"/>
          </w:tcPr>
          <w:p>
            <w:pPr>
              <w:spacing w:after="0"/>
              <w:rPr>
                <w:sz w:val="24"/>
                <w:szCs w:val="24"/>
                <w:color w:val="auto"/>
              </w:rPr>
            </w:pPr>
          </w:p>
        </w:tc>
        <w:tc>
          <w:tcPr>
            <w:tcW w:w="2580" w:type="dxa"/>
            <w:vAlign w:val="bottom"/>
          </w:tcPr>
          <w:p>
            <w:pPr>
              <w:ind w:left="1620"/>
              <w:spacing w:after="0"/>
              <w:rPr>
                <w:sz w:val="20"/>
                <w:szCs w:val="20"/>
                <w:color w:val="auto"/>
              </w:rPr>
            </w:pPr>
            <w:r>
              <w:rPr>
                <w:rFonts w:ascii="Courier New" w:cs="Courier New" w:eastAsia="Courier New" w:hAnsi="Courier New"/>
                <w:sz w:val="12"/>
                <w:szCs w:val="12"/>
                <w:color w:val="auto"/>
              </w:rPr>
              <w:t>- 64 -</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1.1.129.</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1.1.130.</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"SANDISK"</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means</w:t>
            </w:r>
          </w:p>
        </w:tc>
        <w:tc>
          <w:tcPr>
            <w:tcW w:w="500" w:type="dxa"/>
            <w:vAlign w:val="bottom"/>
            <w:gridSpan w:val="2"/>
          </w:tcPr>
          <w:p>
            <w:pPr>
              <w:spacing w:after="0"/>
              <w:rPr>
                <w:sz w:val="20"/>
                <w:szCs w:val="20"/>
                <w:color w:val="auto"/>
              </w:rPr>
            </w:pPr>
            <w:r>
              <w:rPr>
                <w:rFonts w:ascii="Courier New" w:cs="Courier New" w:eastAsia="Courier New" w:hAnsi="Courier New"/>
                <w:sz w:val="12"/>
                <w:szCs w:val="12"/>
                <w:color w:val="auto"/>
                <w:w w:val="95"/>
              </w:rPr>
              <w:t>Sandisk</w:t>
            </w:r>
          </w:p>
        </w:tc>
        <w:tc>
          <w:tcPr>
            <w:tcW w:w="160" w:type="dxa"/>
            <w:vAlign w:val="bottom"/>
          </w:tcPr>
          <w:p>
            <w:pPr>
              <w:spacing w:after="0"/>
              <w:rPr>
                <w:sz w:val="24"/>
                <w:szCs w:val="24"/>
                <w:color w:val="auto"/>
              </w:rPr>
            </w:pPr>
          </w:p>
        </w:tc>
        <w:tc>
          <w:tcPr>
            <w:tcW w:w="1020" w:type="dxa"/>
            <w:vAlign w:val="bottom"/>
            <w:gridSpan w:val="4"/>
          </w:tcPr>
          <w:p>
            <w:pPr>
              <w:jc w:val="right"/>
              <w:ind w:right="79"/>
              <w:spacing w:after="0"/>
              <w:rPr>
                <w:sz w:val="20"/>
                <w:szCs w:val="20"/>
                <w:color w:val="auto"/>
              </w:rPr>
            </w:pPr>
            <w:r>
              <w:rPr>
                <w:rFonts w:ascii="Courier New" w:cs="Courier New" w:eastAsia="Courier New" w:hAnsi="Courier New"/>
                <w:sz w:val="12"/>
                <w:szCs w:val="12"/>
                <w:color w:val="auto"/>
                <w:w w:val="99"/>
              </w:rPr>
              <w:t>Corporation,</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rPr>
              <w:t>a</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corporation</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incorporated</w:t>
            </w:r>
          </w:p>
        </w:tc>
        <w:tc>
          <w:tcPr>
            <w:tcW w:w="460" w:type="dxa"/>
            <w:vAlign w:val="bottom"/>
            <w:gridSpan w:val="2"/>
          </w:tcPr>
          <w:p>
            <w:pPr>
              <w:spacing w:after="0"/>
              <w:rPr>
                <w:sz w:val="20"/>
                <w:szCs w:val="20"/>
                <w:color w:val="auto"/>
              </w:rPr>
            </w:pPr>
            <w:r>
              <w:rPr>
                <w:rFonts w:ascii="Courier New" w:cs="Courier New" w:eastAsia="Courier New" w:hAnsi="Courier New"/>
                <w:sz w:val="12"/>
                <w:szCs w:val="12"/>
                <w:color w:val="auto"/>
              </w:rPr>
              <w:t>under</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c>
          <w:tcPr>
            <w:tcW w:w="440" w:type="dxa"/>
            <w:vAlign w:val="bottom"/>
            <w:gridSpan w:val="2"/>
          </w:tcPr>
          <w:p>
            <w:pPr>
              <w:ind w:left="160"/>
              <w:spacing w:after="0"/>
              <w:rPr>
                <w:sz w:val="20"/>
                <w:szCs w:val="20"/>
                <w:color w:val="auto"/>
              </w:rPr>
            </w:pPr>
            <w:r>
              <w:rPr>
                <w:rFonts w:ascii="Courier New" w:cs="Courier New" w:eastAsia="Courier New" w:hAnsi="Courier New"/>
                <w:sz w:val="12"/>
                <w:szCs w:val="12"/>
                <w:color w:val="auto"/>
                <w:w w:val="90"/>
              </w:rPr>
              <w:t>laws</w:t>
            </w:r>
          </w:p>
        </w:tc>
        <w:tc>
          <w:tcPr>
            <w:tcW w:w="4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of</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Delaware,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USA;</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1.1.131.</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1.1.132.</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1.1.133.</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"SECURITY DOCUMENTS"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means: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(a)</w:t>
            </w:r>
          </w:p>
        </w:tc>
        <w:tc>
          <w:tcPr>
            <w:tcW w:w="1240" w:type="dxa"/>
            <w:vAlign w:val="bottom"/>
            <w:gridSpan w:val="5"/>
          </w:tcPr>
          <w:p>
            <w:pPr>
              <w:spacing w:after="0"/>
              <w:rPr>
                <w:sz w:val="20"/>
                <w:szCs w:val="20"/>
                <w:color w:val="auto"/>
              </w:rPr>
            </w:pPr>
            <w:r>
              <w:rPr>
                <w:rFonts w:ascii="Courier New" w:cs="Courier New" w:eastAsia="Courier New" w:hAnsi="Courier New"/>
                <w:sz w:val="12"/>
                <w:szCs w:val="12"/>
                <w:color w:val="auto"/>
              </w:rPr>
              <w:t>the Debenture;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(b)</w:t>
            </w:r>
          </w:p>
        </w:tc>
        <w:tc>
          <w:tcPr>
            <w:tcW w:w="280" w:type="dxa"/>
            <w:vAlign w:val="bottom"/>
          </w:tcPr>
          <w:p>
            <w:pPr>
              <w:spacing w:after="0"/>
              <w:rPr>
                <w:sz w:val="20"/>
                <w:szCs w:val="20"/>
                <w:color w:val="auto"/>
              </w:rPr>
            </w:pPr>
            <w:r>
              <w:rPr>
                <w:rFonts w:ascii="Courier New" w:cs="Courier New" w:eastAsia="Courier New" w:hAnsi="Courier New"/>
                <w:sz w:val="12"/>
                <w:szCs w:val="12"/>
                <w:color w:val="auto"/>
                <w:w w:val="90"/>
              </w:rPr>
              <w:t>each</w:t>
            </w:r>
          </w:p>
        </w:tc>
        <w:tc>
          <w:tcPr>
            <w:tcW w:w="960" w:type="dxa"/>
            <w:vAlign w:val="bottom"/>
            <w:gridSpan w:val="4"/>
          </w:tcPr>
          <w:p>
            <w:pPr>
              <w:jc w:val="right"/>
              <w:ind w:right="79"/>
              <w:spacing w:after="0"/>
              <w:rPr>
                <w:sz w:val="20"/>
                <w:szCs w:val="20"/>
                <w:color w:val="auto"/>
              </w:rPr>
            </w:pPr>
            <w:r>
              <w:rPr>
                <w:rFonts w:ascii="Courier New" w:cs="Courier New" w:eastAsia="Courier New" w:hAnsi="Courier New"/>
                <w:sz w:val="12"/>
                <w:szCs w:val="12"/>
                <w:color w:val="auto"/>
              </w:rPr>
              <w:t>mortgage,</w:t>
            </w: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w w:val="98"/>
              </w:rPr>
              <w:t>pledge or</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assignment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w w:val="98"/>
              </w:rPr>
              <w:t>by way of</w:t>
            </w: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charge</w:t>
            </w:r>
          </w:p>
        </w:tc>
        <w:tc>
          <w:tcPr>
            <w:tcW w:w="66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to be</w:t>
            </w: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executed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by</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Courier New" w:cs="Courier New" w:eastAsia="Courier New" w:hAnsi="Courier New"/>
                <w:sz w:val="12"/>
                <w:szCs w:val="12"/>
                <w:color w:val="auto"/>
              </w:rPr>
              <w:t>the</w:t>
            </w:r>
          </w:p>
        </w:tc>
        <w:tc>
          <w:tcPr>
            <w:tcW w:w="6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Borrower</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in</w:t>
            </w:r>
          </w:p>
        </w:tc>
        <w:tc>
          <w:tcPr>
            <w:tcW w:w="156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favour of the Banks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gridSpan w:val="4"/>
          </w:tcPr>
          <w:p>
            <w:pPr>
              <w:spacing w:after="0"/>
              <w:rPr>
                <w:sz w:val="20"/>
                <w:szCs w:val="20"/>
                <w:color w:val="auto"/>
              </w:rPr>
            </w:pPr>
            <w:r>
              <w:rPr>
                <w:rFonts w:ascii="Courier New" w:cs="Courier New" w:eastAsia="Courier New" w:hAnsi="Courier New"/>
                <w:sz w:val="12"/>
                <w:szCs w:val="12"/>
                <w:color w:val="auto"/>
              </w:rPr>
              <w:t>in accordance</w:t>
            </w:r>
          </w:p>
        </w:tc>
        <w:tc>
          <w:tcPr>
            <w:tcW w:w="72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7"/>
              </w:rPr>
              <w:t>with the</w:t>
            </w:r>
          </w:p>
        </w:tc>
        <w:tc>
          <w:tcPr>
            <w:tcW w:w="112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provisions of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5"/>
          </w:tcPr>
          <w:p>
            <w:pPr>
              <w:spacing w:after="0"/>
              <w:rPr>
                <w:sz w:val="20"/>
                <w:szCs w:val="20"/>
                <w:color w:val="auto"/>
              </w:rPr>
            </w:pPr>
            <w:r>
              <w:rPr>
                <w:rFonts w:ascii="Courier New" w:cs="Courier New" w:eastAsia="Courier New" w:hAnsi="Courier New"/>
                <w:sz w:val="12"/>
                <w:szCs w:val="12"/>
                <w:color w:val="auto"/>
              </w:rPr>
              <w:t>the Debenture;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(c)</w:t>
            </w:r>
          </w:p>
        </w:tc>
        <w:tc>
          <w:tcPr>
            <w:tcW w:w="960" w:type="dxa"/>
            <w:vAlign w:val="bottom"/>
            <w:gridSpan w:val="4"/>
          </w:tcPr>
          <w:p>
            <w:pPr>
              <w:spacing w:after="0"/>
              <w:rPr>
                <w:sz w:val="20"/>
                <w:szCs w:val="20"/>
                <w:color w:val="auto"/>
              </w:rPr>
            </w:pPr>
            <w:r>
              <w:rPr>
                <w:rFonts w:ascii="Courier New" w:cs="Courier New" w:eastAsia="Courier New" w:hAnsi="Courier New"/>
                <w:sz w:val="12"/>
                <w:szCs w:val="12"/>
                <w:color w:val="auto"/>
              </w:rPr>
              <w:t>each security</w:t>
            </w:r>
          </w:p>
        </w:tc>
        <w:tc>
          <w:tcPr>
            <w:tcW w:w="94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agreement</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entered into</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0" w:type="dxa"/>
            <w:vAlign w:val="bottom"/>
            <w:gridSpan w:val="12"/>
          </w:tcPr>
          <w:p>
            <w:pPr>
              <w:spacing w:after="0"/>
              <w:rPr>
                <w:sz w:val="20"/>
                <w:szCs w:val="20"/>
                <w:color w:val="auto"/>
              </w:rPr>
            </w:pPr>
            <w:r>
              <w:rPr>
                <w:rFonts w:ascii="Courier New" w:cs="Courier New" w:eastAsia="Courier New" w:hAnsi="Courier New"/>
                <w:sz w:val="12"/>
                <w:szCs w:val="12"/>
                <w:color w:val="auto"/>
              </w:rPr>
              <w:t>pursuant  to  the  provisions  of  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gridSpan w:val="4"/>
          </w:tcPr>
          <w:p>
            <w:pPr>
              <w:spacing w:after="0"/>
              <w:rPr>
                <w:sz w:val="20"/>
                <w:szCs w:val="20"/>
                <w:color w:val="auto"/>
              </w:rPr>
            </w:pPr>
            <w:r>
              <w:rPr>
                <w:rFonts w:ascii="Courier New" w:cs="Courier New" w:eastAsia="Courier New" w:hAnsi="Courier New"/>
                <w:sz w:val="12"/>
                <w:szCs w:val="12"/>
                <w:color w:val="auto"/>
              </w:rPr>
              <w:t>Debenture;</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(d)</w:t>
            </w:r>
          </w:p>
        </w:tc>
        <w:tc>
          <w:tcPr>
            <w:tcW w:w="280" w:type="dxa"/>
            <w:vAlign w:val="bottom"/>
          </w:tcPr>
          <w:p>
            <w:pPr>
              <w:spacing w:after="0"/>
              <w:rPr>
                <w:sz w:val="20"/>
                <w:szCs w:val="20"/>
                <w:color w:val="auto"/>
              </w:rPr>
            </w:pPr>
            <w:r>
              <w:rPr>
                <w:rFonts w:ascii="Courier New" w:cs="Courier New" w:eastAsia="Courier New" w:hAnsi="Courier New"/>
                <w:sz w:val="12"/>
                <w:szCs w:val="12"/>
                <w:color w:val="auto"/>
              </w:rPr>
              <w:t>all</w:t>
            </w:r>
          </w:p>
        </w:tc>
        <w:tc>
          <w:tcPr>
            <w:tcW w:w="1400" w:type="dxa"/>
            <w:vAlign w:val="bottom"/>
            <w:gridSpan w:val="6"/>
          </w:tcPr>
          <w:p>
            <w:pPr>
              <w:jc w:val="right"/>
              <w:ind w:right="79"/>
              <w:spacing w:after="0"/>
              <w:rPr>
                <w:sz w:val="20"/>
                <w:szCs w:val="20"/>
                <w:color w:val="auto"/>
              </w:rPr>
            </w:pPr>
            <w:r>
              <w:rPr>
                <w:rFonts w:ascii="Courier New" w:cs="Courier New" w:eastAsia="Courier New" w:hAnsi="Courier New"/>
                <w:sz w:val="12"/>
                <w:szCs w:val="12"/>
                <w:color w:val="auto"/>
              </w:rPr>
              <w:t>acknowledgments</w:t>
            </w: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and</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consents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900" w:type="dxa"/>
            <w:vAlign w:val="bottom"/>
            <w:gridSpan w:val="8"/>
          </w:tcPr>
          <w:p>
            <w:pPr>
              <w:spacing w:after="0"/>
              <w:rPr>
                <w:sz w:val="20"/>
                <w:szCs w:val="20"/>
                <w:color w:val="auto"/>
              </w:rPr>
            </w:pPr>
            <w:r>
              <w:rPr>
                <w:rFonts w:ascii="Courier New" w:cs="Courier New" w:eastAsia="Courier New" w:hAnsi="Courier New"/>
                <w:sz w:val="12"/>
                <w:szCs w:val="12"/>
                <w:color w:val="auto"/>
              </w:rPr>
              <w:t>required to be  delivered</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pursuant to</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60" w:type="dxa"/>
            <w:vAlign w:val="bottom"/>
            <w:gridSpan w:val="10"/>
          </w:tcPr>
          <w:p>
            <w:pPr>
              <w:spacing w:after="0"/>
              <w:rPr>
                <w:sz w:val="20"/>
                <w:szCs w:val="20"/>
                <w:color w:val="auto"/>
              </w:rPr>
            </w:pPr>
            <w:r>
              <w:rPr>
                <w:rFonts w:ascii="Courier New" w:cs="Courier New" w:eastAsia="Courier New" w:hAnsi="Courier New"/>
                <w:sz w:val="12"/>
                <w:szCs w:val="12"/>
                <w:color w:val="auto"/>
              </w:rPr>
              <w:t>the documents referred to above;</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(e)</w:t>
            </w: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w w:val="98"/>
              </w:rPr>
              <w:t>any other</w:t>
            </w:r>
          </w:p>
        </w:tc>
        <w:tc>
          <w:tcPr>
            <w:tcW w:w="2140" w:type="dxa"/>
            <w:vAlign w:val="bottom"/>
            <w:gridSpan w:val="9"/>
          </w:tcPr>
          <w:p>
            <w:pPr>
              <w:jc w:val="right"/>
              <w:spacing w:after="0"/>
              <w:rPr>
                <w:sz w:val="20"/>
                <w:szCs w:val="20"/>
                <w:color w:val="auto"/>
              </w:rPr>
            </w:pPr>
            <w:r>
              <w:rPr>
                <w:rFonts w:ascii="Courier New" w:cs="Courier New" w:eastAsia="Courier New" w:hAnsi="Courier New"/>
                <w:sz w:val="12"/>
                <w:szCs w:val="12"/>
                <w:color w:val="auto"/>
              </w:rPr>
              <w:t>agreement or deed from time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gridSpan w:val="2"/>
          </w:tcPr>
          <w:p>
            <w:pPr>
              <w:spacing w:after="0"/>
              <w:rPr>
                <w:sz w:val="20"/>
                <w:szCs w:val="20"/>
                <w:color w:val="auto"/>
              </w:rPr>
            </w:pPr>
            <w:r>
              <w:rPr>
                <w:rFonts w:ascii="Courier New" w:cs="Courier New" w:eastAsia="Courier New" w:hAnsi="Courier New"/>
                <w:sz w:val="12"/>
                <w:szCs w:val="12"/>
                <w:color w:val="auto"/>
                <w:w w:val="95"/>
              </w:rPr>
              <w:t>to time</w:t>
            </w:r>
          </w:p>
        </w:tc>
        <w:tc>
          <w:tcPr>
            <w:tcW w:w="16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entered</w:t>
            </w: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8"/>
              </w:rPr>
              <w:t>into by the</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Borrower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Courier New" w:cs="Courier New" w:eastAsia="Courier New" w:hAnsi="Courier New"/>
                <w:sz w:val="12"/>
                <w:szCs w:val="12"/>
                <w:color w:val="auto"/>
              </w:rPr>
              <w:t>in</w:t>
            </w:r>
          </w:p>
        </w:tc>
        <w:tc>
          <w:tcPr>
            <w:tcW w:w="680" w:type="dxa"/>
            <w:vAlign w:val="bottom"/>
            <w:gridSpan w:val="3"/>
          </w:tcPr>
          <w:p>
            <w:pPr>
              <w:jc w:val="right"/>
              <w:ind w:right="99"/>
              <w:spacing w:after="0"/>
              <w:rPr>
                <w:sz w:val="20"/>
                <w:szCs w:val="20"/>
                <w:color w:val="auto"/>
              </w:rPr>
            </w:pPr>
            <w:r>
              <w:rPr>
                <w:rFonts w:ascii="Courier New" w:cs="Courier New" w:eastAsia="Courier New" w:hAnsi="Courier New"/>
                <w:sz w:val="12"/>
                <w:szCs w:val="12"/>
                <w:color w:val="auto"/>
              </w:rPr>
              <w:t>favour</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the</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Banks</w:t>
            </w:r>
          </w:p>
        </w:tc>
        <w:tc>
          <w:tcPr>
            <w:tcW w:w="3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for</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6"/>
          </w:tcPr>
          <w:p>
            <w:pPr>
              <w:spacing w:after="0"/>
              <w:rPr>
                <w:sz w:val="20"/>
                <w:szCs w:val="20"/>
                <w:color w:val="auto"/>
              </w:rPr>
            </w:pPr>
            <w:r>
              <w:rPr>
                <w:rFonts w:ascii="Courier New" w:cs="Courier New" w:eastAsia="Courier New" w:hAnsi="Courier New"/>
                <w:sz w:val="12"/>
                <w:szCs w:val="12"/>
                <w:color w:val="auto"/>
                <w:w w:val="99"/>
              </w:rPr>
              <w:t>purposes of securing</w:t>
            </w:r>
          </w:p>
        </w:tc>
        <w:tc>
          <w:tcPr>
            <w:tcW w:w="4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any</w:t>
            </w:r>
          </w:p>
        </w:tc>
        <w:tc>
          <w:tcPr>
            <w:tcW w:w="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obligations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Courier New" w:cs="Courier New" w:eastAsia="Courier New" w:hAnsi="Courier New"/>
                <w:sz w:val="12"/>
                <w:szCs w:val="12"/>
                <w:color w:val="auto"/>
              </w:rPr>
              <w:t>and</w:t>
            </w:r>
          </w:p>
        </w:tc>
        <w:tc>
          <w:tcPr>
            <w:tcW w:w="2520" w:type="dxa"/>
            <w:vAlign w:val="bottom"/>
            <w:gridSpan w:val="11"/>
          </w:tcPr>
          <w:p>
            <w:pPr>
              <w:jc w:val="right"/>
              <w:spacing w:after="0"/>
              <w:rPr>
                <w:sz w:val="20"/>
                <w:szCs w:val="20"/>
                <w:color w:val="auto"/>
              </w:rPr>
            </w:pPr>
            <w:r>
              <w:rPr>
                <w:rFonts w:ascii="Courier New" w:cs="Courier New" w:eastAsia="Courier New" w:hAnsi="Courier New"/>
                <w:sz w:val="12"/>
                <w:szCs w:val="12"/>
                <w:color w:val="auto"/>
              </w:rPr>
              <w:t>liabilities of the Borrower under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gridSpan w:val="4"/>
          </w:tcPr>
          <w:p>
            <w:pPr>
              <w:spacing w:after="0"/>
              <w:rPr>
                <w:sz w:val="20"/>
                <w:szCs w:val="20"/>
                <w:color w:val="auto"/>
              </w:rPr>
            </w:pPr>
            <w:r>
              <w:rPr>
                <w:rFonts w:ascii="Courier New" w:cs="Courier New" w:eastAsia="Courier New" w:hAnsi="Courier New"/>
                <w:sz w:val="12"/>
                <w:szCs w:val="12"/>
                <w:color w:val="auto"/>
              </w:rPr>
              <w:t>the Finance</w:t>
            </w:r>
          </w:p>
        </w:tc>
        <w:tc>
          <w:tcPr>
            <w:tcW w:w="720" w:type="dxa"/>
            <w:vAlign w:val="bottom"/>
            <w:gridSpan w:val="3"/>
          </w:tcPr>
          <w:p>
            <w:pPr>
              <w:spacing w:after="0"/>
              <w:rPr>
                <w:sz w:val="20"/>
                <w:szCs w:val="20"/>
                <w:color w:val="auto"/>
              </w:rPr>
            </w:pPr>
            <w:r>
              <w:rPr>
                <w:rFonts w:ascii="Courier New" w:cs="Courier New" w:eastAsia="Courier New" w:hAnsi="Courier New"/>
                <w:sz w:val="12"/>
                <w:szCs w:val="12"/>
                <w:color w:val="auto"/>
              </w:rPr>
              <w:t>Documents</w:t>
            </w:r>
          </w:p>
        </w:tc>
        <w:tc>
          <w:tcPr>
            <w:tcW w:w="112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and in respect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Courier New" w:cs="Courier New" w:eastAsia="Courier New" w:hAnsi="Courier New"/>
                <w:sz w:val="12"/>
                <w:szCs w:val="12"/>
                <w:color w:val="auto"/>
              </w:rPr>
              <w:t>of</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any</w:t>
            </w:r>
          </w:p>
        </w:tc>
        <w:tc>
          <w:tcPr>
            <w:tcW w:w="160" w:type="dxa"/>
            <w:vAlign w:val="bottom"/>
          </w:tcPr>
          <w:p>
            <w:pPr>
              <w:spacing w:after="0"/>
              <w:rPr>
                <w:sz w:val="12"/>
                <w:szCs w:val="12"/>
                <w:color w:val="auto"/>
              </w:rPr>
            </w:pPr>
          </w:p>
        </w:tc>
        <w:tc>
          <w:tcPr>
            <w:tcW w:w="58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w w:val="94"/>
              </w:rPr>
              <w:t>other</w:t>
            </w: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w w:val="98"/>
              </w:rPr>
              <w:t>Permitted</w:t>
            </w:r>
          </w:p>
        </w:tc>
        <w:tc>
          <w:tcPr>
            <w:tcW w:w="22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Financial</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gridSpan w:val="4"/>
          </w:tcPr>
          <w:p>
            <w:pPr>
              <w:spacing w:after="0"/>
              <w:rPr>
                <w:sz w:val="20"/>
                <w:szCs w:val="20"/>
                <w:color w:val="auto"/>
              </w:rPr>
            </w:pPr>
            <w:r>
              <w:rPr>
                <w:rFonts w:ascii="Courier New" w:cs="Courier New" w:eastAsia="Courier New" w:hAnsi="Courier New"/>
                <w:sz w:val="12"/>
                <w:szCs w:val="12"/>
                <w:color w:val="auto"/>
              </w:rPr>
              <w:t>Indebtedness,</w:t>
            </w:r>
          </w:p>
        </w:tc>
        <w:tc>
          <w:tcPr>
            <w:tcW w:w="116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if any, made</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available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00" w:type="dxa"/>
            <w:vAlign w:val="bottom"/>
            <w:gridSpan w:val="11"/>
          </w:tcPr>
          <w:p>
            <w:pPr>
              <w:spacing w:after="0"/>
              <w:rPr>
                <w:sz w:val="20"/>
                <w:szCs w:val="20"/>
                <w:color w:val="auto"/>
              </w:rPr>
            </w:pPr>
            <w:r>
              <w:rPr>
                <w:rFonts w:ascii="Courier New" w:cs="Courier New" w:eastAsia="Courier New" w:hAnsi="Courier New"/>
                <w:sz w:val="12"/>
                <w:szCs w:val="12"/>
                <w:color w:val="auto"/>
              </w:rPr>
              <w:t>by the Banks to the Borrower; and</w:t>
            </w: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(f)</w:t>
            </w:r>
          </w:p>
        </w:tc>
        <w:tc>
          <w:tcPr>
            <w:tcW w:w="1680" w:type="dxa"/>
            <w:vAlign w:val="bottom"/>
            <w:gridSpan w:val="7"/>
          </w:tcPr>
          <w:p>
            <w:pPr>
              <w:spacing w:after="0"/>
              <w:rPr>
                <w:sz w:val="20"/>
                <w:szCs w:val="20"/>
                <w:color w:val="auto"/>
              </w:rPr>
            </w:pPr>
            <w:r>
              <w:rPr>
                <w:rFonts w:ascii="Courier New" w:cs="Courier New" w:eastAsia="Courier New" w:hAnsi="Courier New"/>
                <w:sz w:val="12"/>
                <w:szCs w:val="12"/>
                <w:color w:val="auto"/>
              </w:rPr>
              <w:t>[INTENTIONALLY DELETED]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(g)</w:t>
            </w:r>
          </w:p>
        </w:tc>
        <w:tc>
          <w:tcPr>
            <w:tcW w:w="2360" w:type="dxa"/>
            <w:vAlign w:val="bottom"/>
            <w:gridSpan w:val="10"/>
          </w:tcPr>
          <w:p>
            <w:pPr>
              <w:spacing w:after="0"/>
              <w:rPr>
                <w:sz w:val="20"/>
                <w:szCs w:val="20"/>
                <w:color w:val="auto"/>
              </w:rPr>
            </w:pPr>
            <w:r>
              <w:rPr>
                <w:rFonts w:ascii="Courier New" w:cs="Courier New" w:eastAsia="Courier New" w:hAnsi="Courier New"/>
                <w:sz w:val="12"/>
                <w:szCs w:val="12"/>
                <w:color w:val="auto"/>
              </w:rPr>
              <w:t>Outside Investment Undertakings;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25"/>
        </w:trPr>
        <w:tc>
          <w:tcPr>
            <w:tcW w:w="1100" w:type="dxa"/>
            <w:vAlign w:val="bottom"/>
          </w:tcPr>
          <w:p>
            <w:pPr>
              <w:spacing w:after="0"/>
              <w:rPr>
                <w:sz w:val="24"/>
                <w:szCs w:val="24"/>
                <w:color w:val="auto"/>
              </w:rPr>
            </w:pPr>
          </w:p>
        </w:tc>
        <w:tc>
          <w:tcPr>
            <w:tcW w:w="2580" w:type="dxa"/>
            <w:vAlign w:val="bottom"/>
          </w:tcPr>
          <w:p>
            <w:pPr>
              <w:ind w:left="1620"/>
              <w:spacing w:after="0"/>
              <w:rPr>
                <w:sz w:val="20"/>
                <w:szCs w:val="20"/>
                <w:color w:val="auto"/>
              </w:rPr>
            </w:pPr>
            <w:r>
              <w:rPr>
                <w:rFonts w:ascii="Courier New" w:cs="Courier New" w:eastAsia="Courier New" w:hAnsi="Courier New"/>
                <w:sz w:val="12"/>
                <w:szCs w:val="12"/>
                <w:color w:val="auto"/>
              </w:rPr>
              <w:t>- 65 -</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9"/>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1.1.133A.</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1.1.133B.</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1.1.134.</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1.1.135.</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"TAX ON OVERALL</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100" w:type="dxa"/>
            <w:vAlign w:val="bottom"/>
          </w:tcPr>
          <w:p>
            <w:pPr>
              <w:spacing w:after="0"/>
              <w:rPr>
                <w:sz w:val="12"/>
                <w:szCs w:val="12"/>
                <w:color w:val="auto"/>
              </w:rPr>
            </w:pP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NET INCOME"</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6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means an  income</w:t>
            </w: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tax or</w:t>
            </w:r>
          </w:p>
        </w:tc>
        <w:tc>
          <w:tcPr>
            <w:tcW w:w="660" w:type="dxa"/>
            <w:vAlign w:val="bottom"/>
            <w:gridSpan w:val="3"/>
          </w:tcPr>
          <w:p>
            <w:pPr>
              <w:ind w:left="160"/>
              <w:spacing w:after="0"/>
              <w:rPr>
                <w:sz w:val="20"/>
                <w:szCs w:val="20"/>
                <w:color w:val="auto"/>
              </w:rPr>
            </w:pPr>
            <w:r>
              <w:rPr>
                <w:rFonts w:ascii="Courier New" w:cs="Courier New" w:eastAsia="Courier New" w:hAnsi="Courier New"/>
                <w:sz w:val="12"/>
                <w:szCs w:val="12"/>
                <w:color w:val="auto"/>
                <w:w w:val="95"/>
              </w:rPr>
              <w:t>capital</w:t>
            </w:r>
          </w:p>
        </w:tc>
        <w:tc>
          <w:tcPr>
            <w:tcW w:w="60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gains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tax</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0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including income tax on interest;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1.1.136.</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"TAXES"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means</w:t>
            </w:r>
          </w:p>
        </w:tc>
        <w:tc>
          <w:tcPr>
            <w:tcW w:w="280" w:type="dxa"/>
            <w:vAlign w:val="bottom"/>
          </w:tcPr>
          <w:p>
            <w:pPr>
              <w:ind w:left="60"/>
              <w:spacing w:after="0"/>
              <w:rPr>
                <w:sz w:val="20"/>
                <w:szCs w:val="20"/>
                <w:color w:val="auto"/>
              </w:rPr>
            </w:pPr>
            <w:r>
              <w:rPr>
                <w:rFonts w:ascii="Courier New" w:cs="Courier New" w:eastAsia="Courier New" w:hAnsi="Courier New"/>
                <w:sz w:val="12"/>
                <w:szCs w:val="12"/>
                <w:color w:val="auto"/>
                <w:w w:val="92"/>
              </w:rPr>
              <w:t>all</w:t>
            </w:r>
          </w:p>
        </w:tc>
        <w:tc>
          <w:tcPr>
            <w:tcW w:w="22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Courier New" w:cs="Courier New" w:eastAsia="Courier New" w:hAnsi="Courier New"/>
                <w:sz w:val="12"/>
                <w:szCs w:val="12"/>
                <w:color w:val="auto"/>
              </w:rPr>
              <w:t>income</w:t>
            </w:r>
          </w:p>
        </w:tc>
        <w:tc>
          <w:tcPr>
            <w:tcW w:w="28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and</w:t>
            </w:r>
          </w:p>
        </w:tc>
        <w:tc>
          <w:tcPr>
            <w:tcW w:w="2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other</w:t>
            </w:r>
          </w:p>
        </w:tc>
        <w:tc>
          <w:tcPr>
            <w:tcW w:w="24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taxes,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including,</w:t>
            </w:r>
          </w:p>
        </w:tc>
        <w:tc>
          <w:tcPr>
            <w:tcW w:w="680" w:type="dxa"/>
            <w:vAlign w:val="bottom"/>
            <w:gridSpan w:val="3"/>
          </w:tcPr>
          <w:p>
            <w:pPr>
              <w:jc w:val="right"/>
              <w:ind w:right="99"/>
              <w:spacing w:after="0"/>
              <w:rPr>
                <w:sz w:val="20"/>
                <w:szCs w:val="20"/>
                <w:color w:val="auto"/>
              </w:rPr>
            </w:pPr>
            <w:r>
              <w:rPr>
                <w:rFonts w:ascii="Courier New" w:cs="Courier New" w:eastAsia="Courier New" w:hAnsi="Courier New"/>
                <w:sz w:val="12"/>
                <w:szCs w:val="12"/>
                <w:color w:val="auto"/>
              </w:rPr>
              <w:t>taxes</w:t>
            </w:r>
          </w:p>
        </w:tc>
        <w:tc>
          <w:tcPr>
            <w:tcW w:w="280" w:type="dxa"/>
            <w:vAlign w:val="bottom"/>
          </w:tcPr>
          <w:p>
            <w:pPr>
              <w:spacing w:after="0"/>
              <w:rPr>
                <w:sz w:val="20"/>
                <w:szCs w:val="20"/>
                <w:color w:val="auto"/>
              </w:rPr>
            </w:pPr>
            <w:r>
              <w:rPr>
                <w:rFonts w:ascii="Courier New" w:cs="Courier New" w:eastAsia="Courier New" w:hAnsi="Courier New"/>
                <w:sz w:val="12"/>
                <w:szCs w:val="12"/>
                <w:color w:val="auto"/>
              </w:rPr>
              <w:t>or</w:t>
            </w: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charges</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w w:val="82"/>
              </w:rPr>
              <w:t>on</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capital</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gains,</w:t>
            </w:r>
          </w:p>
        </w:tc>
        <w:tc>
          <w:tcPr>
            <w:tcW w:w="66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profits,</w:t>
            </w:r>
          </w:p>
        </w:tc>
        <w:tc>
          <w:tcPr>
            <w:tcW w:w="10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value-added</w:t>
            </w: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4"/>
              </w:rPr>
              <w:t>taxes</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and all</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other</w:t>
            </w:r>
          </w:p>
        </w:tc>
        <w:tc>
          <w:tcPr>
            <w:tcW w:w="50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taxes</w:t>
            </w:r>
          </w:p>
        </w:tc>
        <w:tc>
          <w:tcPr>
            <w:tcW w:w="4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of</w:t>
            </w:r>
          </w:p>
        </w:tc>
        <w:tc>
          <w:tcPr>
            <w:tcW w:w="1840" w:type="dxa"/>
            <w:vAlign w:val="bottom"/>
            <w:gridSpan w:val="8"/>
          </w:tcPr>
          <w:p>
            <w:pPr>
              <w:spacing w:after="0"/>
              <w:rPr>
                <w:sz w:val="20"/>
                <w:szCs w:val="20"/>
                <w:color w:val="auto"/>
              </w:rPr>
            </w:pPr>
            <w:r>
              <w:rPr>
                <w:rFonts w:ascii="Courier New" w:cs="Courier New" w:eastAsia="Courier New" w:hAnsi="Courier New"/>
                <w:sz w:val="12"/>
                <w:szCs w:val="12"/>
                <w:color w:val="auto"/>
              </w:rPr>
              <w:t>whatsoever   nature   and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w w:val="99"/>
              </w:rPr>
              <w:t>levies,</w:t>
            </w:r>
          </w:p>
        </w:tc>
        <w:tc>
          <w:tcPr>
            <w:tcW w:w="960" w:type="dxa"/>
            <w:vAlign w:val="bottom"/>
            <w:gridSpan w:val="4"/>
          </w:tcPr>
          <w:p>
            <w:pPr>
              <w:jc w:val="right"/>
              <w:ind w:right="99"/>
              <w:spacing w:after="0"/>
              <w:rPr>
                <w:sz w:val="20"/>
                <w:szCs w:val="20"/>
                <w:color w:val="auto"/>
              </w:rPr>
            </w:pPr>
            <w:r>
              <w:rPr>
                <w:rFonts w:ascii="Courier New" w:cs="Courier New" w:eastAsia="Courier New" w:hAnsi="Courier New"/>
                <w:sz w:val="12"/>
                <w:szCs w:val="12"/>
                <w:color w:val="auto"/>
              </w:rPr>
              <w:t>imposts,</w:t>
            </w:r>
          </w:p>
        </w:tc>
        <w:tc>
          <w:tcPr>
            <w:tcW w:w="500" w:type="dxa"/>
            <w:vAlign w:val="bottom"/>
            <w:gridSpan w:val="2"/>
          </w:tcPr>
          <w:p>
            <w:pPr>
              <w:spacing w:after="0"/>
              <w:rPr>
                <w:sz w:val="20"/>
                <w:szCs w:val="20"/>
                <w:color w:val="auto"/>
              </w:rPr>
            </w:pPr>
            <w:r>
              <w:rPr>
                <w:rFonts w:ascii="Courier New" w:cs="Courier New" w:eastAsia="Courier New" w:hAnsi="Courier New"/>
                <w:sz w:val="12"/>
                <w:szCs w:val="12"/>
                <w:color w:val="auto"/>
              </w:rPr>
              <w:t>duties</w:t>
            </w:r>
          </w:p>
        </w:tc>
        <w:tc>
          <w:tcPr>
            <w:tcW w:w="90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(including</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stamp</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duty),</w:t>
            </w:r>
          </w:p>
        </w:tc>
        <w:tc>
          <w:tcPr>
            <w:tcW w:w="66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charges,</w:t>
            </w:r>
          </w:p>
        </w:tc>
        <w:tc>
          <w:tcPr>
            <w:tcW w:w="2140" w:type="dxa"/>
            <w:vAlign w:val="bottom"/>
            <w:gridSpan w:val="9"/>
          </w:tcPr>
          <w:p>
            <w:pPr>
              <w:jc w:val="right"/>
              <w:spacing w:after="0"/>
              <w:rPr>
                <w:sz w:val="20"/>
                <w:szCs w:val="20"/>
                <w:color w:val="auto"/>
              </w:rPr>
            </w:pPr>
            <w:r>
              <w:rPr>
                <w:rFonts w:ascii="Courier New" w:cs="Courier New" w:eastAsia="Courier New" w:hAnsi="Courier New"/>
                <w:sz w:val="12"/>
                <w:szCs w:val="12"/>
                <w:color w:val="auto"/>
              </w:rPr>
              <w:t>deductions and withholdings</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gridSpan w:val="13"/>
          </w:tcPr>
          <w:p>
            <w:pPr>
              <w:ind w:left="80"/>
              <w:spacing w:after="0"/>
              <w:rPr>
                <w:sz w:val="20"/>
                <w:szCs w:val="20"/>
                <w:color w:val="auto"/>
              </w:rPr>
            </w:pPr>
            <w:r>
              <w:rPr>
                <w:rFonts w:ascii="Courier New" w:cs="Courier New" w:eastAsia="Courier New" w:hAnsi="Courier New"/>
                <w:sz w:val="12"/>
                <w:szCs w:val="12"/>
                <w:color w:val="auto"/>
              </w:rPr>
              <w:t>in  the  nature  of or  on  account  of  tax,</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together</w:t>
            </w:r>
          </w:p>
        </w:tc>
        <w:tc>
          <w:tcPr>
            <w:tcW w:w="38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7"/>
              </w:rPr>
              <w:t>with</w:t>
            </w:r>
          </w:p>
        </w:tc>
        <w:tc>
          <w:tcPr>
            <w:tcW w:w="300" w:type="dxa"/>
            <w:vAlign w:val="bottom"/>
          </w:tcPr>
          <w:p>
            <w:pPr>
              <w:spacing w:after="0"/>
              <w:rPr>
                <w:sz w:val="12"/>
                <w:szCs w:val="12"/>
                <w:color w:val="auto"/>
              </w:rPr>
            </w:pPr>
          </w:p>
        </w:tc>
        <w:tc>
          <w:tcPr>
            <w:tcW w:w="720" w:type="dxa"/>
            <w:vAlign w:val="bottom"/>
            <w:gridSpan w:val="3"/>
          </w:tcPr>
          <w:p>
            <w:pPr>
              <w:spacing w:after="0"/>
              <w:rPr>
                <w:sz w:val="20"/>
                <w:szCs w:val="20"/>
                <w:color w:val="auto"/>
              </w:rPr>
            </w:pPr>
            <w:r>
              <w:rPr>
                <w:rFonts w:ascii="Courier New" w:cs="Courier New" w:eastAsia="Courier New" w:hAnsi="Courier New"/>
                <w:sz w:val="12"/>
                <w:szCs w:val="12"/>
                <w:color w:val="auto"/>
              </w:rPr>
              <w:t>Interest</w:t>
            </w:r>
          </w:p>
        </w:tc>
        <w:tc>
          <w:tcPr>
            <w:tcW w:w="680" w:type="dxa"/>
            <w:vAlign w:val="bottom"/>
            <w:gridSpan w:val="3"/>
          </w:tcPr>
          <w:p>
            <w:pPr>
              <w:ind w:left="160"/>
              <w:spacing w:after="0"/>
              <w:rPr>
                <w:sz w:val="20"/>
                <w:szCs w:val="20"/>
                <w:color w:val="auto"/>
              </w:rPr>
            </w:pPr>
            <w:r>
              <w:rPr>
                <w:rFonts w:ascii="Courier New" w:cs="Courier New" w:eastAsia="Courier New" w:hAnsi="Courier New"/>
                <w:sz w:val="12"/>
                <w:szCs w:val="12"/>
                <w:color w:val="auto"/>
                <w:w w:val="99"/>
              </w:rPr>
              <w:t>thereon</w:t>
            </w:r>
          </w:p>
        </w:tc>
        <w:tc>
          <w:tcPr>
            <w:tcW w:w="1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0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penalties and fees with respect</w:t>
            </w: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thereto,</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if</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any, and any</w:t>
            </w:r>
          </w:p>
        </w:tc>
        <w:tc>
          <w:tcPr>
            <w:tcW w:w="740" w:type="dxa"/>
            <w:vAlign w:val="bottom"/>
            <w:gridSpan w:val="3"/>
          </w:tcPr>
          <w:p>
            <w:pPr>
              <w:spacing w:after="0"/>
              <w:rPr>
                <w:sz w:val="20"/>
                <w:szCs w:val="20"/>
                <w:color w:val="auto"/>
              </w:rPr>
            </w:pPr>
            <w:r>
              <w:rPr>
                <w:rFonts w:ascii="Courier New" w:cs="Courier New" w:eastAsia="Courier New" w:hAnsi="Courier New"/>
                <w:sz w:val="12"/>
                <w:szCs w:val="12"/>
                <w:color w:val="auto"/>
              </w:rPr>
              <w:t>payments</w:t>
            </w:r>
          </w:p>
        </w:tc>
        <w:tc>
          <w:tcPr>
            <w:tcW w:w="156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made on or in respect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w w:val="99"/>
              </w:rPr>
              <w:t>thereof</w:t>
            </w:r>
          </w:p>
        </w:tc>
        <w:tc>
          <w:tcPr>
            <w:tcW w:w="5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and</w:t>
            </w:r>
          </w:p>
        </w:tc>
        <w:tc>
          <w:tcPr>
            <w:tcW w:w="740" w:type="dxa"/>
            <w:vAlign w:val="bottom"/>
            <w:gridSpan w:val="3"/>
          </w:tcPr>
          <w:p>
            <w:pPr>
              <w:spacing w:after="0"/>
              <w:rPr>
                <w:sz w:val="20"/>
                <w:szCs w:val="20"/>
                <w:color w:val="auto"/>
              </w:rPr>
            </w:pPr>
            <w:r>
              <w:rPr>
                <w:rFonts w:ascii="Courier New" w:cs="Courier New" w:eastAsia="Courier New" w:hAnsi="Courier New"/>
                <w:sz w:val="12"/>
                <w:szCs w:val="12"/>
                <w:color w:val="auto"/>
              </w:rPr>
              <w:t>"TAX" and</w:t>
            </w:r>
          </w:p>
        </w:tc>
        <w:tc>
          <w:tcPr>
            <w:tcW w:w="8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"TAXATION"</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shall be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construed accordingly;</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1.1.137.</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Courier New" w:cs="Courier New" w:eastAsia="Courier New" w:hAnsi="Courier New"/>
                <w:sz w:val="12"/>
                <w:szCs w:val="12"/>
                <w:color w:val="auto"/>
              </w:rPr>
              <w:t>1.1.138.</w:t>
            </w:r>
          </w:p>
        </w:tc>
        <w:tc>
          <w:tcPr>
            <w:tcW w:w="2580" w:type="dxa"/>
            <w:vAlign w:val="bottom"/>
          </w:tcPr>
          <w:p>
            <w:pPr>
              <w:ind w:left="440"/>
              <w:spacing w:after="0"/>
              <w:rPr>
                <w:sz w:val="20"/>
                <w:szCs w:val="20"/>
                <w:color w:val="auto"/>
              </w:rPr>
            </w:pPr>
            <w:r>
              <w:rPr>
                <w:rFonts w:ascii="Courier New" w:cs="Courier New" w:eastAsia="Courier New" w:hAnsi="Courier New"/>
                <w:sz w:val="12"/>
                <w:szCs w:val="12"/>
                <w:color w:val="auto"/>
              </w:rPr>
              <w:t>"THREATENED"</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a  claim,</w:t>
            </w:r>
          </w:p>
        </w:tc>
        <w:tc>
          <w:tcPr>
            <w:tcW w:w="960" w:type="dxa"/>
            <w:vAlign w:val="bottom"/>
            <w:gridSpan w:val="4"/>
          </w:tcPr>
          <w:p>
            <w:pPr>
              <w:jc w:val="right"/>
              <w:ind w:right="79"/>
              <w:spacing w:after="0"/>
              <w:rPr>
                <w:sz w:val="20"/>
                <w:szCs w:val="20"/>
                <w:color w:val="auto"/>
              </w:rPr>
            </w:pPr>
            <w:r>
              <w:rPr>
                <w:rFonts w:ascii="Courier New" w:cs="Courier New" w:eastAsia="Courier New" w:hAnsi="Courier New"/>
                <w:sz w:val="12"/>
                <w:szCs w:val="12"/>
                <w:color w:val="auto"/>
              </w:rPr>
              <w:t>Proceeding,</w:t>
            </w: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dispute,</w:t>
            </w:r>
          </w:p>
        </w:tc>
        <w:tc>
          <w:tcPr>
            <w:tcW w:w="600" w:type="dxa"/>
            <w:vAlign w:val="bottom"/>
            <w:gridSpan w:val="3"/>
          </w:tcPr>
          <w:p>
            <w:pPr>
              <w:ind w:left="160"/>
              <w:spacing w:after="0"/>
              <w:rPr>
                <w:sz w:val="20"/>
                <w:szCs w:val="20"/>
                <w:color w:val="auto"/>
              </w:rPr>
            </w:pPr>
            <w:r>
              <w:rPr>
                <w:rFonts w:ascii="Courier New" w:cs="Courier New" w:eastAsia="Courier New" w:hAnsi="Courier New"/>
                <w:sz w:val="12"/>
                <w:szCs w:val="12"/>
                <w:color w:val="auto"/>
                <w:w w:val="97"/>
              </w:rPr>
              <w:t>action</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other</w:t>
            </w:r>
          </w:p>
        </w:tc>
        <w:tc>
          <w:tcPr>
            <w:tcW w:w="500" w:type="dxa"/>
            <w:vAlign w:val="bottom"/>
            <w:gridSpan w:val="2"/>
          </w:tcPr>
          <w:p>
            <w:pPr>
              <w:spacing w:after="0"/>
              <w:rPr>
                <w:sz w:val="20"/>
                <w:szCs w:val="20"/>
                <w:color w:val="auto"/>
              </w:rPr>
            </w:pPr>
            <w:r>
              <w:rPr>
                <w:rFonts w:ascii="Courier New" w:cs="Courier New" w:eastAsia="Courier New" w:hAnsi="Courier New"/>
                <w:sz w:val="12"/>
                <w:szCs w:val="12"/>
                <w:color w:val="auto"/>
              </w:rPr>
              <w:t>matter</w:t>
            </w:r>
          </w:p>
        </w:tc>
        <w:tc>
          <w:tcPr>
            <w:tcW w:w="74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rPr>
              <w:t>will be</w:t>
            </w:r>
          </w:p>
        </w:tc>
        <w:tc>
          <w:tcPr>
            <w:tcW w:w="440" w:type="dxa"/>
            <w:vAlign w:val="bottom"/>
            <w:gridSpan w:val="2"/>
          </w:tcPr>
          <w:p>
            <w:pPr>
              <w:spacing w:after="0"/>
              <w:rPr>
                <w:sz w:val="20"/>
                <w:szCs w:val="20"/>
                <w:color w:val="auto"/>
              </w:rPr>
            </w:pPr>
            <w:r>
              <w:rPr>
                <w:rFonts w:ascii="Courier New" w:cs="Courier New" w:eastAsia="Courier New" w:hAnsi="Courier New"/>
                <w:sz w:val="12"/>
                <w:szCs w:val="12"/>
                <w:color w:val="auto"/>
                <w:w w:val="97"/>
              </w:rPr>
              <w:t>deemed</w:t>
            </w:r>
          </w:p>
        </w:tc>
        <w:tc>
          <w:tcPr>
            <w:tcW w:w="680" w:type="dxa"/>
            <w:vAlign w:val="bottom"/>
            <w:gridSpan w:val="3"/>
          </w:tcPr>
          <w:p>
            <w:pPr>
              <w:ind w:left="160"/>
              <w:spacing w:after="0"/>
              <w:rPr>
                <w:sz w:val="20"/>
                <w:szCs w:val="20"/>
                <w:color w:val="auto"/>
              </w:rPr>
            </w:pPr>
            <w:r>
              <w:rPr>
                <w:rFonts w:ascii="Courier New" w:cs="Courier New" w:eastAsia="Courier New" w:hAnsi="Courier New"/>
                <w:sz w:val="12"/>
                <w:szCs w:val="12"/>
                <w:color w:val="auto"/>
                <w:w w:val="99"/>
              </w:rPr>
              <w:t>to have</w:t>
            </w:r>
          </w:p>
        </w:tc>
        <w:tc>
          <w:tcPr>
            <w:tcW w:w="1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been</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"Threatened" if either:</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(a)</w:t>
            </w:r>
          </w:p>
        </w:tc>
        <w:tc>
          <w:tcPr>
            <w:tcW w:w="1680" w:type="dxa"/>
            <w:vAlign w:val="bottom"/>
            <w:gridSpan w:val="7"/>
          </w:tcPr>
          <w:p>
            <w:pPr>
              <w:spacing w:after="0"/>
              <w:rPr>
                <w:sz w:val="20"/>
                <w:szCs w:val="20"/>
                <w:color w:val="auto"/>
              </w:rPr>
            </w:pPr>
            <w:r>
              <w:rPr>
                <w:rFonts w:ascii="Courier New" w:cs="Courier New" w:eastAsia="Courier New" w:hAnsi="Courier New"/>
                <w:sz w:val="12"/>
                <w:szCs w:val="12"/>
                <w:color w:val="auto"/>
              </w:rPr>
              <w:t>any demand or statement</w:t>
            </w:r>
          </w:p>
        </w:tc>
        <w:tc>
          <w:tcPr>
            <w:tcW w:w="112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has been made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0" w:type="dxa"/>
            <w:vAlign w:val="bottom"/>
            <w:gridSpan w:val="12"/>
          </w:tcPr>
          <w:p>
            <w:pPr>
              <w:spacing w:after="0"/>
              <w:rPr>
                <w:sz w:val="20"/>
                <w:szCs w:val="20"/>
                <w:color w:val="auto"/>
              </w:rPr>
            </w:pPr>
            <w:r>
              <w:rPr>
                <w:rFonts w:ascii="Courier New" w:cs="Courier New" w:eastAsia="Courier New" w:hAnsi="Courier New"/>
                <w:sz w:val="12"/>
                <w:szCs w:val="12"/>
                <w:color w:val="auto"/>
              </w:rPr>
              <w:t>in  writing  or any  notice  has  been</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given in</w:t>
            </w: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writing</w:t>
            </w:r>
          </w:p>
        </w:tc>
        <w:tc>
          <w:tcPr>
            <w:tcW w:w="112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or any other</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event</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Courier New" w:cs="Courier New" w:eastAsia="Courier New" w:hAnsi="Courier New"/>
                <w:sz w:val="12"/>
                <w:szCs w:val="12"/>
                <w:color w:val="auto"/>
              </w:rPr>
              <w:t>has</w:t>
            </w:r>
          </w:p>
        </w:tc>
        <w:tc>
          <w:tcPr>
            <w:tcW w:w="22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occurred</w:t>
            </w: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6"/>
              </w:rPr>
              <w:t>or</w:t>
            </w:r>
          </w:p>
        </w:tc>
        <w:tc>
          <w:tcPr>
            <w:tcW w:w="2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any</w:t>
            </w:r>
          </w:p>
        </w:tc>
        <w:tc>
          <w:tcPr>
            <w:tcW w:w="24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other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0" w:type="dxa"/>
            <w:vAlign w:val="bottom"/>
            <w:gridSpan w:val="12"/>
          </w:tcPr>
          <w:p>
            <w:pPr>
              <w:spacing w:after="0"/>
              <w:rPr>
                <w:sz w:val="20"/>
                <w:szCs w:val="20"/>
                <w:color w:val="auto"/>
              </w:rPr>
            </w:pPr>
            <w:r>
              <w:rPr>
                <w:rFonts w:ascii="Courier New" w:cs="Courier New" w:eastAsia="Courier New" w:hAnsi="Courier New"/>
                <w:sz w:val="12"/>
                <w:szCs w:val="12"/>
                <w:color w:val="auto"/>
              </w:rPr>
              <w:t>circumstance  exists,  that  leads any</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gridSpan w:val="2"/>
          </w:tcPr>
          <w:p>
            <w:pPr>
              <w:spacing w:after="0"/>
              <w:rPr>
                <w:sz w:val="20"/>
                <w:szCs w:val="20"/>
                <w:color w:val="auto"/>
              </w:rPr>
            </w:pPr>
            <w:r>
              <w:rPr>
                <w:rFonts w:ascii="Courier New" w:cs="Courier New" w:eastAsia="Courier New" w:hAnsi="Courier New"/>
                <w:sz w:val="12"/>
                <w:szCs w:val="12"/>
                <w:color w:val="auto"/>
              </w:rPr>
              <w:t>Named</w:t>
            </w:r>
          </w:p>
        </w:tc>
        <w:tc>
          <w:tcPr>
            <w:tcW w:w="960" w:type="dxa"/>
            <w:vAlign w:val="bottom"/>
            <w:gridSpan w:val="4"/>
          </w:tcPr>
          <w:p>
            <w:pPr>
              <w:spacing w:after="0"/>
              <w:rPr>
                <w:sz w:val="20"/>
                <w:szCs w:val="20"/>
                <w:color w:val="auto"/>
              </w:rPr>
            </w:pPr>
            <w:r>
              <w:rPr>
                <w:rFonts w:ascii="Courier New" w:cs="Courier New" w:eastAsia="Courier New" w:hAnsi="Courier New"/>
                <w:sz w:val="12"/>
                <w:szCs w:val="12"/>
                <w:color w:val="auto"/>
              </w:rPr>
              <w:t>Officer and</w:t>
            </w: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Director</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actually</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Courier New" w:cs="Courier New" w:eastAsia="Courier New" w:hAnsi="Courier New"/>
                <w:sz w:val="12"/>
                <w:szCs w:val="12"/>
                <w:color w:val="auto"/>
              </w:rPr>
              <w:t>to</w:t>
            </w:r>
          </w:p>
        </w:tc>
        <w:tc>
          <w:tcPr>
            <w:tcW w:w="680" w:type="dxa"/>
            <w:vAlign w:val="bottom"/>
            <w:gridSpan w:val="3"/>
          </w:tcPr>
          <w:p>
            <w:pPr>
              <w:jc w:val="right"/>
              <w:ind w:right="99"/>
              <w:spacing w:after="0"/>
              <w:rPr>
                <w:sz w:val="20"/>
                <w:szCs w:val="20"/>
                <w:color w:val="auto"/>
              </w:rPr>
            </w:pPr>
            <w:r>
              <w:rPr>
                <w:rFonts w:ascii="Courier New" w:cs="Courier New" w:eastAsia="Courier New" w:hAnsi="Courier New"/>
                <w:sz w:val="12"/>
                <w:szCs w:val="12"/>
                <w:color w:val="auto"/>
                <w:w w:val="99"/>
              </w:rPr>
              <w:t>believe</w:t>
            </w:r>
          </w:p>
        </w:tc>
        <w:tc>
          <w:tcPr>
            <w:tcW w:w="1840" w:type="dxa"/>
            <w:vAlign w:val="bottom"/>
            <w:gridSpan w:val="8"/>
          </w:tcPr>
          <w:p>
            <w:pPr>
              <w:spacing w:after="0"/>
              <w:rPr>
                <w:sz w:val="20"/>
                <w:szCs w:val="20"/>
                <w:color w:val="auto"/>
              </w:rPr>
            </w:pPr>
            <w:r>
              <w:rPr>
                <w:rFonts w:ascii="Courier New" w:cs="Courier New" w:eastAsia="Courier New" w:hAnsi="Courier New"/>
                <w:sz w:val="12"/>
                <w:szCs w:val="12"/>
                <w:color w:val="auto"/>
              </w:rPr>
              <w:t>that such a claim will be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0" w:type="dxa"/>
            <w:vAlign w:val="bottom"/>
            <w:gridSpan w:val="12"/>
          </w:tcPr>
          <w:p>
            <w:pPr>
              <w:spacing w:after="0"/>
              <w:rPr>
                <w:sz w:val="20"/>
                <w:szCs w:val="20"/>
                <w:color w:val="auto"/>
              </w:rPr>
            </w:pPr>
            <w:r>
              <w:rPr>
                <w:rFonts w:ascii="Courier New" w:cs="Courier New" w:eastAsia="Courier New" w:hAnsi="Courier New"/>
                <w:sz w:val="12"/>
                <w:szCs w:val="12"/>
                <w:color w:val="auto"/>
              </w:rPr>
              <w:t>filed  or  otherwise  pursued  in  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gridSpan w:val="4"/>
          </w:tcPr>
          <w:p>
            <w:pPr>
              <w:spacing w:after="0"/>
              <w:rPr>
                <w:sz w:val="20"/>
                <w:szCs w:val="20"/>
                <w:color w:val="auto"/>
              </w:rPr>
            </w:pPr>
            <w:r>
              <w:rPr>
                <w:rFonts w:ascii="Courier New" w:cs="Courier New" w:eastAsia="Courier New" w:hAnsi="Courier New"/>
                <w:sz w:val="12"/>
                <w:szCs w:val="12"/>
                <w:color w:val="auto"/>
              </w:rPr>
              <w:t>future; or</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3"/>
        </w:trPr>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(b)</w:t>
            </w:r>
          </w:p>
        </w:tc>
        <w:tc>
          <w:tcPr>
            <w:tcW w:w="1680" w:type="dxa"/>
            <w:vAlign w:val="bottom"/>
            <w:gridSpan w:val="7"/>
          </w:tcPr>
          <w:p>
            <w:pPr>
              <w:spacing w:after="0"/>
              <w:rPr>
                <w:sz w:val="20"/>
                <w:szCs w:val="20"/>
                <w:color w:val="auto"/>
              </w:rPr>
            </w:pPr>
            <w:r>
              <w:rPr>
                <w:rFonts w:ascii="Courier New" w:cs="Courier New" w:eastAsia="Courier New" w:hAnsi="Courier New"/>
                <w:sz w:val="12"/>
                <w:szCs w:val="12"/>
                <w:color w:val="auto"/>
              </w:rPr>
              <w:t>any demand or statement</w:t>
            </w:r>
          </w:p>
        </w:tc>
        <w:tc>
          <w:tcPr>
            <w:tcW w:w="112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has been made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Courier New" w:cs="Courier New" w:eastAsia="Courier New" w:hAnsi="Courier New"/>
                <w:sz w:val="12"/>
                <w:szCs w:val="12"/>
                <w:color w:val="auto"/>
              </w:rPr>
              <w:t>in</w:t>
            </w:r>
          </w:p>
        </w:tc>
        <w:tc>
          <w:tcPr>
            <w:tcW w:w="680" w:type="dxa"/>
            <w:vAlign w:val="bottom"/>
            <w:gridSpan w:val="3"/>
          </w:tcPr>
          <w:p>
            <w:pPr>
              <w:jc w:val="right"/>
              <w:ind w:right="99"/>
              <w:spacing w:after="0"/>
              <w:rPr>
                <w:sz w:val="20"/>
                <w:szCs w:val="20"/>
                <w:color w:val="auto"/>
              </w:rPr>
            </w:pPr>
            <w:r>
              <w:rPr>
                <w:rFonts w:ascii="Courier New" w:cs="Courier New" w:eastAsia="Courier New" w:hAnsi="Courier New"/>
                <w:sz w:val="12"/>
                <w:szCs w:val="12"/>
                <w:color w:val="auto"/>
                <w:w w:val="99"/>
              </w:rPr>
              <w:t>writing</w:t>
            </w:r>
          </w:p>
        </w:tc>
        <w:tc>
          <w:tcPr>
            <w:tcW w:w="720" w:type="dxa"/>
            <w:vAlign w:val="bottom"/>
            <w:gridSpan w:val="3"/>
          </w:tcPr>
          <w:p>
            <w:pPr>
              <w:spacing w:after="0"/>
              <w:rPr>
                <w:sz w:val="20"/>
                <w:szCs w:val="20"/>
                <w:color w:val="auto"/>
              </w:rPr>
            </w:pPr>
            <w:r>
              <w:rPr>
                <w:rFonts w:ascii="Courier New" w:cs="Courier New" w:eastAsia="Courier New" w:hAnsi="Courier New"/>
                <w:sz w:val="12"/>
                <w:szCs w:val="12"/>
                <w:color w:val="auto"/>
              </w:rPr>
              <w:t>or orally</w:t>
            </w:r>
          </w:p>
        </w:tc>
        <w:tc>
          <w:tcPr>
            <w:tcW w:w="6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or any</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notice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2"/>
                <w:szCs w:val="12"/>
                <w:color w:val="auto"/>
              </w:rPr>
              <w:t>has been</w:t>
            </w:r>
          </w:p>
        </w:tc>
        <w:tc>
          <w:tcPr>
            <w:tcW w:w="80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given in</w:t>
            </w:r>
          </w:p>
        </w:tc>
        <w:tc>
          <w:tcPr>
            <w:tcW w:w="66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w w:val="99"/>
              </w:rPr>
              <w:t>writing</w:t>
            </w:r>
          </w:p>
        </w:tc>
        <w:tc>
          <w:tcPr>
            <w:tcW w:w="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or orally</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0" w:type="dxa"/>
            <w:vAlign w:val="bottom"/>
            <w:gridSpan w:val="12"/>
          </w:tcPr>
          <w:p>
            <w:pPr>
              <w:spacing w:after="0"/>
              <w:rPr>
                <w:sz w:val="20"/>
                <w:szCs w:val="20"/>
                <w:color w:val="auto"/>
              </w:rPr>
            </w:pPr>
            <w:r>
              <w:rPr>
                <w:rFonts w:ascii="Courier New" w:cs="Courier New" w:eastAsia="Courier New" w:hAnsi="Courier New"/>
                <w:sz w:val="12"/>
                <w:szCs w:val="12"/>
                <w:color w:val="auto"/>
              </w:rPr>
              <w:t>to  the  effect  that  such  a  claim,</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gridSpan w:val="4"/>
          </w:tcPr>
          <w:p>
            <w:pPr>
              <w:spacing w:after="0"/>
              <w:rPr>
                <w:sz w:val="20"/>
                <w:szCs w:val="20"/>
                <w:color w:val="auto"/>
              </w:rPr>
            </w:pPr>
            <w:r>
              <w:rPr>
                <w:rFonts w:ascii="Courier New" w:cs="Courier New" w:eastAsia="Courier New" w:hAnsi="Courier New"/>
                <w:sz w:val="12"/>
                <w:szCs w:val="12"/>
                <w:color w:val="auto"/>
              </w:rPr>
              <w:t>Proceeding,</w:t>
            </w:r>
          </w:p>
        </w:tc>
        <w:tc>
          <w:tcPr>
            <w:tcW w:w="720" w:type="dxa"/>
            <w:vAlign w:val="bottom"/>
            <w:gridSpan w:val="3"/>
          </w:tcPr>
          <w:p>
            <w:pPr>
              <w:spacing w:after="0"/>
              <w:rPr>
                <w:sz w:val="20"/>
                <w:szCs w:val="20"/>
                <w:color w:val="auto"/>
              </w:rPr>
            </w:pPr>
            <w:r>
              <w:rPr>
                <w:rFonts w:ascii="Courier New" w:cs="Courier New" w:eastAsia="Courier New" w:hAnsi="Courier New"/>
                <w:sz w:val="12"/>
                <w:szCs w:val="12"/>
                <w:color w:val="auto"/>
              </w:rPr>
              <w:t>dispute,</w:t>
            </w:r>
          </w:p>
        </w:tc>
        <w:tc>
          <w:tcPr>
            <w:tcW w:w="11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action or other</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0" w:type="dxa"/>
            <w:vAlign w:val="bottom"/>
            <w:gridSpan w:val="12"/>
          </w:tcPr>
          <w:p>
            <w:pPr>
              <w:spacing w:after="0"/>
              <w:rPr>
                <w:sz w:val="20"/>
                <w:szCs w:val="20"/>
                <w:color w:val="auto"/>
              </w:rPr>
            </w:pPr>
            <w:r>
              <w:rPr>
                <w:rFonts w:ascii="Courier New" w:cs="Courier New" w:eastAsia="Courier New" w:hAnsi="Courier New"/>
                <w:sz w:val="12"/>
                <w:szCs w:val="12"/>
                <w:color w:val="auto"/>
              </w:rPr>
              <w:t>matter  will be  asserted,  commenced,</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0" w:type="dxa"/>
            <w:vAlign w:val="bottom"/>
            <w:gridSpan w:val="12"/>
          </w:tcPr>
          <w:p>
            <w:pPr>
              <w:spacing w:after="0"/>
              <w:rPr>
                <w:sz w:val="20"/>
                <w:szCs w:val="20"/>
                <w:color w:val="auto"/>
              </w:rPr>
            </w:pPr>
            <w:r>
              <w:rPr>
                <w:rFonts w:ascii="Courier New" w:cs="Courier New" w:eastAsia="Courier New" w:hAnsi="Courier New"/>
                <w:sz w:val="12"/>
                <w:szCs w:val="12"/>
                <w:color w:val="auto"/>
              </w:rPr>
              <w:t>taken  or  otherwise  pursued  in  the</w:t>
            </w:r>
          </w:p>
        </w:tc>
      </w:tr>
      <w:tr>
        <w:trPr>
          <w:trHeight w:val="142"/>
        </w:trPr>
        <w:tc>
          <w:tcPr>
            <w:tcW w:w="1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gridSpan w:val="2"/>
          </w:tcPr>
          <w:p>
            <w:pPr>
              <w:spacing w:after="0"/>
              <w:rPr>
                <w:sz w:val="20"/>
                <w:szCs w:val="20"/>
                <w:color w:val="auto"/>
              </w:rPr>
            </w:pPr>
            <w:r>
              <w:rPr>
                <w:rFonts w:ascii="Courier New" w:cs="Courier New" w:eastAsia="Courier New" w:hAnsi="Courier New"/>
                <w:sz w:val="12"/>
                <w:szCs w:val="12"/>
                <w:color w:val="auto"/>
                <w:w w:val="95"/>
              </w:rPr>
              <w:t>future;</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25"/>
        </w:trPr>
        <w:tc>
          <w:tcPr>
            <w:tcW w:w="1100" w:type="dxa"/>
            <w:vAlign w:val="bottom"/>
          </w:tcPr>
          <w:p>
            <w:pPr>
              <w:spacing w:after="0"/>
              <w:rPr>
                <w:sz w:val="24"/>
                <w:szCs w:val="24"/>
                <w:color w:val="auto"/>
              </w:rPr>
            </w:pPr>
          </w:p>
        </w:tc>
        <w:tc>
          <w:tcPr>
            <w:tcW w:w="2580" w:type="dxa"/>
            <w:vAlign w:val="bottom"/>
          </w:tcPr>
          <w:p>
            <w:pPr>
              <w:ind w:left="1620"/>
              <w:spacing w:after="0"/>
              <w:rPr>
                <w:sz w:val="20"/>
                <w:szCs w:val="20"/>
                <w:color w:val="auto"/>
              </w:rPr>
            </w:pPr>
            <w:r>
              <w:rPr>
                <w:rFonts w:ascii="Courier New" w:cs="Courier New" w:eastAsia="Courier New" w:hAnsi="Courier New"/>
                <w:sz w:val="12"/>
                <w:szCs w:val="12"/>
                <w:color w:val="auto"/>
              </w:rPr>
              <w:t>- 66 -</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0239"/>
          </w:cols>
          <w:pgMar w:left="220" w:top="283" w:right="1440" w:bottom="0" w:gutter="0" w:footer="0" w:header="0"/>
        </w:sectPr>
      </w:pPr>
    </w:p>
    <w:bookmarkStart w:id="100" w:name="page101"/>
    <w:bookmarkEnd w:id="100"/>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60" w:type="dxa"/>
            <w:vAlign w:val="bottom"/>
          </w:tcPr>
          <w:p>
            <w:pPr>
              <w:jc w:val="right"/>
              <w:ind w:right="419"/>
              <w:spacing w:after="0"/>
              <w:rPr>
                <w:sz w:val="20"/>
                <w:szCs w:val="20"/>
                <w:color w:val="auto"/>
              </w:rPr>
            </w:pPr>
            <w:r>
              <w:rPr>
                <w:rFonts w:ascii="Courier New" w:cs="Courier New" w:eastAsia="Courier New" w:hAnsi="Courier New"/>
                <w:sz w:val="12"/>
                <w:szCs w:val="12"/>
                <w:color w:val="auto"/>
                <w:w w:val="97"/>
              </w:rPr>
              <w:t>1.1.139.</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"TIC"</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140" w:type="dxa"/>
            <w:vAlign w:val="bottom"/>
          </w:tcPr>
          <w:p>
            <w:pPr>
              <w:spacing w:after="0"/>
              <w:rPr>
                <w:sz w:val="12"/>
                <w:szCs w:val="12"/>
                <w:color w:val="auto"/>
              </w:rPr>
            </w:pPr>
          </w:p>
        </w:tc>
        <w:tc>
          <w:tcPr>
            <w:tcW w:w="5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Israel</w:t>
            </w:r>
          </w:p>
        </w:tc>
        <w:tc>
          <w:tcPr>
            <w:tcW w:w="220" w:type="dxa"/>
            <w:vAlign w:val="bottom"/>
          </w:tcPr>
          <w:p>
            <w:pPr>
              <w:spacing w:after="0"/>
              <w:rPr>
                <w:sz w:val="12"/>
                <w:szCs w:val="12"/>
                <w:color w:val="auto"/>
              </w:rPr>
            </w:pPr>
          </w:p>
        </w:tc>
        <w:tc>
          <w:tcPr>
            <w:tcW w:w="800" w:type="dxa"/>
            <w:vAlign w:val="bottom"/>
            <w:gridSpan w:val="4"/>
          </w:tcPr>
          <w:p>
            <w:pPr>
              <w:spacing w:after="0"/>
              <w:rPr>
                <w:sz w:val="20"/>
                <w:szCs w:val="20"/>
                <w:color w:val="auto"/>
              </w:rPr>
            </w:pPr>
            <w:r>
              <w:rPr>
                <w:rFonts w:ascii="Courier New" w:cs="Courier New" w:eastAsia="Courier New" w:hAnsi="Courier New"/>
                <w:sz w:val="12"/>
                <w:szCs w:val="12"/>
                <w:color w:val="auto"/>
                <w:w w:val="98"/>
              </w:rPr>
              <w:t>Corporation</w:t>
            </w:r>
          </w:p>
        </w:tc>
        <w:tc>
          <w:tcPr>
            <w:tcW w:w="22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Ltd.,</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a</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company</w:t>
            </w:r>
          </w:p>
        </w:tc>
        <w:tc>
          <w:tcPr>
            <w:tcW w:w="220" w:type="dxa"/>
            <w:vAlign w:val="bottom"/>
          </w:tcPr>
          <w:p>
            <w:pPr>
              <w:spacing w:after="0"/>
              <w:rPr>
                <w:sz w:val="12"/>
                <w:szCs w:val="12"/>
                <w:color w:val="auto"/>
              </w:rPr>
            </w:pPr>
          </w:p>
        </w:tc>
        <w:tc>
          <w:tcPr>
            <w:tcW w:w="880" w:type="dxa"/>
            <w:vAlign w:val="bottom"/>
            <w:gridSpan w:val="5"/>
          </w:tcPr>
          <w:p>
            <w:pPr>
              <w:spacing w:after="0"/>
              <w:rPr>
                <w:sz w:val="20"/>
                <w:szCs w:val="20"/>
                <w:color w:val="auto"/>
              </w:rPr>
            </w:pPr>
            <w:r>
              <w:rPr>
                <w:rFonts w:ascii="Courier New" w:cs="Courier New" w:eastAsia="Courier New" w:hAnsi="Courier New"/>
                <w:sz w:val="12"/>
                <w:szCs w:val="12"/>
                <w:color w:val="auto"/>
                <w:w w:val="99"/>
              </w:rPr>
              <w:t>incorporated</w:t>
            </w:r>
          </w:p>
        </w:tc>
        <w:tc>
          <w:tcPr>
            <w:tcW w:w="22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w w:val="94"/>
              </w:rPr>
              <w:t>under</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the</w:t>
            </w:r>
          </w:p>
        </w:tc>
        <w:tc>
          <w:tcPr>
            <w:tcW w:w="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laws</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Israel;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83"/>
        </w:trPr>
        <w:tc>
          <w:tcPr>
            <w:tcW w:w="1060" w:type="dxa"/>
            <w:vAlign w:val="bottom"/>
          </w:tcPr>
          <w:p>
            <w:pPr>
              <w:jc w:val="right"/>
              <w:ind w:right="419"/>
              <w:spacing w:after="0"/>
              <w:rPr>
                <w:sz w:val="20"/>
                <w:szCs w:val="20"/>
                <w:color w:val="auto"/>
              </w:rPr>
            </w:pPr>
            <w:r>
              <w:rPr>
                <w:rFonts w:ascii="Courier New" w:cs="Courier New" w:eastAsia="Courier New" w:hAnsi="Courier New"/>
                <w:sz w:val="12"/>
                <w:szCs w:val="12"/>
                <w:color w:val="auto"/>
                <w:w w:val="97"/>
              </w:rPr>
              <w:t>1.1.140.</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"TOSHIBA"</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74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Toshiba</w:t>
            </w:r>
          </w:p>
        </w:tc>
        <w:tc>
          <w:tcPr>
            <w:tcW w:w="940" w:type="dxa"/>
            <w:vAlign w:val="bottom"/>
            <w:gridSpan w:val="5"/>
          </w:tcPr>
          <w:p>
            <w:pPr>
              <w:ind w:left="60"/>
              <w:spacing w:after="0"/>
              <w:rPr>
                <w:sz w:val="20"/>
                <w:szCs w:val="20"/>
                <w:color w:val="auto"/>
              </w:rPr>
            </w:pPr>
            <w:r>
              <w:rPr>
                <w:rFonts w:ascii="Courier New" w:cs="Courier New" w:eastAsia="Courier New" w:hAnsi="Courier New"/>
                <w:sz w:val="12"/>
                <w:szCs w:val="12"/>
                <w:color w:val="auto"/>
                <w:w w:val="99"/>
              </w:rPr>
              <w:t>Corporation,</w:t>
            </w:r>
          </w:p>
        </w:tc>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a</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company</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60" w:type="dxa"/>
            <w:vAlign w:val="bottom"/>
            <w:gridSpan w:val="14"/>
          </w:tcPr>
          <w:p>
            <w:pPr>
              <w:ind w:left="80"/>
              <w:spacing w:after="0"/>
              <w:rPr>
                <w:sz w:val="20"/>
                <w:szCs w:val="20"/>
                <w:color w:val="auto"/>
              </w:rPr>
            </w:pPr>
            <w:r>
              <w:rPr>
                <w:rFonts w:ascii="Courier New" w:cs="Courier New" w:eastAsia="Courier New" w:hAnsi="Courier New"/>
                <w:sz w:val="12"/>
                <w:szCs w:val="12"/>
                <w:color w:val="auto"/>
              </w:rPr>
              <w:t>incorporated under the laws of Japan;</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83"/>
        </w:trPr>
        <w:tc>
          <w:tcPr>
            <w:tcW w:w="1060" w:type="dxa"/>
            <w:vAlign w:val="bottom"/>
          </w:tcPr>
          <w:p>
            <w:pPr>
              <w:jc w:val="right"/>
              <w:ind w:right="419"/>
              <w:spacing w:after="0"/>
              <w:rPr>
                <w:sz w:val="20"/>
                <w:szCs w:val="20"/>
                <w:color w:val="auto"/>
              </w:rPr>
            </w:pPr>
            <w:r>
              <w:rPr>
                <w:rFonts w:ascii="Courier New" w:cs="Courier New" w:eastAsia="Courier New" w:hAnsi="Courier New"/>
                <w:sz w:val="12"/>
                <w:szCs w:val="12"/>
                <w:color w:val="auto"/>
                <w:w w:val="97"/>
              </w:rPr>
              <w:t>1.1.141.</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"TOSHIBA LICENCE</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42"/>
        </w:trPr>
        <w:tc>
          <w:tcPr>
            <w:tcW w:w="1060" w:type="dxa"/>
            <w:vAlign w:val="bottom"/>
          </w:tcPr>
          <w:p>
            <w:pPr>
              <w:spacing w:after="0"/>
              <w:rPr>
                <w:sz w:val="12"/>
                <w:szCs w:val="12"/>
                <w:color w:val="auto"/>
              </w:rPr>
            </w:pP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AGREEMENT"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140" w:type="dxa"/>
            <w:vAlign w:val="bottom"/>
          </w:tcPr>
          <w:p>
            <w:pPr>
              <w:spacing w:after="0"/>
              <w:rPr>
                <w:sz w:val="12"/>
                <w:szCs w:val="12"/>
                <w:color w:val="auto"/>
              </w:rPr>
            </w:pPr>
          </w:p>
        </w:tc>
        <w:tc>
          <w:tcPr>
            <w:tcW w:w="96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Technology</w:t>
            </w:r>
          </w:p>
        </w:tc>
        <w:tc>
          <w:tcPr>
            <w:tcW w:w="58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5"/>
              </w:rPr>
              <w:t>Licence</w:t>
            </w:r>
          </w:p>
        </w:tc>
        <w:tc>
          <w:tcPr>
            <w:tcW w:w="22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Agreement</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effective</w:t>
            </w:r>
          </w:p>
        </w:tc>
        <w:tc>
          <w:tcPr>
            <w:tcW w:w="52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as at</w:t>
            </w:r>
          </w:p>
        </w:tc>
        <w:tc>
          <w:tcPr>
            <w:tcW w:w="72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April 7,</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2000</w:t>
            </w:r>
          </w:p>
        </w:tc>
        <w:tc>
          <w:tcPr>
            <w:tcW w:w="96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between the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Borrower and Toshiba;</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83"/>
        </w:trPr>
        <w:tc>
          <w:tcPr>
            <w:tcW w:w="1060" w:type="dxa"/>
            <w:vAlign w:val="bottom"/>
          </w:tcPr>
          <w:p>
            <w:pPr>
              <w:jc w:val="right"/>
              <w:ind w:right="419"/>
              <w:spacing w:after="0"/>
              <w:rPr>
                <w:sz w:val="20"/>
                <w:szCs w:val="20"/>
                <w:color w:val="auto"/>
              </w:rPr>
            </w:pPr>
            <w:r>
              <w:rPr>
                <w:rFonts w:ascii="Courier New" w:cs="Courier New" w:eastAsia="Courier New" w:hAnsi="Courier New"/>
                <w:sz w:val="12"/>
                <w:szCs w:val="12"/>
                <w:color w:val="auto"/>
                <w:w w:val="97"/>
              </w:rPr>
              <w:t>1.1.142.</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"TOTAL DEBT"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2720" w:type="dxa"/>
            <w:vAlign w:val="bottom"/>
            <w:gridSpan w:val="13"/>
          </w:tcPr>
          <w:p>
            <w:pPr>
              <w:ind w:left="80"/>
              <w:spacing w:after="0"/>
              <w:rPr>
                <w:sz w:val="20"/>
                <w:szCs w:val="20"/>
                <w:color w:val="auto"/>
              </w:rPr>
            </w:pPr>
            <w:r>
              <w:rPr>
                <w:rFonts w:ascii="Courier New" w:cs="Courier New" w:eastAsia="Courier New" w:hAnsi="Courier New"/>
                <w:sz w:val="12"/>
                <w:szCs w:val="12"/>
                <w:color w:val="auto"/>
              </w:rPr>
              <w:t>means, for any Quarter, the sum of:</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83"/>
        </w:trPr>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(a)</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14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w w:val="99"/>
              </w:rPr>
              <w:t>Total</w:t>
            </w:r>
          </w:p>
        </w:tc>
        <w:tc>
          <w:tcPr>
            <w:tcW w:w="14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Courier New" w:cs="Courier New" w:eastAsia="Courier New" w:hAnsi="Courier New"/>
                <w:sz w:val="12"/>
                <w:szCs w:val="12"/>
                <w:color w:val="auto"/>
              </w:rPr>
              <w:t>Outstandings,</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as</w:t>
            </w:r>
          </w:p>
        </w:tc>
        <w:tc>
          <w:tcPr>
            <w:tcW w:w="3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at</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10"/>
          </w:tcPr>
          <w:p>
            <w:pPr>
              <w:spacing w:after="0"/>
              <w:rPr>
                <w:sz w:val="20"/>
                <w:szCs w:val="20"/>
                <w:color w:val="auto"/>
              </w:rPr>
            </w:pPr>
            <w:r>
              <w:rPr>
                <w:rFonts w:ascii="Courier New" w:cs="Courier New" w:eastAsia="Courier New" w:hAnsi="Courier New"/>
                <w:sz w:val="12"/>
                <w:szCs w:val="12"/>
                <w:color w:val="auto"/>
              </w:rPr>
              <w:t>last day of such Quarter;</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83"/>
        </w:trPr>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(b)</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the</w:t>
            </w:r>
          </w:p>
        </w:tc>
        <w:tc>
          <w:tcPr>
            <w:tcW w:w="140" w:type="dxa"/>
            <w:vAlign w:val="bottom"/>
          </w:tcPr>
          <w:p>
            <w:pPr>
              <w:spacing w:after="0"/>
              <w:rPr>
                <w:sz w:val="24"/>
                <w:szCs w:val="24"/>
                <w:color w:val="auto"/>
              </w:rPr>
            </w:pP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w w:val="99"/>
              </w:rPr>
              <w:t>balance</w:t>
            </w:r>
          </w:p>
        </w:tc>
        <w:tc>
          <w:tcPr>
            <w:tcW w:w="5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on the</w:t>
            </w:r>
          </w:p>
        </w:tc>
        <w:tc>
          <w:tcPr>
            <w:tcW w:w="140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last day of such</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60" w:type="dxa"/>
            <w:vAlign w:val="bottom"/>
            <w:gridSpan w:val="14"/>
          </w:tcPr>
          <w:p>
            <w:pPr>
              <w:spacing w:after="0"/>
              <w:rPr>
                <w:sz w:val="20"/>
                <w:szCs w:val="20"/>
                <w:color w:val="auto"/>
              </w:rPr>
            </w:pPr>
            <w:r>
              <w:rPr>
                <w:rFonts w:ascii="Courier New" w:cs="Courier New" w:eastAsia="Courier New" w:hAnsi="Courier New"/>
                <w:sz w:val="12"/>
                <w:szCs w:val="12"/>
                <w:color w:val="auto"/>
              </w:rPr>
              <w:t>Quarter  of  all  Permitted  Financial</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5"/>
          </w:tcPr>
          <w:p>
            <w:pPr>
              <w:spacing w:after="0"/>
              <w:rPr>
                <w:sz w:val="20"/>
                <w:szCs w:val="20"/>
                <w:color w:val="auto"/>
              </w:rPr>
            </w:pPr>
            <w:r>
              <w:rPr>
                <w:rFonts w:ascii="Courier New" w:cs="Courier New" w:eastAsia="Courier New" w:hAnsi="Courier New"/>
                <w:sz w:val="12"/>
                <w:szCs w:val="12"/>
                <w:color w:val="auto"/>
                <w:w w:val="99"/>
              </w:rPr>
              <w:t>Indebtedness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under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8"/>
          </w:tcPr>
          <w:p>
            <w:pPr>
              <w:spacing w:after="0"/>
              <w:rPr>
                <w:sz w:val="20"/>
                <w:szCs w:val="20"/>
                <w:color w:val="auto"/>
              </w:rPr>
            </w:pPr>
            <w:r>
              <w:rPr>
                <w:rFonts w:ascii="Courier New" w:cs="Courier New" w:eastAsia="Courier New" w:hAnsi="Courier New"/>
                <w:sz w:val="12"/>
                <w:szCs w:val="12"/>
                <w:color w:val="auto"/>
              </w:rPr>
              <w:t>clauses 1.1.115(b),</w:t>
            </w:r>
          </w:p>
        </w:tc>
        <w:tc>
          <w:tcPr>
            <w:tcW w:w="1040" w:type="dxa"/>
            <w:vAlign w:val="bottom"/>
            <w:gridSpan w:val="5"/>
          </w:tcPr>
          <w:p>
            <w:pPr>
              <w:jc w:val="right"/>
              <w:ind w:right="19"/>
              <w:spacing w:after="0"/>
              <w:rPr>
                <w:sz w:val="20"/>
                <w:szCs w:val="20"/>
                <w:color w:val="auto"/>
              </w:rPr>
            </w:pPr>
            <w:r>
              <w:rPr>
                <w:rFonts w:ascii="Courier New" w:cs="Courier New" w:eastAsia="Courier New" w:hAnsi="Courier New"/>
                <w:sz w:val="12"/>
                <w:szCs w:val="12"/>
                <w:color w:val="auto"/>
              </w:rPr>
              <w:t>(c) and (d),</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w w:val="94"/>
              </w:rPr>
              <w:t>under</w:t>
            </w:r>
          </w:p>
        </w:tc>
        <w:tc>
          <w:tcPr>
            <w:tcW w:w="140" w:type="dxa"/>
            <w:vAlign w:val="bottom"/>
          </w:tcPr>
          <w:p>
            <w:pPr>
              <w:spacing w:after="0"/>
              <w:rPr>
                <w:sz w:val="12"/>
                <w:szCs w:val="12"/>
                <w:color w:val="auto"/>
              </w:rPr>
            </w:pPr>
          </w:p>
        </w:tc>
        <w:tc>
          <w:tcPr>
            <w:tcW w:w="2360" w:type="dxa"/>
            <w:vAlign w:val="bottom"/>
            <w:gridSpan w:val="11"/>
          </w:tcPr>
          <w:p>
            <w:pPr>
              <w:spacing w:after="0"/>
              <w:rPr>
                <w:sz w:val="20"/>
                <w:szCs w:val="20"/>
                <w:color w:val="auto"/>
              </w:rPr>
            </w:pPr>
            <w:r>
              <w:rPr>
                <w:rFonts w:ascii="Courier New" w:cs="Courier New" w:eastAsia="Courier New" w:hAnsi="Courier New"/>
                <w:sz w:val="12"/>
                <w:szCs w:val="12"/>
                <w:color w:val="auto"/>
              </w:rPr>
              <w:t>clause 1.1.115(f) (with respect</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w w:val="95"/>
              </w:rPr>
              <w:t>to (f),</w:t>
            </w:r>
          </w:p>
        </w:tc>
        <w:tc>
          <w:tcPr>
            <w:tcW w:w="380" w:type="dxa"/>
            <w:vAlign w:val="bottom"/>
            <w:gridSpan w:val="2"/>
          </w:tcPr>
          <w:p>
            <w:pPr>
              <w:ind w:left="160"/>
              <w:spacing w:after="0"/>
              <w:rPr>
                <w:sz w:val="20"/>
                <w:szCs w:val="20"/>
                <w:color w:val="auto"/>
              </w:rPr>
            </w:pPr>
            <w:r>
              <w:rPr>
                <w:rFonts w:ascii="Courier New" w:cs="Courier New" w:eastAsia="Courier New" w:hAnsi="Courier New"/>
                <w:sz w:val="12"/>
                <w:szCs w:val="12"/>
                <w:color w:val="auto"/>
                <w:w w:val="92"/>
              </w:rPr>
              <w:t>for</w:t>
            </w:r>
          </w:p>
        </w:tc>
        <w:tc>
          <w:tcPr>
            <w:tcW w:w="1980" w:type="dxa"/>
            <w:vAlign w:val="bottom"/>
            <w:gridSpan w:val="9"/>
          </w:tcPr>
          <w:p>
            <w:pPr>
              <w:jc w:val="right"/>
              <w:spacing w:after="0"/>
              <w:rPr>
                <w:sz w:val="20"/>
                <w:szCs w:val="20"/>
                <w:color w:val="auto"/>
              </w:rPr>
            </w:pPr>
            <w:r>
              <w:rPr>
                <w:rFonts w:ascii="Courier New" w:cs="Courier New" w:eastAsia="Courier New" w:hAnsi="Courier New"/>
                <w:sz w:val="12"/>
                <w:szCs w:val="12"/>
                <w:color w:val="auto"/>
              </w:rPr>
              <w:t>periods of over 180 (one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w w:val="95"/>
              </w:rPr>
              <w:t>hundred</w:t>
            </w:r>
          </w:p>
        </w:tc>
        <w:tc>
          <w:tcPr>
            <w:tcW w:w="24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rPr>
              <w:t>and</w:t>
            </w:r>
          </w:p>
        </w:tc>
        <w:tc>
          <w:tcPr>
            <w:tcW w:w="58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5"/>
              </w:rPr>
              <w:t>eighty)</w:t>
            </w:r>
          </w:p>
        </w:tc>
        <w:tc>
          <w:tcPr>
            <w:tcW w:w="220" w:type="dxa"/>
            <w:vAlign w:val="bottom"/>
          </w:tcPr>
          <w:p>
            <w:pPr>
              <w:spacing w:after="0"/>
              <w:rPr>
                <w:sz w:val="12"/>
                <w:szCs w:val="12"/>
                <w:color w:val="auto"/>
              </w:rPr>
            </w:pPr>
          </w:p>
        </w:tc>
        <w:tc>
          <w:tcPr>
            <w:tcW w:w="46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w w:val="99"/>
              </w:rPr>
              <w:t>days,</w:t>
            </w:r>
          </w:p>
        </w:tc>
        <w:tc>
          <w:tcPr>
            <w:tcW w:w="1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but</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including</w:t>
            </w:r>
          </w:p>
        </w:tc>
        <w:tc>
          <w:tcPr>
            <w:tcW w:w="36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all</w:t>
            </w:r>
          </w:p>
        </w:tc>
        <w:tc>
          <w:tcPr>
            <w:tcW w:w="80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Interest</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payable</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on</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Permitted</w:t>
            </w:r>
          </w:p>
        </w:tc>
        <w:tc>
          <w:tcPr>
            <w:tcW w:w="140" w:type="dxa"/>
            <w:vAlign w:val="bottom"/>
          </w:tcPr>
          <w:p>
            <w:pPr>
              <w:spacing w:after="0"/>
              <w:rPr>
                <w:sz w:val="12"/>
                <w:szCs w:val="12"/>
                <w:color w:val="auto"/>
              </w:rPr>
            </w:pPr>
          </w:p>
        </w:tc>
        <w:tc>
          <w:tcPr>
            <w:tcW w:w="80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Financial</w:t>
            </w:r>
          </w:p>
        </w:tc>
        <w:tc>
          <w:tcPr>
            <w:tcW w:w="220" w:type="dxa"/>
            <w:vAlign w:val="bottom"/>
          </w:tcPr>
          <w:p>
            <w:pPr>
              <w:spacing w:after="0"/>
              <w:rPr>
                <w:sz w:val="12"/>
                <w:szCs w:val="12"/>
                <w:color w:val="auto"/>
              </w:rPr>
            </w:pPr>
          </w:p>
        </w:tc>
        <w:tc>
          <w:tcPr>
            <w:tcW w:w="96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Indebtedness</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referred</w:t>
            </w:r>
          </w:p>
        </w:tc>
        <w:tc>
          <w:tcPr>
            <w:tcW w:w="36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to</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w w:val="82"/>
              </w:rPr>
              <w:t>in</w:t>
            </w:r>
          </w:p>
        </w:tc>
        <w:tc>
          <w:tcPr>
            <w:tcW w:w="140" w:type="dxa"/>
            <w:vAlign w:val="bottom"/>
          </w:tcPr>
          <w:p>
            <w:pPr>
              <w:spacing w:after="0"/>
              <w:rPr>
                <w:sz w:val="12"/>
                <w:szCs w:val="12"/>
                <w:color w:val="auto"/>
              </w:rPr>
            </w:pPr>
          </w:p>
        </w:tc>
        <w:tc>
          <w:tcPr>
            <w:tcW w:w="140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clause 1.1.115(f)</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w w:val="99"/>
              </w:rPr>
              <w:t>(including</w:t>
            </w:r>
          </w:p>
        </w:tc>
        <w:tc>
          <w:tcPr>
            <w:tcW w:w="14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in</w:t>
            </w:r>
          </w:p>
        </w:tc>
        <w:tc>
          <w:tcPr>
            <w:tcW w:w="58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5"/>
              </w:rPr>
              <w:t>respect</w:t>
            </w:r>
          </w:p>
        </w:tc>
        <w:tc>
          <w:tcPr>
            <w:tcW w:w="11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of periods of</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180 (one</w:t>
            </w:r>
          </w:p>
        </w:tc>
        <w:tc>
          <w:tcPr>
            <w:tcW w:w="1380" w:type="dxa"/>
            <w:vAlign w:val="bottom"/>
            <w:gridSpan w:val="7"/>
          </w:tcPr>
          <w:p>
            <w:pPr>
              <w:spacing w:after="0"/>
              <w:rPr>
                <w:sz w:val="20"/>
                <w:szCs w:val="20"/>
                <w:color w:val="auto"/>
              </w:rPr>
            </w:pPr>
            <w:r>
              <w:rPr>
                <w:rFonts w:ascii="Courier New" w:cs="Courier New" w:eastAsia="Courier New" w:hAnsi="Courier New"/>
                <w:sz w:val="12"/>
                <w:szCs w:val="12"/>
                <w:color w:val="auto"/>
                <w:w w:val="99"/>
              </w:rPr>
              <w:t>hundred and eighty)</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days or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w w:val="94"/>
              </w:rPr>
              <w:t>less)</w:t>
            </w:r>
          </w:p>
        </w:tc>
        <w:tc>
          <w:tcPr>
            <w:tcW w:w="140" w:type="dxa"/>
            <w:vAlign w:val="bottom"/>
          </w:tcPr>
          <w:p>
            <w:pPr>
              <w:spacing w:after="0"/>
              <w:rPr>
                <w:sz w:val="12"/>
                <w:szCs w:val="12"/>
                <w:color w:val="auto"/>
              </w:rPr>
            </w:pPr>
          </w:p>
        </w:tc>
        <w:tc>
          <w:tcPr>
            <w:tcW w:w="240" w:type="dxa"/>
            <w:vAlign w:val="bottom"/>
          </w:tcPr>
          <w:p>
            <w:pPr>
              <w:spacing w:after="0"/>
              <w:rPr>
                <w:sz w:val="20"/>
                <w:szCs w:val="20"/>
                <w:color w:val="auto"/>
              </w:rPr>
            </w:pPr>
            <w:r>
              <w:rPr>
                <w:rFonts w:ascii="Courier New" w:cs="Courier New" w:eastAsia="Courier New" w:hAnsi="Courier New"/>
                <w:sz w:val="12"/>
                <w:szCs w:val="12"/>
                <w:color w:val="auto"/>
              </w:rPr>
              <w:t>and</w:t>
            </w:r>
          </w:p>
        </w:tc>
        <w:tc>
          <w:tcPr>
            <w:tcW w:w="14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any</w:t>
            </w:r>
          </w:p>
        </w:tc>
        <w:tc>
          <w:tcPr>
            <w:tcW w:w="220" w:type="dxa"/>
            <w:vAlign w:val="bottom"/>
          </w:tcPr>
          <w:p>
            <w:pPr>
              <w:spacing w:after="0"/>
              <w:rPr>
                <w:sz w:val="12"/>
                <w:szCs w:val="12"/>
                <w:color w:val="auto"/>
              </w:rPr>
            </w:pP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w w:val="97"/>
              </w:rPr>
              <w:t>Interest</w:t>
            </w:r>
          </w:p>
        </w:tc>
        <w:tc>
          <w:tcPr>
            <w:tcW w:w="220" w:type="dxa"/>
            <w:vAlign w:val="bottom"/>
          </w:tcPr>
          <w:p>
            <w:pPr>
              <w:spacing w:after="0"/>
              <w:rPr>
                <w:sz w:val="12"/>
                <w:szCs w:val="12"/>
                <w:color w:val="auto"/>
              </w:rPr>
            </w:pPr>
          </w:p>
        </w:tc>
        <w:tc>
          <w:tcPr>
            <w:tcW w:w="24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6"/>
              </w:rPr>
              <w:t>or</w:t>
            </w: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other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60" w:type="dxa"/>
            <w:vAlign w:val="bottom"/>
            <w:gridSpan w:val="14"/>
          </w:tcPr>
          <w:p>
            <w:pPr>
              <w:spacing w:after="0"/>
              <w:rPr>
                <w:sz w:val="20"/>
                <w:szCs w:val="20"/>
                <w:color w:val="auto"/>
              </w:rPr>
            </w:pPr>
            <w:r>
              <w:rPr>
                <w:rFonts w:ascii="Courier New" w:cs="Courier New" w:eastAsia="Courier New" w:hAnsi="Courier New"/>
                <w:sz w:val="12"/>
                <w:szCs w:val="12"/>
                <w:color w:val="auto"/>
              </w:rPr>
              <w:t>amounts  payable  on  account  of such</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gridSpan w:val="13"/>
          </w:tcPr>
          <w:p>
            <w:pPr>
              <w:spacing w:after="0"/>
              <w:rPr>
                <w:sz w:val="20"/>
                <w:szCs w:val="20"/>
                <w:color w:val="auto"/>
              </w:rPr>
            </w:pPr>
            <w:r>
              <w:rPr>
                <w:rFonts w:ascii="Courier New" w:cs="Courier New" w:eastAsia="Courier New" w:hAnsi="Courier New"/>
                <w:sz w:val="12"/>
                <w:szCs w:val="12"/>
                <w:color w:val="auto"/>
              </w:rPr>
              <w:t>Permitted Financial Indebtedness,</w:t>
            </w:r>
          </w:p>
        </w:tc>
        <w:tc>
          <w:tcPr>
            <w:tcW w:w="360" w:type="dxa"/>
            <w:vAlign w:val="bottom"/>
          </w:tcPr>
          <w:p>
            <w:pPr>
              <w:spacing w:after="0"/>
              <w:rPr>
                <w:sz w:val="12"/>
                <w:szCs w:val="12"/>
                <w:color w:val="auto"/>
              </w:rPr>
            </w:pPr>
          </w:p>
        </w:tc>
      </w:tr>
      <w:tr>
        <w:trPr>
          <w:trHeight w:val="283"/>
        </w:trPr>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all of the above</w:t>
            </w:r>
          </w:p>
        </w:tc>
        <w:tc>
          <w:tcPr>
            <w:tcW w:w="94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amounts as</w:t>
            </w:r>
          </w:p>
        </w:tc>
        <w:tc>
          <w:tcPr>
            <w:tcW w:w="82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w w:val="99"/>
              </w:rPr>
              <w:t>determined</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and</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certified</w:t>
            </w:r>
          </w:p>
        </w:tc>
        <w:tc>
          <w:tcPr>
            <w:tcW w:w="1100" w:type="dxa"/>
            <w:vAlign w:val="bottom"/>
            <w:gridSpan w:val="6"/>
          </w:tcPr>
          <w:p>
            <w:pPr>
              <w:ind w:left="60"/>
              <w:spacing w:after="0"/>
              <w:rPr>
                <w:sz w:val="20"/>
                <w:szCs w:val="20"/>
                <w:color w:val="auto"/>
              </w:rPr>
            </w:pPr>
            <w:r>
              <w:rPr>
                <w:rFonts w:ascii="Courier New" w:cs="Courier New" w:eastAsia="Courier New" w:hAnsi="Courier New"/>
                <w:sz w:val="12"/>
                <w:szCs w:val="12"/>
                <w:color w:val="auto"/>
              </w:rPr>
              <w:t>as correct by:</w:t>
            </w:r>
          </w:p>
        </w:tc>
        <w:tc>
          <w:tcPr>
            <w:tcW w:w="140" w:type="dxa"/>
            <w:vAlign w:val="bottom"/>
          </w:tcPr>
          <w:p>
            <w:pPr>
              <w:spacing w:after="0"/>
              <w:rPr>
                <w:sz w:val="12"/>
                <w:szCs w:val="12"/>
                <w:color w:val="auto"/>
              </w:rPr>
            </w:pPr>
          </w:p>
        </w:tc>
        <w:tc>
          <w:tcPr>
            <w:tcW w:w="140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(i) the CFO of the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00" w:type="dxa"/>
            <w:vAlign w:val="bottom"/>
            <w:gridSpan w:val="12"/>
          </w:tcPr>
          <w:p>
            <w:pPr>
              <w:ind w:left="80"/>
              <w:spacing w:after="0"/>
              <w:rPr>
                <w:sz w:val="20"/>
                <w:szCs w:val="20"/>
                <w:color w:val="auto"/>
              </w:rPr>
            </w:pPr>
            <w:r>
              <w:rPr>
                <w:rFonts w:ascii="Courier New" w:cs="Courier New" w:eastAsia="Courier New" w:hAnsi="Courier New"/>
                <w:sz w:val="12"/>
                <w:szCs w:val="12"/>
                <w:color w:val="auto"/>
              </w:rPr>
              <w:t>Borrower,  if  with  respect  to</w:t>
            </w:r>
          </w:p>
        </w:tc>
        <w:tc>
          <w:tcPr>
            <w:tcW w:w="46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any</w:t>
            </w: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of the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first</w:t>
            </w:r>
          </w:p>
        </w:tc>
        <w:tc>
          <w:tcPr>
            <w:tcW w:w="220" w:type="dxa"/>
            <w:vAlign w:val="bottom"/>
          </w:tcPr>
          <w:p>
            <w:pPr>
              <w:spacing w:after="0"/>
              <w:rPr>
                <w:sz w:val="20"/>
                <w:szCs w:val="20"/>
                <w:color w:val="auto"/>
              </w:rPr>
            </w:pPr>
            <w:r>
              <w:rPr>
                <w:rFonts w:ascii="Courier New" w:cs="Courier New" w:eastAsia="Courier New" w:hAnsi="Courier New"/>
                <w:sz w:val="12"/>
                <w:szCs w:val="12"/>
                <w:color w:val="auto"/>
              </w:rPr>
              <w:t>3</w:t>
            </w:r>
          </w:p>
        </w:tc>
        <w:tc>
          <w:tcPr>
            <w:tcW w:w="520" w:type="dxa"/>
            <w:vAlign w:val="bottom"/>
            <w:gridSpan w:val="3"/>
          </w:tcPr>
          <w:p>
            <w:pPr>
              <w:spacing w:after="0"/>
              <w:rPr>
                <w:sz w:val="20"/>
                <w:szCs w:val="20"/>
                <w:color w:val="auto"/>
              </w:rPr>
            </w:pPr>
            <w:r>
              <w:rPr>
                <w:rFonts w:ascii="Courier New" w:cs="Courier New" w:eastAsia="Courier New" w:hAnsi="Courier New"/>
                <w:sz w:val="12"/>
                <w:szCs w:val="12"/>
                <w:color w:val="auto"/>
                <w:w w:val="99"/>
              </w:rPr>
              <w:t>(three)</w:t>
            </w:r>
          </w:p>
        </w:tc>
        <w:tc>
          <w:tcPr>
            <w:tcW w:w="140" w:type="dxa"/>
            <w:vAlign w:val="bottom"/>
          </w:tcPr>
          <w:p>
            <w:pPr>
              <w:spacing w:after="0"/>
              <w:rPr>
                <w:sz w:val="12"/>
                <w:szCs w:val="12"/>
                <w:color w:val="auto"/>
              </w:rPr>
            </w:pP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w w:val="97"/>
              </w:rPr>
              <w:t>Quarters</w:t>
            </w:r>
          </w:p>
        </w:tc>
        <w:tc>
          <w:tcPr>
            <w:tcW w:w="4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of</w:t>
            </w:r>
          </w:p>
        </w:tc>
        <w:tc>
          <w:tcPr>
            <w:tcW w:w="46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w w:val="97"/>
              </w:rPr>
              <w:t>each</w:t>
            </w: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Fiscal</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Year;</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and</w:t>
            </w:r>
          </w:p>
        </w:tc>
        <w:tc>
          <w:tcPr>
            <w:tcW w:w="140" w:type="dxa"/>
            <w:vAlign w:val="bottom"/>
          </w:tcPr>
          <w:p>
            <w:pPr>
              <w:spacing w:after="0"/>
              <w:rPr>
                <w:sz w:val="12"/>
                <w:szCs w:val="12"/>
                <w:color w:val="auto"/>
              </w:rPr>
            </w:pP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(ii) the</w:t>
            </w:r>
          </w:p>
        </w:tc>
        <w:tc>
          <w:tcPr>
            <w:tcW w:w="800" w:type="dxa"/>
            <w:vAlign w:val="bottom"/>
            <w:gridSpan w:val="4"/>
          </w:tcPr>
          <w:p>
            <w:pPr>
              <w:spacing w:after="0"/>
              <w:rPr>
                <w:sz w:val="20"/>
                <w:szCs w:val="20"/>
                <w:color w:val="auto"/>
              </w:rPr>
            </w:pPr>
            <w:r>
              <w:rPr>
                <w:rFonts w:ascii="Courier New" w:cs="Courier New" w:eastAsia="Courier New" w:hAnsi="Courier New"/>
                <w:sz w:val="12"/>
                <w:szCs w:val="12"/>
                <w:color w:val="auto"/>
              </w:rPr>
              <w:t>Auditors,</w:t>
            </w:r>
          </w:p>
        </w:tc>
        <w:tc>
          <w:tcPr>
            <w:tcW w:w="96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with respect</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00" w:type="dxa"/>
            <w:vAlign w:val="bottom"/>
            <w:gridSpan w:val="12"/>
          </w:tcPr>
          <w:p>
            <w:pPr>
              <w:ind w:left="80"/>
              <w:spacing w:after="0"/>
              <w:rPr>
                <w:sz w:val="20"/>
                <w:szCs w:val="20"/>
                <w:color w:val="auto"/>
              </w:rPr>
            </w:pPr>
            <w:r>
              <w:rPr>
                <w:rFonts w:ascii="Courier New" w:cs="Courier New" w:eastAsia="Courier New" w:hAnsi="Courier New"/>
                <w:sz w:val="12"/>
                <w:szCs w:val="12"/>
                <w:color w:val="auto"/>
              </w:rPr>
              <w:t>to  the  last  Quarter  of  any</w:t>
            </w:r>
          </w:p>
        </w:tc>
        <w:tc>
          <w:tcPr>
            <w:tcW w:w="4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Fiscal</w:t>
            </w:r>
          </w:p>
        </w:tc>
        <w:tc>
          <w:tcPr>
            <w:tcW w:w="1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w w:val="97"/>
              </w:rPr>
              <w:t>Year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60" w:type="dxa"/>
            <w:vAlign w:val="bottom"/>
            <w:gridSpan w:val="16"/>
          </w:tcPr>
          <w:p>
            <w:pPr>
              <w:ind w:left="80"/>
              <w:spacing w:after="0"/>
              <w:rPr>
                <w:sz w:val="20"/>
                <w:szCs w:val="20"/>
                <w:color w:val="auto"/>
              </w:rPr>
            </w:pPr>
            <w:r>
              <w:rPr>
                <w:rFonts w:ascii="Courier New" w:cs="Courier New" w:eastAsia="Courier New" w:hAnsi="Courier New"/>
                <w:sz w:val="12"/>
                <w:szCs w:val="12"/>
                <w:color w:val="auto"/>
              </w:rPr>
              <w:t>(that is the Quarter ending December 31st);</w:t>
            </w:r>
          </w:p>
        </w:tc>
      </w:tr>
      <w:tr>
        <w:trPr>
          <w:trHeight w:val="425"/>
        </w:trPr>
        <w:tc>
          <w:tcPr>
            <w:tcW w:w="1060" w:type="dxa"/>
            <w:vAlign w:val="bottom"/>
          </w:tcPr>
          <w:p>
            <w:pPr>
              <w:spacing w:after="0"/>
              <w:rPr>
                <w:sz w:val="24"/>
                <w:szCs w:val="24"/>
                <w:color w:val="auto"/>
              </w:rPr>
            </w:pPr>
          </w:p>
        </w:tc>
        <w:tc>
          <w:tcPr>
            <w:tcW w:w="2620" w:type="dxa"/>
            <w:vAlign w:val="bottom"/>
          </w:tcPr>
          <w:p>
            <w:pPr>
              <w:ind w:left="1660"/>
              <w:spacing w:after="0"/>
              <w:rPr>
                <w:sz w:val="20"/>
                <w:szCs w:val="20"/>
                <w:color w:val="auto"/>
              </w:rPr>
            </w:pPr>
            <w:r>
              <w:rPr>
                <w:rFonts w:ascii="Courier New" w:cs="Courier New" w:eastAsia="Courier New" w:hAnsi="Courier New"/>
                <w:sz w:val="12"/>
                <w:szCs w:val="12"/>
                <w:color w:val="auto"/>
              </w:rPr>
              <w:t>- 67 -</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89"/>
        </w:trPr>
        <w:tc>
          <w:tcPr>
            <w:tcW w:w="1060" w:type="dxa"/>
            <w:vAlign w:val="bottom"/>
          </w:tcPr>
          <w:p>
            <w:pPr>
              <w:jc w:val="right"/>
              <w:ind w:right="419"/>
              <w:spacing w:after="0"/>
              <w:rPr>
                <w:sz w:val="20"/>
                <w:szCs w:val="20"/>
                <w:color w:val="auto"/>
              </w:rPr>
            </w:pPr>
            <w:r>
              <w:rPr>
                <w:rFonts w:ascii="Courier New" w:cs="Courier New" w:eastAsia="Courier New" w:hAnsi="Courier New"/>
                <w:sz w:val="12"/>
                <w:szCs w:val="12"/>
                <w:color w:val="auto"/>
                <w:w w:val="97"/>
              </w:rPr>
              <w:t>1.1.143.</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83"/>
        </w:trPr>
        <w:tc>
          <w:tcPr>
            <w:tcW w:w="1060" w:type="dxa"/>
            <w:vAlign w:val="bottom"/>
          </w:tcPr>
          <w:p>
            <w:pPr>
              <w:jc w:val="right"/>
              <w:ind w:right="419"/>
              <w:spacing w:after="0"/>
              <w:rPr>
                <w:sz w:val="20"/>
                <w:szCs w:val="20"/>
                <w:color w:val="auto"/>
              </w:rPr>
            </w:pPr>
            <w:r>
              <w:rPr>
                <w:rFonts w:ascii="Courier New" w:cs="Courier New" w:eastAsia="Courier New" w:hAnsi="Courier New"/>
                <w:sz w:val="12"/>
                <w:szCs w:val="12"/>
                <w:color w:val="auto"/>
                <w:w w:val="97"/>
              </w:rPr>
              <w:t>1.1.144.</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"TOTAL OUTSTANDINGS"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1100" w:type="dxa"/>
            <w:vAlign w:val="bottom"/>
            <w:gridSpan w:val="6"/>
          </w:tcPr>
          <w:p>
            <w:pPr>
              <w:ind w:left="60"/>
              <w:spacing w:after="0"/>
              <w:rPr>
                <w:sz w:val="20"/>
                <w:szCs w:val="20"/>
                <w:color w:val="auto"/>
              </w:rPr>
            </w:pPr>
            <w:r>
              <w:rPr>
                <w:rFonts w:ascii="Courier New" w:cs="Courier New" w:eastAsia="Courier New" w:hAnsi="Courier New"/>
                <w:sz w:val="12"/>
                <w:szCs w:val="12"/>
                <w:color w:val="auto"/>
              </w:rPr>
              <w:t>at any time,</w:t>
            </w:r>
          </w:p>
        </w:tc>
        <w:tc>
          <w:tcPr>
            <w:tcW w:w="800" w:type="dxa"/>
            <w:vAlign w:val="bottom"/>
            <w:gridSpan w:val="4"/>
          </w:tcPr>
          <w:p>
            <w:pPr>
              <w:spacing w:after="0"/>
              <w:rPr>
                <w:sz w:val="20"/>
                <w:szCs w:val="20"/>
                <w:color w:val="auto"/>
              </w:rPr>
            </w:pPr>
            <w:r>
              <w:rPr>
                <w:rFonts w:ascii="Courier New" w:cs="Courier New" w:eastAsia="Courier New" w:hAnsi="Courier New"/>
                <w:sz w:val="12"/>
                <w:szCs w:val="12"/>
                <w:color w:val="auto"/>
              </w:rPr>
              <w:t>the sum in</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Dollars</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20" w:type="dxa"/>
            <w:vAlign w:val="bottom"/>
            <w:gridSpan w:val="9"/>
          </w:tcPr>
          <w:p>
            <w:pPr>
              <w:ind w:left="80"/>
              <w:spacing w:after="0"/>
              <w:rPr>
                <w:sz w:val="20"/>
                <w:szCs w:val="20"/>
                <w:color w:val="auto"/>
              </w:rPr>
            </w:pPr>
            <w:r>
              <w:rPr>
                <w:rFonts w:ascii="Courier New" w:cs="Courier New" w:eastAsia="Courier New" w:hAnsi="Courier New"/>
                <w:sz w:val="12"/>
                <w:szCs w:val="12"/>
                <w:color w:val="auto"/>
              </w:rPr>
              <w:t>the Loans at such time;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83"/>
        </w:trPr>
        <w:tc>
          <w:tcPr>
            <w:tcW w:w="1060" w:type="dxa"/>
            <w:vAlign w:val="bottom"/>
          </w:tcPr>
          <w:p>
            <w:pPr>
              <w:jc w:val="right"/>
              <w:ind w:right="419"/>
              <w:spacing w:after="0"/>
              <w:rPr>
                <w:sz w:val="20"/>
                <w:szCs w:val="20"/>
                <w:color w:val="auto"/>
              </w:rPr>
            </w:pPr>
            <w:r>
              <w:rPr>
                <w:rFonts w:ascii="Courier New" w:cs="Courier New" w:eastAsia="Courier New" w:hAnsi="Courier New"/>
                <w:sz w:val="12"/>
                <w:szCs w:val="12"/>
                <w:color w:val="auto"/>
                <w:w w:val="97"/>
              </w:rPr>
              <w:t>1.1.145.</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"UNPAID SUM"</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shall</w:t>
            </w: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rPr>
              <w:t>bear</w:t>
            </w:r>
          </w:p>
        </w:tc>
        <w:tc>
          <w:tcPr>
            <w:tcW w:w="3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the</w:t>
            </w:r>
          </w:p>
        </w:tc>
        <w:tc>
          <w:tcPr>
            <w:tcW w:w="580" w:type="dxa"/>
            <w:vAlign w:val="bottom"/>
            <w:gridSpan w:val="3"/>
          </w:tcPr>
          <w:p>
            <w:pPr>
              <w:ind w:left="60"/>
              <w:spacing w:after="0"/>
              <w:rPr>
                <w:sz w:val="20"/>
                <w:szCs w:val="20"/>
                <w:color w:val="auto"/>
              </w:rPr>
            </w:pPr>
            <w:r>
              <w:rPr>
                <w:rFonts w:ascii="Courier New" w:cs="Courier New" w:eastAsia="Courier New" w:hAnsi="Courier New"/>
                <w:sz w:val="12"/>
                <w:szCs w:val="12"/>
                <w:color w:val="auto"/>
                <w:w w:val="99"/>
              </w:rPr>
              <w:t>meaning</w:t>
            </w:r>
          </w:p>
        </w:tc>
        <w:tc>
          <w:tcPr>
            <w:tcW w:w="14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assigned</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to</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w w:val="97"/>
              </w:rPr>
              <w:t>such</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6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term in clause 18.1 below;</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83"/>
        </w:trPr>
        <w:tc>
          <w:tcPr>
            <w:tcW w:w="1060" w:type="dxa"/>
            <w:vAlign w:val="bottom"/>
          </w:tcPr>
          <w:p>
            <w:pPr>
              <w:jc w:val="right"/>
              <w:ind w:right="419"/>
              <w:spacing w:after="0"/>
              <w:rPr>
                <w:sz w:val="20"/>
                <w:szCs w:val="20"/>
                <w:color w:val="auto"/>
              </w:rPr>
            </w:pPr>
            <w:r>
              <w:rPr>
                <w:rFonts w:ascii="Courier New" w:cs="Courier New" w:eastAsia="Courier New" w:hAnsi="Courier New"/>
                <w:sz w:val="12"/>
                <w:szCs w:val="12"/>
                <w:color w:val="auto"/>
                <w:w w:val="97"/>
              </w:rPr>
              <w:t>1.1.146.</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"WAFER PREPAYMENT</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42"/>
        </w:trPr>
        <w:tc>
          <w:tcPr>
            <w:tcW w:w="1060" w:type="dxa"/>
            <w:vAlign w:val="bottom"/>
          </w:tcPr>
          <w:p>
            <w:pPr>
              <w:spacing w:after="0"/>
              <w:rPr>
                <w:sz w:val="12"/>
                <w:szCs w:val="12"/>
                <w:color w:val="auto"/>
              </w:rPr>
            </w:pP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CONTRACT"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220" w:type="dxa"/>
            <w:vAlign w:val="bottom"/>
          </w:tcPr>
          <w:p>
            <w:pPr>
              <w:ind w:left="140"/>
              <w:spacing w:after="0"/>
              <w:rPr>
                <w:sz w:val="20"/>
                <w:szCs w:val="20"/>
                <w:color w:val="auto"/>
              </w:rPr>
            </w:pPr>
            <w:r>
              <w:rPr>
                <w:rFonts w:ascii="Courier New" w:cs="Courier New" w:eastAsia="Courier New" w:hAnsi="Courier New"/>
                <w:sz w:val="12"/>
                <w:szCs w:val="12"/>
                <w:color w:val="auto"/>
                <w:w w:val="82"/>
              </w:rPr>
              <w:t>a</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7"/>
          </w:tcPr>
          <w:p>
            <w:pPr>
              <w:spacing w:after="0"/>
              <w:rPr>
                <w:sz w:val="20"/>
                <w:szCs w:val="20"/>
                <w:color w:val="auto"/>
              </w:rPr>
            </w:pPr>
            <w:r>
              <w:rPr>
                <w:rFonts w:ascii="Courier New" w:cs="Courier New" w:eastAsia="Courier New" w:hAnsi="Courier New"/>
                <w:sz w:val="12"/>
                <w:szCs w:val="12"/>
                <w:color w:val="auto"/>
              </w:rPr>
              <w:t>wafer-manufacturing</w:t>
            </w:r>
          </w:p>
        </w:tc>
        <w:tc>
          <w:tcPr>
            <w:tcW w:w="22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contract</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between</w:t>
            </w:r>
          </w:p>
        </w:tc>
        <w:tc>
          <w:tcPr>
            <w:tcW w:w="36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2"/>
              </w:rPr>
              <w:t>the</w:t>
            </w:r>
          </w:p>
        </w:tc>
        <w:tc>
          <w:tcPr>
            <w:tcW w:w="14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Borrower</w:t>
            </w:r>
          </w:p>
        </w:tc>
        <w:tc>
          <w:tcPr>
            <w:tcW w:w="10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and a wafer</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customer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and/or</w:t>
            </w:r>
          </w:p>
        </w:tc>
        <w:tc>
          <w:tcPr>
            <w:tcW w:w="74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designer</w:t>
            </w:r>
          </w:p>
        </w:tc>
        <w:tc>
          <w:tcPr>
            <w:tcW w:w="1380" w:type="dxa"/>
            <w:vAlign w:val="bottom"/>
            <w:gridSpan w:val="7"/>
          </w:tcPr>
          <w:p>
            <w:pPr>
              <w:ind w:left="60"/>
              <w:spacing w:after="0"/>
              <w:rPr>
                <w:sz w:val="20"/>
                <w:szCs w:val="20"/>
                <w:color w:val="auto"/>
              </w:rPr>
            </w:pPr>
            <w:r>
              <w:rPr>
                <w:rFonts w:ascii="Courier New" w:cs="Courier New" w:eastAsia="Courier New" w:hAnsi="Courier New"/>
                <w:sz w:val="12"/>
                <w:szCs w:val="12"/>
                <w:color w:val="auto"/>
              </w:rPr>
              <w:t>pursuant to which</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contract</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60" w:type="dxa"/>
            <w:vAlign w:val="bottom"/>
            <w:gridSpan w:val="14"/>
          </w:tcPr>
          <w:p>
            <w:pPr>
              <w:ind w:left="80"/>
              <w:spacing w:after="0"/>
              <w:rPr>
                <w:sz w:val="20"/>
                <w:szCs w:val="20"/>
                <w:color w:val="auto"/>
              </w:rPr>
            </w:pPr>
            <w:r>
              <w:rPr>
                <w:rFonts w:ascii="Courier New" w:cs="Courier New" w:eastAsia="Courier New" w:hAnsi="Courier New"/>
                <w:sz w:val="12"/>
                <w:szCs w:val="12"/>
                <w:color w:val="auto"/>
              </w:rPr>
              <w:t>such wafer  customer  and/or  designer</w:t>
            </w: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shall</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w w:val="97"/>
              </w:rPr>
              <w:t>have</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7"/>
              </w:rPr>
              <w:t>paid</w:t>
            </w:r>
          </w:p>
        </w:tc>
        <w:tc>
          <w:tcPr>
            <w:tcW w:w="14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rPr>
              <w:t>the</w:t>
            </w:r>
          </w:p>
        </w:tc>
        <w:tc>
          <w:tcPr>
            <w:tcW w:w="72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Borrower</w:t>
            </w:r>
          </w:p>
        </w:tc>
        <w:tc>
          <w:tcPr>
            <w:tcW w:w="4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in</w:t>
            </w:r>
          </w:p>
        </w:tc>
        <w:tc>
          <w:tcPr>
            <w:tcW w:w="60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w w:val="99"/>
              </w:rPr>
              <w:t>advance</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for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wafers</w:t>
            </w:r>
          </w:p>
        </w:tc>
        <w:tc>
          <w:tcPr>
            <w:tcW w:w="50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to be</w:t>
            </w:r>
          </w:p>
        </w:tc>
        <w:tc>
          <w:tcPr>
            <w:tcW w:w="96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manufactured</w:t>
            </w: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by the</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Borrower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60" w:type="dxa"/>
            <w:vAlign w:val="bottom"/>
            <w:gridSpan w:val="16"/>
          </w:tcPr>
          <w:p>
            <w:pPr>
              <w:ind w:left="80"/>
              <w:spacing w:after="0"/>
              <w:rPr>
                <w:sz w:val="20"/>
                <w:szCs w:val="20"/>
                <w:color w:val="auto"/>
              </w:rPr>
            </w:pPr>
            <w:r>
              <w:rPr>
                <w:rFonts w:ascii="Courier New" w:cs="Courier New" w:eastAsia="Courier New" w:hAnsi="Courier New"/>
                <w:sz w:val="12"/>
                <w:szCs w:val="12"/>
                <w:color w:val="auto"/>
              </w:rPr>
              <w:t>at  Fab 2  for  such  wafer  customer  and/or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designer</w:t>
            </w:r>
          </w:p>
        </w:tc>
        <w:tc>
          <w:tcPr>
            <w:tcW w:w="88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(including,</w:t>
            </w:r>
          </w:p>
        </w:tc>
        <w:tc>
          <w:tcPr>
            <w:tcW w:w="2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Courier New" w:cs="Courier New" w:eastAsia="Courier New" w:hAnsi="Courier New"/>
                <w:sz w:val="12"/>
                <w:szCs w:val="12"/>
                <w:color w:val="auto"/>
                <w:w w:val="82"/>
              </w:rPr>
              <w:t>in</w:t>
            </w: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the</w:t>
            </w:r>
          </w:p>
        </w:tc>
        <w:tc>
          <w:tcPr>
            <w:tcW w:w="220" w:type="dxa"/>
            <w:vAlign w:val="bottom"/>
          </w:tcPr>
          <w:p>
            <w:pPr>
              <w:spacing w:after="0"/>
              <w:rPr>
                <w:sz w:val="12"/>
                <w:szCs w:val="12"/>
                <w:color w:val="auto"/>
              </w:rPr>
            </w:pPr>
          </w:p>
        </w:tc>
        <w:tc>
          <w:tcPr>
            <w:tcW w:w="3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w w:val="97"/>
              </w:rPr>
              <w:t>case</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of</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Sandisk,</w:t>
            </w:r>
          </w:p>
        </w:tc>
        <w:tc>
          <w:tcPr>
            <w:tcW w:w="660" w:type="dxa"/>
            <w:vAlign w:val="bottom"/>
            <w:gridSpan w:val="4"/>
          </w:tcPr>
          <w:p>
            <w:pPr>
              <w:spacing w:after="0"/>
              <w:rPr>
                <w:sz w:val="20"/>
                <w:szCs w:val="20"/>
                <w:color w:val="auto"/>
              </w:rPr>
            </w:pPr>
            <w:r>
              <w:rPr>
                <w:rFonts w:ascii="Courier New" w:cs="Courier New" w:eastAsia="Courier New" w:hAnsi="Courier New"/>
                <w:sz w:val="12"/>
                <w:szCs w:val="12"/>
                <w:color w:val="auto"/>
              </w:rPr>
              <w:t>Alliance</w:t>
            </w:r>
          </w:p>
        </w:tc>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and</w:t>
            </w:r>
          </w:p>
        </w:tc>
        <w:tc>
          <w:tcPr>
            <w:tcW w:w="800" w:type="dxa"/>
            <w:vAlign w:val="bottom"/>
            <w:gridSpan w:val="4"/>
          </w:tcPr>
          <w:p>
            <w:pPr>
              <w:spacing w:after="0"/>
              <w:rPr>
                <w:sz w:val="20"/>
                <w:szCs w:val="20"/>
                <w:color w:val="auto"/>
              </w:rPr>
            </w:pPr>
            <w:r>
              <w:rPr>
                <w:rFonts w:ascii="Courier New" w:cs="Courier New" w:eastAsia="Courier New" w:hAnsi="Courier New"/>
                <w:sz w:val="12"/>
                <w:szCs w:val="12"/>
                <w:color w:val="auto"/>
              </w:rPr>
              <w:t>Macronix,</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by way of</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receipt</w:t>
            </w:r>
          </w:p>
        </w:tc>
        <w:tc>
          <w:tcPr>
            <w:tcW w:w="36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of</w:t>
            </w:r>
          </w:p>
        </w:tc>
        <w:tc>
          <w:tcPr>
            <w:tcW w:w="74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credits</w:t>
            </w: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rPr>
              <w:t>against</w:t>
            </w:r>
          </w:p>
        </w:tc>
        <w:tc>
          <w:tcPr>
            <w:tcW w:w="82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payments</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for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shares</w:t>
            </w:r>
          </w:p>
        </w:tc>
        <w:tc>
          <w:tcPr>
            <w:tcW w:w="220" w:type="dxa"/>
            <w:vAlign w:val="bottom"/>
          </w:tcPr>
          <w:p>
            <w:pPr>
              <w:ind w:left="60"/>
              <w:spacing w:after="0"/>
              <w:rPr>
                <w:sz w:val="20"/>
                <w:szCs w:val="20"/>
                <w:color w:val="auto"/>
              </w:rPr>
            </w:pPr>
            <w:r>
              <w:rPr>
                <w:rFonts w:ascii="Courier New" w:cs="Courier New" w:eastAsia="Courier New" w:hAnsi="Courier New"/>
                <w:sz w:val="12"/>
                <w:szCs w:val="12"/>
                <w:color w:val="auto"/>
                <w:w w:val="96"/>
              </w:rPr>
              <w:t>or</w:t>
            </w:r>
          </w:p>
        </w:tc>
        <w:tc>
          <w:tcPr>
            <w:tcW w:w="140" w:type="dxa"/>
            <w:vAlign w:val="bottom"/>
          </w:tcPr>
          <w:p>
            <w:pPr>
              <w:spacing w:after="0"/>
              <w:rPr>
                <w:sz w:val="12"/>
                <w:szCs w:val="12"/>
                <w:color w:val="auto"/>
              </w:rPr>
            </w:pP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w w:val="99"/>
              </w:rPr>
              <w:t>otherwise)</w:t>
            </w:r>
          </w:p>
        </w:tc>
        <w:tc>
          <w:tcPr>
            <w:tcW w:w="58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and,</w:t>
            </w:r>
          </w:p>
        </w:tc>
        <w:tc>
          <w:tcPr>
            <w:tcW w:w="11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under the terms</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of such contract,</w:t>
            </w:r>
          </w:p>
        </w:tc>
        <w:tc>
          <w:tcPr>
            <w:tcW w:w="140" w:type="dxa"/>
            <w:vAlign w:val="bottom"/>
          </w:tcPr>
          <w:p>
            <w:pPr>
              <w:spacing w:after="0"/>
              <w:rPr>
                <w:sz w:val="12"/>
                <w:szCs w:val="12"/>
                <w:color w:val="auto"/>
              </w:rPr>
            </w:pPr>
          </w:p>
        </w:tc>
        <w:tc>
          <w:tcPr>
            <w:tcW w:w="1480" w:type="dxa"/>
            <w:vAlign w:val="bottom"/>
            <w:gridSpan w:val="7"/>
          </w:tcPr>
          <w:p>
            <w:pPr>
              <w:spacing w:after="0"/>
              <w:rPr>
                <w:sz w:val="20"/>
                <w:szCs w:val="20"/>
                <w:color w:val="auto"/>
              </w:rPr>
            </w:pPr>
            <w:r>
              <w:rPr>
                <w:rFonts w:ascii="Courier New" w:cs="Courier New" w:eastAsia="Courier New" w:hAnsi="Courier New"/>
                <w:sz w:val="12"/>
                <w:szCs w:val="12"/>
                <w:color w:val="auto"/>
              </w:rPr>
              <w:t>the wafer customer</w:t>
            </w: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and/or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60" w:type="dxa"/>
            <w:vAlign w:val="bottom"/>
            <w:gridSpan w:val="16"/>
          </w:tcPr>
          <w:p>
            <w:pPr>
              <w:ind w:left="80"/>
              <w:spacing w:after="0"/>
              <w:rPr>
                <w:sz w:val="20"/>
                <w:szCs w:val="20"/>
                <w:color w:val="auto"/>
              </w:rPr>
            </w:pPr>
            <w:r>
              <w:rPr>
                <w:rFonts w:ascii="Courier New" w:cs="Courier New" w:eastAsia="Courier New" w:hAnsi="Courier New"/>
                <w:sz w:val="12"/>
                <w:szCs w:val="12"/>
                <w:color w:val="auto"/>
              </w:rPr>
              <w:t>designer   shall   be   entitled   to   claim</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reimbursement</w:t>
            </w:r>
          </w:p>
        </w:tc>
        <w:tc>
          <w:tcPr>
            <w:tcW w:w="240" w:type="dxa"/>
            <w:vAlign w:val="bottom"/>
          </w:tcPr>
          <w:p>
            <w:pPr>
              <w:spacing w:after="0"/>
              <w:rPr>
                <w:sz w:val="12"/>
                <w:szCs w:val="12"/>
                <w:color w:val="auto"/>
              </w:rPr>
            </w:pPr>
          </w:p>
        </w:tc>
        <w:tc>
          <w:tcPr>
            <w:tcW w:w="1620" w:type="dxa"/>
            <w:vAlign w:val="bottom"/>
            <w:gridSpan w:val="8"/>
          </w:tcPr>
          <w:p>
            <w:pPr>
              <w:ind w:left="60"/>
              <w:spacing w:after="0"/>
              <w:rPr>
                <w:sz w:val="20"/>
                <w:szCs w:val="20"/>
                <w:color w:val="auto"/>
              </w:rPr>
            </w:pPr>
            <w:r>
              <w:rPr>
                <w:rFonts w:ascii="Courier New" w:cs="Courier New" w:eastAsia="Courier New" w:hAnsi="Courier New"/>
                <w:sz w:val="12"/>
                <w:szCs w:val="12"/>
                <w:color w:val="auto"/>
              </w:rPr>
              <w:t>("reimbursement"--for</w:t>
            </w:r>
          </w:p>
        </w:tc>
        <w:tc>
          <w:tcPr>
            <w:tcW w:w="1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the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purpose of this</w:t>
            </w:r>
          </w:p>
        </w:tc>
        <w:tc>
          <w:tcPr>
            <w:tcW w:w="2120" w:type="dxa"/>
            <w:vAlign w:val="bottom"/>
            <w:gridSpan w:val="10"/>
          </w:tcPr>
          <w:p>
            <w:pPr>
              <w:spacing w:after="0"/>
              <w:rPr>
                <w:sz w:val="20"/>
                <w:szCs w:val="20"/>
                <w:color w:val="auto"/>
              </w:rPr>
            </w:pPr>
            <w:r>
              <w:rPr>
                <w:rFonts w:ascii="Courier New" w:cs="Courier New" w:eastAsia="Courier New" w:hAnsi="Courier New"/>
                <w:sz w:val="12"/>
                <w:szCs w:val="12"/>
                <w:color w:val="auto"/>
              </w:rPr>
              <w:t>clause--not  to  include  the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w w:val="99"/>
              </w:rPr>
              <w:t>credit of such</w:t>
            </w:r>
          </w:p>
        </w:tc>
        <w:tc>
          <w:tcPr>
            <w:tcW w:w="96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prepayment</w:t>
            </w: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against</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purchase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of</w:t>
            </w: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rPr>
              <w:t>Paid-in</w:t>
            </w:r>
          </w:p>
        </w:tc>
        <w:tc>
          <w:tcPr>
            <w:tcW w:w="14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Equity</w:t>
            </w: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of</w:t>
            </w:r>
          </w:p>
        </w:tc>
        <w:tc>
          <w:tcPr>
            <w:tcW w:w="3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the</w:t>
            </w:r>
          </w:p>
        </w:tc>
        <w:tc>
          <w:tcPr>
            <w:tcW w:w="82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Borrower</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against</w:t>
            </w:r>
          </w:p>
        </w:tc>
        <w:tc>
          <w:tcPr>
            <w:tcW w:w="74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payments</w:t>
            </w:r>
          </w:p>
        </w:tc>
        <w:tc>
          <w:tcPr>
            <w:tcW w:w="14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of</w:t>
            </w:r>
          </w:p>
        </w:tc>
        <w:tc>
          <w:tcPr>
            <w:tcW w:w="1760" w:type="dxa"/>
            <w:vAlign w:val="bottom"/>
            <w:gridSpan w:val="8"/>
          </w:tcPr>
          <w:p>
            <w:pPr>
              <w:jc w:val="right"/>
              <w:spacing w:after="0"/>
              <w:rPr>
                <w:sz w:val="20"/>
                <w:szCs w:val="20"/>
                <w:color w:val="auto"/>
              </w:rPr>
            </w:pPr>
            <w:r>
              <w:rPr>
                <w:rFonts w:ascii="Courier New" w:cs="Courier New" w:eastAsia="Courier New" w:hAnsi="Courier New"/>
                <w:sz w:val="12"/>
                <w:szCs w:val="12"/>
                <w:color w:val="auto"/>
              </w:rPr>
              <w:t>invoices in respect of</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wafers)</w:t>
            </w:r>
          </w:p>
        </w:tc>
        <w:tc>
          <w:tcPr>
            <w:tcW w:w="36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of</w:t>
            </w:r>
          </w:p>
        </w:tc>
        <w:tc>
          <w:tcPr>
            <w:tcW w:w="38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7"/>
              </w:rPr>
              <w:t>such</w:t>
            </w:r>
          </w:p>
        </w:tc>
        <w:tc>
          <w:tcPr>
            <w:tcW w:w="140" w:type="dxa"/>
            <w:vAlign w:val="bottom"/>
          </w:tcPr>
          <w:p>
            <w:pPr>
              <w:spacing w:after="0"/>
              <w:rPr>
                <w:sz w:val="12"/>
                <w:szCs w:val="12"/>
                <w:color w:val="auto"/>
              </w:rPr>
            </w:pP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rPr>
              <w:t>advance</w:t>
            </w:r>
          </w:p>
        </w:tc>
        <w:tc>
          <w:tcPr>
            <w:tcW w:w="6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payment</w:t>
            </w:r>
          </w:p>
        </w:tc>
        <w:tc>
          <w:tcPr>
            <w:tcW w:w="3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(or</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any</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w w:val="97"/>
              </w:rPr>
              <w:t>part</w:t>
            </w:r>
          </w:p>
        </w:tc>
        <w:tc>
          <w:tcPr>
            <w:tcW w:w="72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7"/>
              </w:rPr>
              <w:t>thereof)</w:t>
            </w:r>
          </w:p>
        </w:tc>
        <w:tc>
          <w:tcPr>
            <w:tcW w:w="96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only in the</w:t>
            </w:r>
          </w:p>
        </w:tc>
        <w:tc>
          <w:tcPr>
            <w:tcW w:w="66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event</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that such</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60" w:type="dxa"/>
            <w:vAlign w:val="bottom"/>
            <w:gridSpan w:val="16"/>
          </w:tcPr>
          <w:p>
            <w:pPr>
              <w:ind w:left="80"/>
              <w:spacing w:after="0"/>
              <w:rPr>
                <w:sz w:val="20"/>
                <w:szCs w:val="20"/>
                <w:color w:val="auto"/>
              </w:rPr>
            </w:pPr>
            <w:r>
              <w:rPr>
                <w:rFonts w:ascii="Courier New" w:cs="Courier New" w:eastAsia="Courier New" w:hAnsi="Courier New"/>
                <w:sz w:val="12"/>
                <w:szCs w:val="12"/>
                <w:color w:val="auto"/>
              </w:rPr>
              <w:t>wafers  are  not,  due  to the  fault  of the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Borrower,</w:t>
            </w:r>
          </w:p>
        </w:tc>
        <w:tc>
          <w:tcPr>
            <w:tcW w:w="1100" w:type="dxa"/>
            <w:vAlign w:val="bottom"/>
            <w:gridSpan w:val="6"/>
          </w:tcPr>
          <w:p>
            <w:pPr>
              <w:ind w:left="60"/>
              <w:spacing w:after="0"/>
              <w:rPr>
                <w:sz w:val="20"/>
                <w:szCs w:val="20"/>
                <w:color w:val="auto"/>
              </w:rPr>
            </w:pPr>
            <w:r>
              <w:rPr>
                <w:rFonts w:ascii="Courier New" w:cs="Courier New" w:eastAsia="Courier New" w:hAnsi="Courier New"/>
                <w:sz w:val="12"/>
                <w:szCs w:val="12"/>
                <w:color w:val="auto"/>
              </w:rPr>
              <w:t>manufactured</w:t>
            </w:r>
          </w:p>
        </w:tc>
        <w:tc>
          <w:tcPr>
            <w:tcW w:w="140" w:type="dxa"/>
            <w:vAlign w:val="bottom"/>
          </w:tcPr>
          <w:p>
            <w:pPr>
              <w:spacing w:after="0"/>
              <w:rPr>
                <w:sz w:val="20"/>
                <w:szCs w:val="20"/>
                <w:color w:val="auto"/>
              </w:rPr>
            </w:pPr>
            <w:r>
              <w:rPr>
                <w:rFonts w:ascii="Courier New" w:cs="Courier New" w:eastAsia="Courier New" w:hAnsi="Courier New"/>
                <w:sz w:val="12"/>
                <w:szCs w:val="12"/>
                <w:color w:val="auto"/>
                <w:w w:val="82"/>
              </w:rPr>
              <w:t>in</w:t>
            </w:r>
          </w:p>
        </w:tc>
        <w:tc>
          <w:tcPr>
            <w:tcW w:w="900" w:type="dxa"/>
            <w:vAlign w:val="bottom"/>
            <w:gridSpan w:val="4"/>
          </w:tcPr>
          <w:p>
            <w:pPr>
              <w:ind w:left="160"/>
              <w:spacing w:after="0"/>
              <w:rPr>
                <w:sz w:val="20"/>
                <w:szCs w:val="20"/>
                <w:color w:val="auto"/>
              </w:rPr>
            </w:pPr>
            <w:r>
              <w:rPr>
                <w:rFonts w:ascii="Courier New" w:cs="Courier New" w:eastAsia="Courier New" w:hAnsi="Courier New"/>
                <w:sz w:val="12"/>
                <w:szCs w:val="12"/>
                <w:color w:val="auto"/>
                <w:w w:val="99"/>
              </w:rPr>
              <w:t>accordance</w:t>
            </w:r>
          </w:p>
        </w:tc>
        <w:tc>
          <w:tcPr>
            <w:tcW w:w="1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w w:val="97"/>
              </w:rPr>
              <w:t>with</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the</w:t>
            </w:r>
          </w:p>
        </w:tc>
        <w:tc>
          <w:tcPr>
            <w:tcW w:w="220" w:type="dxa"/>
            <w:vAlign w:val="bottom"/>
          </w:tcPr>
          <w:p>
            <w:pPr>
              <w:spacing w:after="0"/>
              <w:rPr>
                <w:sz w:val="12"/>
                <w:szCs w:val="12"/>
                <w:color w:val="auto"/>
              </w:rPr>
            </w:pPr>
          </w:p>
        </w:tc>
        <w:tc>
          <w:tcPr>
            <w:tcW w:w="740" w:type="dxa"/>
            <w:vAlign w:val="bottom"/>
            <w:gridSpan w:val="4"/>
          </w:tcPr>
          <w:p>
            <w:pPr>
              <w:spacing w:after="0"/>
              <w:rPr>
                <w:sz w:val="20"/>
                <w:szCs w:val="20"/>
                <w:color w:val="auto"/>
              </w:rPr>
            </w:pPr>
            <w:r>
              <w:rPr>
                <w:rFonts w:ascii="Courier New" w:cs="Courier New" w:eastAsia="Courier New" w:hAnsi="Courier New"/>
                <w:sz w:val="12"/>
                <w:szCs w:val="12"/>
                <w:color w:val="auto"/>
              </w:rPr>
              <w:t>timetable</w:t>
            </w:r>
          </w:p>
        </w:tc>
        <w:tc>
          <w:tcPr>
            <w:tcW w:w="140" w:type="dxa"/>
            <w:vAlign w:val="bottom"/>
          </w:tcPr>
          <w:p>
            <w:pPr>
              <w:spacing w:after="0"/>
              <w:rPr>
                <w:sz w:val="12"/>
                <w:szCs w:val="12"/>
                <w:color w:val="auto"/>
              </w:rPr>
            </w:pPr>
          </w:p>
        </w:tc>
        <w:tc>
          <w:tcPr>
            <w:tcW w:w="80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specified</w:t>
            </w:r>
          </w:p>
        </w:tc>
        <w:tc>
          <w:tcPr>
            <w:tcW w:w="220" w:type="dxa"/>
            <w:vAlign w:val="bottom"/>
          </w:tcPr>
          <w:p>
            <w:pPr>
              <w:spacing w:after="0"/>
              <w:rPr>
                <w:sz w:val="12"/>
                <w:szCs w:val="12"/>
                <w:color w:val="auto"/>
              </w:rPr>
            </w:pPr>
          </w:p>
        </w:tc>
        <w:tc>
          <w:tcPr>
            <w:tcW w:w="46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w w:val="99"/>
              </w:rPr>
              <w:t>under</w:t>
            </w:r>
          </w:p>
        </w:tc>
        <w:tc>
          <w:tcPr>
            <w:tcW w:w="1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w w:val="97"/>
              </w:rPr>
              <w:t>such</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100" w:type="dxa"/>
            <w:vAlign w:val="bottom"/>
            <w:gridSpan w:val="15"/>
          </w:tcPr>
          <w:p>
            <w:pPr>
              <w:ind w:left="80"/>
              <w:spacing w:after="0"/>
              <w:rPr>
                <w:sz w:val="20"/>
                <w:szCs w:val="20"/>
                <w:color w:val="auto"/>
              </w:rPr>
            </w:pPr>
            <w:r>
              <w:rPr>
                <w:rFonts w:ascii="Courier New" w:cs="Courier New" w:eastAsia="Courier New" w:hAnsi="Courier New"/>
                <w:sz w:val="12"/>
                <w:szCs w:val="12"/>
                <w:color w:val="auto"/>
              </w:rPr>
              <w:t>prepayment contract for such manufacture;</w:t>
            </w:r>
          </w:p>
        </w:tc>
        <w:tc>
          <w:tcPr>
            <w:tcW w:w="360" w:type="dxa"/>
            <w:vAlign w:val="bottom"/>
          </w:tcPr>
          <w:p>
            <w:pPr>
              <w:spacing w:after="0"/>
              <w:rPr>
                <w:sz w:val="12"/>
                <w:szCs w:val="12"/>
                <w:color w:val="auto"/>
              </w:rPr>
            </w:pPr>
          </w:p>
        </w:tc>
      </w:tr>
      <w:tr>
        <w:trPr>
          <w:trHeight w:val="425"/>
        </w:trPr>
        <w:tc>
          <w:tcPr>
            <w:tcW w:w="1060" w:type="dxa"/>
            <w:vAlign w:val="bottom"/>
          </w:tcPr>
          <w:p>
            <w:pPr>
              <w:spacing w:after="0"/>
              <w:rPr>
                <w:sz w:val="24"/>
                <w:szCs w:val="24"/>
                <w:color w:val="auto"/>
              </w:rPr>
            </w:pPr>
          </w:p>
        </w:tc>
        <w:tc>
          <w:tcPr>
            <w:tcW w:w="2620" w:type="dxa"/>
            <w:vAlign w:val="bottom"/>
          </w:tcPr>
          <w:p>
            <w:pPr>
              <w:ind w:left="1660"/>
              <w:spacing w:after="0"/>
              <w:rPr>
                <w:sz w:val="20"/>
                <w:szCs w:val="20"/>
                <w:color w:val="auto"/>
              </w:rPr>
            </w:pPr>
            <w:r>
              <w:rPr>
                <w:rFonts w:ascii="Courier New" w:cs="Courier New" w:eastAsia="Courier New" w:hAnsi="Courier New"/>
                <w:sz w:val="12"/>
                <w:szCs w:val="12"/>
                <w:color w:val="auto"/>
              </w:rPr>
              <w:t>- 68 -</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89"/>
        </w:trPr>
        <w:tc>
          <w:tcPr>
            <w:tcW w:w="1060" w:type="dxa"/>
            <w:vAlign w:val="bottom"/>
          </w:tcPr>
          <w:p>
            <w:pPr>
              <w:jc w:val="right"/>
              <w:ind w:right="419"/>
              <w:spacing w:after="0"/>
              <w:rPr>
                <w:sz w:val="20"/>
                <w:szCs w:val="20"/>
                <w:color w:val="auto"/>
              </w:rPr>
            </w:pPr>
            <w:r>
              <w:rPr>
                <w:rFonts w:ascii="Courier New" w:cs="Courier New" w:eastAsia="Courier New" w:hAnsi="Courier New"/>
                <w:sz w:val="12"/>
                <w:szCs w:val="12"/>
                <w:color w:val="auto"/>
                <w:w w:val="97"/>
              </w:rPr>
              <w:t>1.1.147.</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"WARRANTS"</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means</w:t>
            </w: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w w:val="94"/>
              </w:rPr>
              <w:t>those</w:t>
            </w:r>
          </w:p>
        </w:tc>
        <w:tc>
          <w:tcPr>
            <w:tcW w:w="14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Courier New" w:cs="Courier New" w:eastAsia="Courier New" w:hAnsi="Courier New"/>
                <w:sz w:val="12"/>
                <w:szCs w:val="12"/>
                <w:color w:val="auto"/>
              </w:rPr>
              <w:t>warrants</w:t>
            </w:r>
          </w:p>
        </w:tc>
        <w:tc>
          <w:tcPr>
            <w:tcW w:w="102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to acquire</w:t>
            </w:r>
          </w:p>
        </w:tc>
        <w:tc>
          <w:tcPr>
            <w:tcW w:w="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shares of</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the</w:t>
            </w:r>
          </w:p>
        </w:tc>
        <w:tc>
          <w:tcPr>
            <w:tcW w:w="720" w:type="dxa"/>
            <w:vAlign w:val="bottom"/>
            <w:gridSpan w:val="4"/>
          </w:tcPr>
          <w:p>
            <w:pPr>
              <w:ind w:left="60"/>
              <w:spacing w:after="0"/>
              <w:rPr>
                <w:sz w:val="20"/>
                <w:szCs w:val="20"/>
                <w:color w:val="auto"/>
              </w:rPr>
            </w:pPr>
            <w:r>
              <w:rPr>
                <w:rFonts w:ascii="Courier New" w:cs="Courier New" w:eastAsia="Courier New" w:hAnsi="Courier New"/>
                <w:sz w:val="12"/>
                <w:szCs w:val="12"/>
                <w:color w:val="auto"/>
              </w:rPr>
              <w:t>Borrower</w:t>
            </w:r>
          </w:p>
        </w:tc>
        <w:tc>
          <w:tcPr>
            <w:tcW w:w="118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issued by the</w:t>
            </w:r>
          </w:p>
        </w:tc>
        <w:tc>
          <w:tcPr>
            <w:tcW w:w="11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Borrower to the</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Banks</w:t>
            </w:r>
          </w:p>
        </w:tc>
        <w:tc>
          <w:tcPr>
            <w:tcW w:w="220" w:type="dxa"/>
            <w:vAlign w:val="bottom"/>
          </w:tcPr>
          <w:p>
            <w:pPr>
              <w:spacing w:after="0"/>
              <w:rPr>
                <w:sz w:val="20"/>
                <w:szCs w:val="20"/>
                <w:color w:val="auto"/>
              </w:rPr>
            </w:pPr>
            <w:r>
              <w:rPr>
                <w:rFonts w:ascii="Courier New" w:cs="Courier New" w:eastAsia="Courier New" w:hAnsi="Courier New"/>
                <w:sz w:val="12"/>
                <w:szCs w:val="12"/>
                <w:color w:val="auto"/>
                <w:w w:val="92"/>
              </w:rPr>
              <w:t>(or</w:t>
            </w:r>
          </w:p>
        </w:tc>
        <w:tc>
          <w:tcPr>
            <w:tcW w:w="14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w w:val="99"/>
              </w:rPr>
              <w:t>their</w:t>
            </w:r>
          </w:p>
        </w:tc>
        <w:tc>
          <w:tcPr>
            <w:tcW w:w="140" w:type="dxa"/>
            <w:vAlign w:val="bottom"/>
          </w:tcPr>
          <w:p>
            <w:pPr>
              <w:spacing w:after="0"/>
              <w:rPr>
                <w:sz w:val="12"/>
                <w:szCs w:val="12"/>
                <w:color w:val="auto"/>
              </w:rPr>
            </w:pPr>
          </w:p>
        </w:tc>
        <w:tc>
          <w:tcPr>
            <w:tcW w:w="80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7"/>
              </w:rPr>
              <w:t>respective</w:t>
            </w:r>
          </w:p>
        </w:tc>
        <w:tc>
          <w:tcPr>
            <w:tcW w:w="22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nominees</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or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60" w:type="dxa"/>
            <w:vAlign w:val="bottom"/>
            <w:gridSpan w:val="16"/>
          </w:tcPr>
          <w:p>
            <w:pPr>
              <w:ind w:left="80"/>
              <w:spacing w:after="0"/>
              <w:rPr>
                <w:sz w:val="20"/>
                <w:szCs w:val="20"/>
                <w:color w:val="auto"/>
              </w:rPr>
            </w:pPr>
            <w:r>
              <w:rPr>
                <w:rFonts w:ascii="Courier New" w:cs="Courier New" w:eastAsia="Courier New" w:hAnsi="Courier New"/>
                <w:sz w:val="12"/>
                <w:szCs w:val="12"/>
                <w:color w:val="auto"/>
              </w:rPr>
              <w:t>Affiliates)  as  listed  in  SCHEDULE 1.1.147</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60" w:type="dxa"/>
            <w:vAlign w:val="bottom"/>
            <w:gridSpan w:val="16"/>
          </w:tcPr>
          <w:p>
            <w:pPr>
              <w:ind w:left="80"/>
              <w:spacing w:after="0"/>
              <w:rPr>
                <w:sz w:val="20"/>
                <w:szCs w:val="20"/>
                <w:color w:val="auto"/>
              </w:rPr>
            </w:pPr>
            <w:r>
              <w:rPr>
                <w:rFonts w:ascii="Courier New" w:cs="Courier New" w:eastAsia="Courier New" w:hAnsi="Courier New"/>
                <w:sz w:val="12"/>
                <w:szCs w:val="12"/>
                <w:color w:val="auto"/>
              </w:rPr>
              <w:t>hereto  as  well  as any  other  warrants  to</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acquire</w:t>
            </w:r>
          </w:p>
        </w:tc>
        <w:tc>
          <w:tcPr>
            <w:tcW w:w="74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shares</w:t>
            </w: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rPr>
              <w:t>of the</w:t>
            </w:r>
          </w:p>
        </w:tc>
        <w:tc>
          <w:tcPr>
            <w:tcW w:w="580" w:type="dxa"/>
            <w:vAlign w:val="bottom"/>
            <w:gridSpan w:val="3"/>
          </w:tcPr>
          <w:p>
            <w:pPr>
              <w:spacing w:after="0"/>
              <w:rPr>
                <w:sz w:val="20"/>
                <w:szCs w:val="20"/>
                <w:color w:val="auto"/>
              </w:rPr>
            </w:pPr>
            <w:r>
              <w:rPr>
                <w:rFonts w:ascii="Courier New" w:cs="Courier New" w:eastAsia="Courier New" w:hAnsi="Courier New"/>
                <w:sz w:val="12"/>
                <w:szCs w:val="12"/>
                <w:color w:val="auto"/>
                <w:w w:val="97"/>
              </w:rPr>
              <w:t>Borrower</w:t>
            </w:r>
          </w:p>
        </w:tc>
        <w:tc>
          <w:tcPr>
            <w:tcW w:w="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issued</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by</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Courier New" w:cs="Courier New" w:eastAsia="Courier New" w:hAnsi="Courier New"/>
                <w:sz w:val="12"/>
                <w:szCs w:val="12"/>
                <w:color w:val="auto"/>
              </w:rPr>
              <w:t>the</w:t>
            </w:r>
          </w:p>
        </w:tc>
        <w:tc>
          <w:tcPr>
            <w:tcW w:w="72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7"/>
              </w:rPr>
              <w:t>Borrower</w:t>
            </w:r>
          </w:p>
        </w:tc>
        <w:tc>
          <w:tcPr>
            <w:tcW w:w="24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Courier New" w:cs="Courier New" w:eastAsia="Courier New" w:hAnsi="Courier New"/>
                <w:sz w:val="12"/>
                <w:szCs w:val="12"/>
                <w:color w:val="auto"/>
                <w:w w:val="82"/>
              </w:rPr>
              <w:t>to</w:t>
            </w:r>
          </w:p>
        </w:tc>
        <w:tc>
          <w:tcPr>
            <w:tcW w:w="4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the</w:t>
            </w:r>
          </w:p>
        </w:tc>
        <w:tc>
          <w:tcPr>
            <w:tcW w:w="14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Banks</w:t>
            </w:r>
          </w:p>
        </w:tc>
        <w:tc>
          <w:tcPr>
            <w:tcW w:w="46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(or</w:t>
            </w: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their</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respective</w:t>
            </w:r>
          </w:p>
        </w:tc>
        <w:tc>
          <w:tcPr>
            <w:tcW w:w="140" w:type="dxa"/>
            <w:vAlign w:val="bottom"/>
          </w:tcPr>
          <w:p>
            <w:pPr>
              <w:spacing w:after="0"/>
              <w:rPr>
                <w:sz w:val="12"/>
                <w:szCs w:val="12"/>
                <w:color w:val="auto"/>
              </w:rPr>
            </w:pPr>
          </w:p>
        </w:tc>
        <w:tc>
          <w:tcPr>
            <w:tcW w:w="74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nominees</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w w:val="82"/>
              </w:rPr>
              <w:t>or</w:t>
            </w:r>
          </w:p>
        </w:tc>
        <w:tc>
          <w:tcPr>
            <w:tcW w:w="140" w:type="dxa"/>
            <w:vAlign w:val="bottom"/>
          </w:tcPr>
          <w:p>
            <w:pPr>
              <w:spacing w:after="0"/>
              <w:rPr>
                <w:sz w:val="12"/>
                <w:szCs w:val="12"/>
                <w:color w:val="auto"/>
              </w:rPr>
            </w:pPr>
          </w:p>
        </w:tc>
        <w:tc>
          <w:tcPr>
            <w:tcW w:w="90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Affiliates)</w:t>
            </w:r>
          </w:p>
        </w:tc>
        <w:tc>
          <w:tcPr>
            <w:tcW w:w="1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w w:val="97"/>
              </w:rPr>
              <w:t>from</w:t>
            </w:r>
          </w:p>
        </w:tc>
      </w:tr>
      <w:tr>
        <w:trPr>
          <w:trHeight w:val="142"/>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time to time.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83"/>
        </w:trPr>
        <w:tc>
          <w:tcPr>
            <w:tcW w:w="1060" w:type="dxa"/>
            <w:vAlign w:val="bottom"/>
          </w:tcPr>
          <w:p>
            <w:pPr>
              <w:jc w:val="right"/>
              <w:ind w:right="419"/>
              <w:spacing w:after="0"/>
              <w:rPr>
                <w:sz w:val="20"/>
                <w:szCs w:val="20"/>
                <w:color w:val="auto"/>
              </w:rPr>
            </w:pPr>
            <w:r>
              <w:rPr>
                <w:rFonts w:ascii="Courier New" w:cs="Courier New" w:eastAsia="Courier New" w:hAnsi="Courier New"/>
                <w:sz w:val="12"/>
                <w:szCs w:val="12"/>
                <w:color w:val="auto"/>
                <w:w w:val="97"/>
              </w:rPr>
              <w:t>1.1.148.</w:t>
            </w:r>
          </w:p>
        </w:tc>
        <w:tc>
          <w:tcPr>
            <w:tcW w:w="2620" w:type="dxa"/>
            <w:vAlign w:val="bottom"/>
          </w:tcPr>
          <w:p>
            <w:pPr>
              <w:ind w:left="480"/>
              <w:spacing w:after="0"/>
              <w:rPr>
                <w:sz w:val="20"/>
                <w:szCs w:val="20"/>
                <w:color w:val="auto"/>
              </w:rPr>
            </w:pPr>
            <w:r>
              <w:rPr>
                <w:rFonts w:ascii="Courier New" w:cs="Courier New" w:eastAsia="Courier New" w:hAnsi="Courier New"/>
                <w:sz w:val="12"/>
                <w:szCs w:val="12"/>
                <w:color w:val="auto"/>
              </w:rPr>
              <w:t>[INTENTIONALLY DELETED]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1.2. CLAUSE HEADINGS/TABLE OF CONTENTS</w:t>
      </w:r>
    </w:p>
    <w:p>
      <w:pPr>
        <w:spacing w:after="0" w:line="147" w:lineRule="exact"/>
        <w:rPr>
          <w:sz w:val="20"/>
          <w:szCs w:val="20"/>
          <w:color w:val="auto"/>
        </w:rPr>
      </w:pPr>
    </w:p>
    <w:p>
      <w:pPr>
        <w:ind w:left="360" w:right="4499"/>
        <w:spacing w:after="0" w:line="251" w:lineRule="auto"/>
        <w:rPr>
          <w:sz w:val="20"/>
          <w:szCs w:val="20"/>
          <w:color w:val="auto"/>
        </w:rPr>
      </w:pPr>
      <w:r>
        <w:rPr>
          <w:rFonts w:ascii="Courier New" w:cs="Courier New" w:eastAsia="Courier New" w:hAnsi="Courier New"/>
          <w:sz w:val="12"/>
          <w:szCs w:val="12"/>
          <w:color w:val="auto"/>
        </w:rPr>
        <w:t>Clause headings and the table of contents are inserted for convenience of reference only and shall be ignored in the interpretation of this Agreement.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1.3. INTERPRETATION</w:t>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In this Agreement, unless the context otherwise requires:</w:t>
      </w:r>
    </w:p>
    <w:p>
      <w:pPr>
        <w:spacing w:after="0" w:line="147"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1.3.1. references to clauses and Schedules are to be construed as references to the clauses of, and Schedules to, this Agreement and references to this Agreement include its Schedules. For the removal of doubt, Schedules to this Agreement which have not been deleted and which are not attached (whether on the date hereof or on the Amendment</w:t>
      </w:r>
    </w:p>
    <w:p>
      <w:pPr>
        <w:sectPr>
          <w:pgSz w:w="11900" w:h="16868" w:orient="portrait"/>
          <w:cols w:equalWidth="0" w:num="1">
            <w:col w:w="10239"/>
          </w:cols>
          <w:pgMar w:left="220" w:top="566" w:right="1440" w:bottom="0" w:gutter="0" w:footer="0" w:header="0"/>
        </w:sectPr>
      </w:pPr>
    </w:p>
    <w:bookmarkStart w:id="101" w:name="page102"/>
    <w:bookmarkEnd w:id="101"/>
    <w:p>
      <w:pPr>
        <w:spacing w:after="0" w:line="30"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Closing Date) to this Agreement shall remain effective in their</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respective forms as applicable immediately prior to the Amendment</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Closing Date;</w:t>
      </w:r>
    </w:p>
    <w:p>
      <w:pPr>
        <w:spacing w:after="0" w:line="147" w:lineRule="exact"/>
        <w:rPr>
          <w:sz w:val="20"/>
          <w:szCs w:val="20"/>
          <w:color w:val="auto"/>
        </w:rPr>
      </w:pPr>
    </w:p>
    <w:p>
      <w:pPr>
        <w:ind w:left="744" w:right="4359" w:hanging="367"/>
        <w:spacing w:after="0" w:line="250" w:lineRule="auto"/>
        <w:rPr>
          <w:sz w:val="20"/>
          <w:szCs w:val="20"/>
          <w:color w:val="auto"/>
        </w:rPr>
      </w:pPr>
      <w:r>
        <w:rPr>
          <w:rFonts w:ascii="Courier New" w:cs="Courier New" w:eastAsia="Courier New" w:hAnsi="Courier New"/>
          <w:sz w:val="12"/>
          <w:szCs w:val="12"/>
          <w:color w:val="auto"/>
        </w:rPr>
        <w:t>1.3.2. references to (or to any specified provision of) this Agreement or any other document shall be construed as references to this Agreement, that provision or that document as in force for the time being and as amended in accordance with the terms thereof, or, as the case may be, with the agreement of the relevant parties;</w:t>
      </w:r>
    </w:p>
    <w:p>
      <w:pPr>
        <w:spacing w:after="0" w:line="141"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1.3.3. words importing the plural shall include the singular and VICE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VERSA;</w:t>
      </w:r>
    </w:p>
    <w:p>
      <w:pPr>
        <w:spacing w:after="0" w:line="147" w:lineRule="exact"/>
        <w:rPr>
          <w:sz w:val="20"/>
          <w:szCs w:val="20"/>
          <w:color w:val="auto"/>
        </w:rPr>
      </w:pPr>
    </w:p>
    <w:p>
      <w:pPr>
        <w:ind w:left="744" w:right="4499" w:hanging="367"/>
        <w:spacing w:after="0" w:line="250" w:lineRule="auto"/>
        <w:rPr>
          <w:sz w:val="20"/>
          <w:szCs w:val="20"/>
          <w:color w:val="auto"/>
        </w:rPr>
      </w:pPr>
      <w:r>
        <w:rPr>
          <w:rFonts w:ascii="Courier New" w:cs="Courier New" w:eastAsia="Courier New" w:hAnsi="Courier New"/>
          <w:sz w:val="12"/>
          <w:szCs w:val="12"/>
          <w:color w:val="auto"/>
        </w:rPr>
        <w:t>1.3.4. "AFFILIATE" means, with respect to any person, mean any company which controls, is controlled by, or under common control with, such person; "CONTROL" shall in this clause 1.3.4 and in clause 1.3.10 below bear the meaning assigned to such term in Section 1 of the Securities Law, 1968;</w:t>
      </w:r>
    </w:p>
    <w:p>
      <w:pPr>
        <w:spacing w:after="0" w:line="283"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- 69 -</w:t>
      </w:r>
    </w:p>
    <w:p>
      <w:pPr>
        <w:spacing w:after="0" w:line="200" w:lineRule="exact"/>
        <w:rPr>
          <w:sz w:val="20"/>
          <w:szCs w:val="20"/>
          <w:color w:val="auto"/>
        </w:rPr>
      </w:pPr>
    </w:p>
    <w:p>
      <w:pPr>
        <w:spacing w:after="0" w:line="353" w:lineRule="exact"/>
        <w:rPr>
          <w:sz w:val="20"/>
          <w:szCs w:val="20"/>
          <w:color w:val="auto"/>
        </w:rPr>
      </w:pPr>
    </w:p>
    <w:p>
      <w:pPr>
        <w:jc w:val="both"/>
        <w:ind w:left="744" w:right="4359" w:hanging="367"/>
        <w:spacing w:after="0" w:line="251" w:lineRule="auto"/>
        <w:rPr>
          <w:sz w:val="20"/>
          <w:szCs w:val="20"/>
          <w:color w:val="auto"/>
        </w:rPr>
      </w:pPr>
      <w:r>
        <w:rPr>
          <w:rFonts w:ascii="Courier New" w:cs="Courier New" w:eastAsia="Courier New" w:hAnsi="Courier New"/>
          <w:sz w:val="12"/>
          <w:szCs w:val="12"/>
          <w:color w:val="auto"/>
        </w:rPr>
        <w:t>1.3.5. "BANKS" shall be construed so as to include any subsequent permitted successors, transferees and permitted assigns of a Bank in accordance with their respective interests pursuant to clause 25 below;</w:t>
      </w:r>
    </w:p>
    <w:p>
      <w:pPr>
        <w:spacing w:after="0" w:line="140" w:lineRule="exact"/>
        <w:rPr>
          <w:sz w:val="20"/>
          <w:szCs w:val="20"/>
          <w:color w:val="auto"/>
        </w:rPr>
      </w:pPr>
    </w:p>
    <w:p>
      <w:pPr>
        <w:ind w:left="744" w:right="4499" w:hanging="367"/>
        <w:spacing w:after="0" w:line="250" w:lineRule="auto"/>
        <w:rPr>
          <w:sz w:val="20"/>
          <w:szCs w:val="20"/>
          <w:color w:val="auto"/>
        </w:rPr>
      </w:pPr>
      <w:r>
        <w:rPr>
          <w:rFonts w:ascii="Courier New" w:cs="Courier New" w:eastAsia="Courier New" w:hAnsi="Courier New"/>
          <w:sz w:val="12"/>
          <w:szCs w:val="12"/>
          <w:color w:val="auto"/>
        </w:rPr>
        <w:t>1.3.6. the "EQUIVALENT" on any given date in one currency (the "FIRST CURRENCY") of an amount denominated in another currency (the "SECOND CURRENCY") means the amount of the first currency which could be purchased with the amount of the second currency at: (i) in the case that one of the two relevant currencies is NIS, the Representative Rate for the other currency; or (ii) in the case that neither of the relevant currencies is NIS, the rate equal to a fraction, the numerator of which is the Representative Rate of the second currency and the denominator of which is the Representative Rate of the first currency;</w:t>
      </w:r>
    </w:p>
    <w:p>
      <w:pPr>
        <w:spacing w:after="0" w:line="141" w:lineRule="exact"/>
        <w:rPr>
          <w:sz w:val="20"/>
          <w:szCs w:val="20"/>
          <w:color w:val="auto"/>
        </w:rPr>
      </w:pPr>
    </w:p>
    <w:p>
      <w:pPr>
        <w:ind w:left="744" w:right="4639" w:hanging="367"/>
        <w:spacing w:after="0" w:line="253" w:lineRule="auto"/>
        <w:rPr>
          <w:sz w:val="20"/>
          <w:szCs w:val="20"/>
          <w:color w:val="auto"/>
        </w:rPr>
      </w:pPr>
      <w:r>
        <w:rPr>
          <w:rFonts w:ascii="Courier New" w:cs="Courier New" w:eastAsia="Courier New" w:hAnsi="Courier New"/>
          <w:sz w:val="12"/>
          <w:szCs w:val="12"/>
          <w:color w:val="auto"/>
        </w:rPr>
        <w:t>1.3.7. "INCLUDING" and "INCLUDES" means including, without limiting the generality of any description preceding such terms;</w:t>
      </w:r>
    </w:p>
    <w:p>
      <w:pPr>
        <w:spacing w:after="0" w:line="138" w:lineRule="exact"/>
        <w:rPr>
          <w:sz w:val="20"/>
          <w:szCs w:val="20"/>
          <w:color w:val="auto"/>
        </w:rPr>
      </w:pPr>
    </w:p>
    <w:p>
      <w:pPr>
        <w:ind w:left="744" w:right="4359" w:hanging="367"/>
        <w:spacing w:after="0" w:line="250" w:lineRule="auto"/>
        <w:rPr>
          <w:sz w:val="20"/>
          <w:szCs w:val="20"/>
          <w:color w:val="auto"/>
        </w:rPr>
      </w:pPr>
      <w:r>
        <w:rPr>
          <w:rFonts w:ascii="Courier New" w:cs="Courier New" w:eastAsia="Courier New" w:hAnsi="Courier New"/>
          <w:sz w:val="12"/>
          <w:szCs w:val="12"/>
          <w:color w:val="auto"/>
        </w:rPr>
        <w:t>1.3.8. a "LAW" includes any Israeli statute, law, regulation, treaty, rule, official directive, request or guideline of any governmental, fiscal, monetary or regulatory body, agency, department or regulatory, self-regulatory or other authority or organisation, including, the position (guidelines) of the Examiner of Banks with respect to proper conduct of bank affairs ("HORA'OT NIHUL BANKAI Takin") or any interpretation of any of the aforegoing by the Examiner of Banks (all the above whether or not having the force of law, but if not having the force of law, being one with which it is the practice of banks to comply);</w:t>
      </w:r>
    </w:p>
    <w:p>
      <w:pPr>
        <w:spacing w:after="0" w:line="283" w:lineRule="exact"/>
        <w:rPr>
          <w:sz w:val="20"/>
          <w:szCs w:val="20"/>
          <w:color w:val="auto"/>
        </w:rPr>
      </w:pPr>
    </w:p>
    <w:p>
      <w:pPr>
        <w:ind w:left="744" w:right="4579" w:hanging="367"/>
        <w:spacing w:after="0" w:line="251" w:lineRule="auto"/>
        <w:rPr>
          <w:sz w:val="20"/>
          <w:szCs w:val="20"/>
          <w:color w:val="auto"/>
        </w:rPr>
      </w:pPr>
      <w:r>
        <w:rPr>
          <w:rFonts w:ascii="Courier New" w:cs="Courier New" w:eastAsia="Courier New" w:hAnsi="Courier New"/>
          <w:sz w:val="12"/>
          <w:szCs w:val="12"/>
          <w:color w:val="auto"/>
        </w:rPr>
        <w:t>1.3.9. a "PERSON" shall be construed as a reference to any person, firm, company, corporation, government, state or agency of a state or any association or partnership (whether or not having separate legal personality) or two or more of the aforegoing;</w:t>
      </w:r>
    </w:p>
    <w:p>
      <w:pPr>
        <w:spacing w:after="0" w:line="139" w:lineRule="exact"/>
        <w:rPr>
          <w:sz w:val="20"/>
          <w:szCs w:val="20"/>
          <w:color w:val="auto"/>
        </w:rPr>
      </w:pPr>
    </w:p>
    <w:p>
      <w:pPr>
        <w:ind w:left="744" w:right="4639" w:hanging="367"/>
        <w:spacing w:after="0" w:line="253" w:lineRule="auto"/>
        <w:rPr>
          <w:sz w:val="20"/>
          <w:szCs w:val="20"/>
          <w:color w:val="auto"/>
        </w:rPr>
      </w:pPr>
      <w:r>
        <w:rPr>
          <w:rFonts w:ascii="Courier New" w:cs="Courier New" w:eastAsia="Courier New" w:hAnsi="Courier New"/>
          <w:sz w:val="12"/>
          <w:szCs w:val="12"/>
          <w:color w:val="auto"/>
        </w:rPr>
        <w:t>1.3.10. "SUBSIDIARY" of a person means any company which is directly or indirectly controlled by such person;</w:t>
      </w:r>
    </w:p>
    <w:p>
      <w:pPr>
        <w:spacing w:after="0" w:line="138" w:lineRule="exact"/>
        <w:rPr>
          <w:sz w:val="20"/>
          <w:szCs w:val="20"/>
          <w:color w:val="auto"/>
        </w:rPr>
      </w:pPr>
    </w:p>
    <w:p>
      <w:pPr>
        <w:ind w:left="744" w:right="4419" w:hanging="367"/>
        <w:spacing w:after="0" w:line="251" w:lineRule="auto"/>
        <w:rPr>
          <w:sz w:val="20"/>
          <w:szCs w:val="20"/>
          <w:color w:val="auto"/>
        </w:rPr>
      </w:pPr>
      <w:r>
        <w:rPr>
          <w:rFonts w:ascii="Courier New" w:cs="Courier New" w:eastAsia="Courier New" w:hAnsi="Courier New"/>
          <w:sz w:val="12"/>
          <w:szCs w:val="12"/>
          <w:color w:val="auto"/>
        </w:rPr>
        <w:t>1.3.11. "US $", "UNITED STATES DOLLARS", "US DOLLARS" and "DOLLARS" denote the lawful currency of the United States of America; and "NIS" and "NEW ISRAEL SHEQELS" denote the lawful currency of Israel;</w:t>
      </w:r>
    </w:p>
    <w:p>
      <w:pPr>
        <w:spacing w:after="0" w:line="281"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- 70 -</w:t>
      </w:r>
    </w:p>
    <w:p>
      <w:pPr>
        <w:spacing w:after="0" w:line="200" w:lineRule="exact"/>
        <w:rPr>
          <w:sz w:val="20"/>
          <w:szCs w:val="20"/>
          <w:color w:val="auto"/>
        </w:rPr>
      </w:pPr>
    </w:p>
    <w:p>
      <w:pPr>
        <w:spacing w:after="0" w:line="353" w:lineRule="exact"/>
        <w:rPr>
          <w:sz w:val="20"/>
          <w:szCs w:val="20"/>
          <w:color w:val="auto"/>
        </w:rPr>
      </w:pPr>
    </w:p>
    <w:p>
      <w:pPr>
        <w:ind w:left="744" w:right="4359" w:hanging="367"/>
        <w:spacing w:after="0" w:line="251" w:lineRule="auto"/>
        <w:rPr>
          <w:sz w:val="20"/>
          <w:szCs w:val="20"/>
          <w:color w:val="auto"/>
        </w:rPr>
      </w:pPr>
      <w:r>
        <w:rPr>
          <w:rFonts w:ascii="Courier New" w:cs="Courier New" w:eastAsia="Courier New" w:hAnsi="Courier New"/>
          <w:sz w:val="12"/>
          <w:szCs w:val="12"/>
          <w:color w:val="auto"/>
        </w:rPr>
        <w:t>1.3.12. "VAT" shall be construed as a reference to Israeli value added tax, including any similar Israeli Tax which may be imposed in place thereof from time to time;</w:t>
      </w:r>
    </w:p>
    <w:p>
      <w:pPr>
        <w:spacing w:after="0" w:line="140" w:lineRule="exact"/>
        <w:rPr>
          <w:sz w:val="20"/>
          <w:szCs w:val="20"/>
          <w:color w:val="auto"/>
        </w:rPr>
      </w:pPr>
    </w:p>
    <w:p>
      <w:pPr>
        <w:jc w:val="center"/>
        <w:ind w:right="3995"/>
        <w:spacing w:after="0"/>
        <w:rPr>
          <w:sz w:val="20"/>
          <w:szCs w:val="20"/>
          <w:color w:val="auto"/>
        </w:rPr>
      </w:pPr>
      <w:r>
        <w:rPr>
          <w:rFonts w:ascii="Courier New" w:cs="Courier New" w:eastAsia="Courier New" w:hAnsi="Courier New"/>
          <w:sz w:val="12"/>
          <w:szCs w:val="12"/>
          <w:color w:val="auto"/>
        </w:rPr>
        <w:t>1.3.13. the "WINDING-UP", "DISSOLUTION" or "ADMINISTRATION" of a company or</w:t>
      </w:r>
    </w:p>
    <w:p>
      <w:pPr>
        <w:spacing w:after="0" w:line="6"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corporation shall be construed so as to include any equivalent or analogous Proceedings under the law of the jurisdiction in which such company or corporation is incorporated or any jurisdiction in which such company or corporation carries on business, including the seeking of liquidation, winding-up, reorganisation, dissolution, administration, arrangement, adjustment, protection or relief of debtors;</w:t>
      </w:r>
    </w:p>
    <w:p>
      <w:pPr>
        <w:spacing w:after="0" w:line="141" w:lineRule="exact"/>
        <w:rPr>
          <w:sz w:val="20"/>
          <w:szCs w:val="20"/>
          <w:color w:val="auto"/>
        </w:rPr>
      </w:pPr>
    </w:p>
    <w:p>
      <w:pPr>
        <w:ind w:left="744" w:right="4419" w:hanging="367"/>
        <w:spacing w:after="0" w:line="250" w:lineRule="auto"/>
        <w:rPr>
          <w:sz w:val="20"/>
          <w:szCs w:val="20"/>
          <w:color w:val="auto"/>
        </w:rPr>
      </w:pPr>
      <w:r>
        <w:rPr>
          <w:rFonts w:ascii="Courier New" w:cs="Courier New" w:eastAsia="Courier New" w:hAnsi="Courier New"/>
          <w:sz w:val="12"/>
          <w:szCs w:val="12"/>
          <w:color w:val="auto"/>
        </w:rPr>
        <w:t>1.3.14. all accounting expressions which are not otherwise defined herein shall be construed in accordance with GAAP. Save as expressly stated otherwise, each of "Debt Service", "EBITDA", "Excess Cash Flow", "Sales" and "Total Debt" for any period, shall be determined from the consolidated Accounts for the relevant period or for the periods comprising such period, or, if not included in the Accounts, shall be determined from a certificate signed by the Auditors delivered to the Banks together with the Accounts;</w:t>
      </w:r>
    </w:p>
    <w:p>
      <w:pPr>
        <w:spacing w:after="0" w:line="141" w:lineRule="exact"/>
        <w:rPr>
          <w:sz w:val="20"/>
          <w:szCs w:val="20"/>
          <w:color w:val="auto"/>
        </w:rPr>
      </w:pPr>
    </w:p>
    <w:p>
      <w:pPr>
        <w:jc w:val="both"/>
        <w:ind w:left="744" w:right="4499" w:hanging="367"/>
        <w:spacing w:after="0" w:line="251" w:lineRule="auto"/>
        <w:rPr>
          <w:sz w:val="20"/>
          <w:szCs w:val="20"/>
          <w:color w:val="auto"/>
        </w:rPr>
      </w:pPr>
      <w:r>
        <w:rPr>
          <w:rFonts w:ascii="Courier New" w:cs="Courier New" w:eastAsia="Courier New" w:hAnsi="Courier New"/>
          <w:sz w:val="12"/>
          <w:szCs w:val="12"/>
          <w:color w:val="auto"/>
        </w:rPr>
        <w:t>1.3.15. any reference in this Agreement to a law shall be construed as a reference to such law as the same may have been, or may from time to time be, amended or re-enacted.</w:t>
      </w:r>
    </w:p>
    <w:p>
      <w:pPr>
        <w:spacing w:after="0" w:line="140" w:lineRule="exact"/>
        <w:rPr>
          <w:sz w:val="20"/>
          <w:szCs w:val="20"/>
          <w:color w:val="auto"/>
        </w:rPr>
      </w:pPr>
    </w:p>
    <w:p>
      <w:pPr>
        <w:ind w:left="364" w:hanging="364"/>
        <w:spacing w:after="0"/>
        <w:tabs>
          <w:tab w:leader="none" w:pos="364" w:val="left"/>
        </w:tabs>
        <w:numPr>
          <w:ilvl w:val="0"/>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LOANS</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2.1. LOANS TO THE BORROWER</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The principal amount of the Loans outstanding immediately prior to the conversions referred to below taking place on the Amendment Closing Date was US $526,693,001 (five hundred and twenty-six million, six hundred and ninety-three thousand and one United States Dollars). The principal amount of the Loans outstanding and owing by the Borrower to the Banks as at the Amendment Closing Date (after conversion by each Bank of US $79,000,000 (seventy-nine million United States Dollars) of its Loans to the Borrower into US $39,500,000 (thirty-nine million, five hundred thousand United States Dollars) of capital notes convertible into 25,986,842 (twenty-five million, nine hundred and eighty-six thousand, eight hundred and forty-two) shares) (subject to the adjustments set forth in the capital notes) is US $368,693,001 (three hundred and sixty eight million, six hundred and ninety-three thousand and one United States Dollars), of which US $184,348,255 (one hundred and eighty-four million, three hundred and forty-eight</w:t>
      </w:r>
    </w:p>
    <w:p>
      <w:pPr>
        <w:sectPr>
          <w:pgSz w:w="11900" w:h="16868" w:orient="portrait"/>
          <w:cols w:equalWidth="0" w:num="1">
            <w:col w:w="10244"/>
          </w:cols>
          <w:pgMar w:left="216" w:top="141" w:right="1440" w:bottom="0" w:gutter="0" w:footer="0" w:header="0"/>
        </w:sectPr>
      </w:pPr>
    </w:p>
    <w:bookmarkStart w:id="102" w:name="page103"/>
    <w:bookmarkEnd w:id="102"/>
    <w:p>
      <w:pPr>
        <w:ind w:left="744" w:right="4359"/>
        <w:spacing w:after="0" w:line="251" w:lineRule="auto"/>
        <w:rPr>
          <w:sz w:val="20"/>
          <w:szCs w:val="20"/>
          <w:color w:val="auto"/>
        </w:rPr>
      </w:pPr>
      <w:r>
        <w:rPr>
          <w:rFonts w:ascii="Courier New" w:cs="Courier New" w:eastAsia="Courier New" w:hAnsi="Courier New"/>
          <w:sz w:val="12"/>
          <w:szCs w:val="12"/>
          <w:color w:val="auto"/>
        </w:rPr>
        <w:t>thousand, two hundred and fifty-five United States Dollars) is owed to Bank Hapoalim and US $184,344,746 (one hundred and eighty four million, three hundred and forty-four thousand, seven hundred and forty-six United States Dollars) is owed to Bank Leumi.</w:t>
      </w:r>
    </w:p>
    <w:p>
      <w:pPr>
        <w:spacing w:after="0" w:line="281"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- 71 -</w:t>
      </w:r>
    </w:p>
    <w:p>
      <w:pPr>
        <w:spacing w:after="0" w:line="200" w:lineRule="exact"/>
        <w:rPr>
          <w:sz w:val="20"/>
          <w:szCs w:val="20"/>
          <w:color w:val="auto"/>
        </w:rPr>
      </w:pPr>
    </w:p>
    <w:p>
      <w:pPr>
        <w:spacing w:after="0" w:line="353"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2.2. BANKS' OBLIGATIONS SEVERAL</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The obligations of each of the Banks under this Agreement shall be several; accordingly, the failure of a Bank to perform its obligations under this Agreement shall not result in: (1) the obligations of any other Bank being increased; nor (2) the Borrower being discharged (in whole or in part) from its obligations under this Agreement towards a Bank (without derogating from rights and remedies the Borrower may have against the Bank in breach) and in no circumstances shall a Bank have any responsibility for a failure of another Bank to perform its obligations under this Agreement.</w:t>
      </w:r>
    </w:p>
    <w:p>
      <w:pPr>
        <w:spacing w:after="0" w:line="141"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2.3. LIMITS ON YEN, EURO AND POUND STERLING CREDITS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2.3. BANKS' RIGHTS SEPARATE</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rights of each Bank under or in connection with the Finance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Documents are separate and independent rights and any debt arising</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under the Finance Documents to a Bank from the Borrower shall be a</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separate and independent debt.</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2.4. SEPARATE ENFORCEMENT BY BANKS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 Bank may, except as otherwise stated in the Finance Documents,</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separately enforce its rights under the Finance Documents.</w:t>
      </w: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- 72 -</w:t>
      </w:r>
    </w:p>
    <w:p>
      <w:pPr>
        <w:spacing w:after="0" w:line="200" w:lineRule="exact"/>
        <w:rPr>
          <w:sz w:val="20"/>
          <w:szCs w:val="20"/>
          <w:color w:val="auto"/>
        </w:rPr>
      </w:pPr>
    </w:p>
    <w:p>
      <w:pPr>
        <w:spacing w:after="0" w:line="353" w:lineRule="exact"/>
        <w:rPr>
          <w:sz w:val="20"/>
          <w:szCs w:val="20"/>
          <w:color w:val="auto"/>
        </w:rPr>
      </w:pPr>
    </w:p>
    <w:p>
      <w:pPr>
        <w:ind w:left="364" w:hanging="364"/>
        <w:spacing w:after="0"/>
        <w:tabs>
          <w:tab w:leader="none" w:pos="364"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PURPOSE--INTENTIONALLY DELETED</w:t>
      </w:r>
    </w:p>
    <w:p>
      <w:pPr>
        <w:spacing w:after="0" w:line="147" w:lineRule="exact"/>
        <w:rPr>
          <w:rFonts w:ascii="Courier New" w:cs="Courier New" w:eastAsia="Courier New" w:hAnsi="Courier New"/>
          <w:sz w:val="12"/>
          <w:szCs w:val="12"/>
          <w:color w:val="auto"/>
        </w:rPr>
      </w:pPr>
    </w:p>
    <w:p>
      <w:pPr>
        <w:ind w:left="744" w:right="7379" w:hanging="368"/>
        <w:spacing w:after="0" w:line="49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3.1. PURPOSE OF ADVANCES AND LOANS [INTENTIONALLY DELETED]</w:t>
      </w:r>
    </w:p>
    <w:p>
      <w:pPr>
        <w:spacing w:after="0" w:line="1"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3.2. PURPOSE OF L/CS</w:t>
      </w:r>
    </w:p>
    <w:p>
      <w:pPr>
        <w:spacing w:after="0" w:line="147" w:lineRule="exact"/>
        <w:rPr>
          <w:rFonts w:ascii="Courier New" w:cs="Courier New" w:eastAsia="Courier New" w:hAnsi="Courier New"/>
          <w:sz w:val="12"/>
          <w:szCs w:val="12"/>
          <w:color w:val="auto"/>
        </w:rPr>
      </w:pPr>
    </w:p>
    <w:p>
      <w:pPr>
        <w:ind w:left="74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[INTENTIONALLY DELETED]</w:t>
      </w:r>
    </w:p>
    <w:p>
      <w:pPr>
        <w:spacing w:after="0" w:line="147" w:lineRule="exact"/>
        <w:rPr>
          <w:rFonts w:ascii="Courier New" w:cs="Courier New" w:eastAsia="Courier New" w:hAnsi="Courier New"/>
          <w:sz w:val="12"/>
          <w:szCs w:val="12"/>
          <w:color w:val="auto"/>
        </w:rPr>
      </w:pPr>
    </w:p>
    <w:p>
      <w:pPr>
        <w:ind w:left="744" w:right="6479" w:hanging="368"/>
        <w:spacing w:after="0" w:line="49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3.3. PURPOSE OF PERMITTED HEDGING TRANSACTIONS [INTENTIONALLY DELETED]</w:t>
      </w:r>
    </w:p>
    <w:p>
      <w:pPr>
        <w:spacing w:after="0" w:line="1" w:lineRule="exact"/>
        <w:rPr>
          <w:rFonts w:ascii="Courier New" w:cs="Courier New" w:eastAsia="Courier New" w:hAnsi="Courier New"/>
          <w:sz w:val="12"/>
          <w:szCs w:val="12"/>
          <w:color w:val="auto"/>
        </w:rPr>
      </w:pPr>
    </w:p>
    <w:p>
      <w:pPr>
        <w:ind w:left="744" w:right="7739" w:hanging="368"/>
        <w:spacing w:after="0" w:line="49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3.4. NO OBLIGATION TO MONITOR [INTENTIONALLY DELETED]</w:t>
      </w:r>
    </w:p>
    <w:p>
      <w:pPr>
        <w:spacing w:after="0" w:line="1" w:lineRule="exact"/>
        <w:rPr>
          <w:rFonts w:ascii="Courier New" w:cs="Courier New" w:eastAsia="Courier New" w:hAnsi="Courier New"/>
          <w:sz w:val="12"/>
          <w:szCs w:val="12"/>
          <w:color w:val="auto"/>
        </w:rPr>
      </w:pPr>
    </w:p>
    <w:p>
      <w:pPr>
        <w:ind w:left="364" w:right="6719" w:hanging="364"/>
        <w:spacing w:after="0" w:line="499" w:lineRule="auto"/>
        <w:tabs>
          <w:tab w:leader="none" w:pos="364"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CONDITIONS PRECEDENT--INTENTIONALLY DELETED [INTENTIONALLY DELETED]</w:t>
      </w:r>
    </w:p>
    <w:p>
      <w:pPr>
        <w:spacing w:after="0" w:line="1" w:lineRule="exact"/>
        <w:rPr>
          <w:rFonts w:ascii="Courier New" w:cs="Courier New" w:eastAsia="Courier New" w:hAnsi="Courier New"/>
          <w:sz w:val="12"/>
          <w:szCs w:val="12"/>
          <w:color w:val="auto"/>
        </w:rPr>
      </w:pPr>
    </w:p>
    <w:p>
      <w:pPr>
        <w:ind w:left="364" w:right="6479" w:hanging="364"/>
        <w:spacing w:after="0" w:line="499" w:lineRule="auto"/>
        <w:tabs>
          <w:tab w:leader="none" w:pos="364"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AVAILABILITY OF CREDITS--INTENTIONALLY DELETED 5.1. AVAILABILITY</w:t>
      </w:r>
    </w:p>
    <w:p>
      <w:pPr>
        <w:spacing w:after="0" w:line="1" w:lineRule="exact"/>
        <w:rPr>
          <w:rFonts w:ascii="Courier New" w:cs="Courier New" w:eastAsia="Courier New" w:hAnsi="Courier New"/>
          <w:sz w:val="12"/>
          <w:szCs w:val="12"/>
          <w:color w:val="auto"/>
        </w:rPr>
      </w:pPr>
    </w:p>
    <w:p>
      <w:pPr>
        <w:ind w:left="364" w:right="7819" w:firstLine="368"/>
        <w:spacing w:after="0" w:line="49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[INTENTIONALLY DELETED] 5.2. ADVANCES</w:t>
      </w:r>
    </w:p>
    <w:p>
      <w:pPr>
        <w:spacing w:after="0" w:line="1" w:lineRule="exact"/>
        <w:rPr>
          <w:rFonts w:ascii="Courier New" w:cs="Courier New" w:eastAsia="Courier New" w:hAnsi="Courier New"/>
          <w:sz w:val="12"/>
          <w:szCs w:val="12"/>
          <w:color w:val="auto"/>
        </w:rPr>
      </w:pPr>
    </w:p>
    <w:p>
      <w:pPr>
        <w:ind w:left="364" w:right="7819" w:firstLine="368"/>
        <w:spacing w:after="0" w:line="49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[INTENTIONALLY DELETED] 5.3. LETTERS OF CREDIT</w:t>
      </w:r>
    </w:p>
    <w:p>
      <w:pPr>
        <w:spacing w:after="0" w:line="1" w:lineRule="exact"/>
        <w:rPr>
          <w:rFonts w:ascii="Courier New" w:cs="Courier New" w:eastAsia="Courier New" w:hAnsi="Courier New"/>
          <w:sz w:val="12"/>
          <w:szCs w:val="12"/>
          <w:color w:val="auto"/>
        </w:rPr>
      </w:pPr>
    </w:p>
    <w:p>
      <w:pPr>
        <w:ind w:left="364" w:right="7819" w:firstLine="368"/>
        <w:spacing w:after="0" w:line="49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[INTENTIONALLY DELETED] 5.4. HEDGING</w:t>
      </w:r>
    </w:p>
    <w:p>
      <w:pPr>
        <w:spacing w:after="0" w:line="1" w:lineRule="exact"/>
        <w:rPr>
          <w:rFonts w:ascii="Courier New" w:cs="Courier New" w:eastAsia="Courier New" w:hAnsi="Courier New"/>
          <w:sz w:val="12"/>
          <w:szCs w:val="12"/>
          <w:color w:val="auto"/>
        </w:rPr>
      </w:pPr>
    </w:p>
    <w:p>
      <w:pPr>
        <w:ind w:left="364" w:right="7659" w:firstLine="368"/>
        <w:spacing w:after="0" w:line="49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[INTENTIONALLY DELETED] 5.5. APPLICATIONS TO ALL BANKS</w:t>
      </w:r>
    </w:p>
    <w:p>
      <w:pPr>
        <w:spacing w:after="0" w:line="1" w:lineRule="exact"/>
        <w:rPr>
          <w:rFonts w:ascii="Courier New" w:cs="Courier New" w:eastAsia="Courier New" w:hAnsi="Courier New"/>
          <w:sz w:val="12"/>
          <w:szCs w:val="12"/>
          <w:color w:val="auto"/>
        </w:rPr>
      </w:pPr>
    </w:p>
    <w:p>
      <w:pPr>
        <w:ind w:left="74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[INTENTIONALLY DELETED]</w:t>
      </w:r>
    </w:p>
    <w:p>
      <w:pPr>
        <w:spacing w:after="0" w:line="288"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73 -</w:t>
      </w:r>
    </w:p>
    <w:p>
      <w:pPr>
        <w:spacing w:after="0" w:line="200" w:lineRule="exact"/>
        <w:rPr>
          <w:rFonts w:ascii="Courier New" w:cs="Courier New" w:eastAsia="Courier New" w:hAnsi="Courier New"/>
          <w:sz w:val="12"/>
          <w:szCs w:val="12"/>
          <w:color w:val="auto"/>
        </w:rPr>
      </w:pPr>
    </w:p>
    <w:p>
      <w:pPr>
        <w:spacing w:after="0" w:line="353"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REPAYMENT</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6.1. REPAYMENT OF LOANS</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The Borrower shall repay to each Bank its Proportion of the Loans by way of 12 (twelve) equal consecutive quarterly instalments, payable on the last Business Day of each Quarter, the first such instalment in respect of the Loans to be paid on September 30, 2009 and the last such instalment to be paid on the Final Maturity Date.</w:t>
      </w:r>
    </w:p>
    <w:p>
      <w:pPr>
        <w:spacing w:after="0" w:line="141"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6.2. PAYMENT OF ALL OTHER SUMS DUE ON THE FINAL MATURITY DATE</w:t>
      </w:r>
    </w:p>
    <w:p>
      <w:pPr>
        <w:spacing w:after="0" w:line="147" w:lineRule="exact"/>
        <w:rPr>
          <w:sz w:val="20"/>
          <w:szCs w:val="20"/>
          <w:color w:val="auto"/>
        </w:rPr>
      </w:pPr>
    </w:p>
    <w:p>
      <w:pPr>
        <w:ind w:left="744" w:right="4359"/>
        <w:spacing w:after="0" w:line="253" w:lineRule="auto"/>
        <w:rPr>
          <w:sz w:val="20"/>
          <w:szCs w:val="20"/>
          <w:color w:val="auto"/>
        </w:rPr>
      </w:pPr>
      <w:r>
        <w:rPr>
          <w:rFonts w:ascii="Courier New" w:cs="Courier New" w:eastAsia="Courier New" w:hAnsi="Courier New"/>
          <w:sz w:val="12"/>
          <w:szCs w:val="12"/>
          <w:color w:val="auto"/>
        </w:rPr>
        <w:t>On the Final Maturity Date, the Borrower additionally shall pay to the Banks all other sums then outstanding under the Finance Documents.</w:t>
      </w:r>
    </w:p>
    <w:p>
      <w:pPr>
        <w:spacing w:after="0" w:line="138"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6.3. REPAYMENT IN US DOLLARS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For the removal of doubt, each Loan, as well as all Interest thereon,</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shall be repaid in US Dollars.</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6.4. REPAYMENTS TO PAYMENTS ACCOUNTS</w:t>
      </w:r>
    </w:p>
    <w:p>
      <w:pPr>
        <w:sectPr>
          <w:pgSz w:w="11900" w:h="16838" w:orient="portrait"/>
          <w:cols w:equalWidth="0" w:num="1">
            <w:col w:w="10244"/>
          </w:cols>
          <w:pgMar w:left="216" w:top="141" w:right="1440" w:bottom="0" w:gutter="0" w:footer="0" w:header="0"/>
        </w:sectPr>
      </w:pPr>
    </w:p>
    <w:bookmarkStart w:id="103" w:name="page104"/>
    <w:bookmarkEnd w:id="103"/>
    <w:p>
      <w:pPr>
        <w:ind w:left="744"/>
        <w:spacing w:after="0"/>
        <w:rPr>
          <w:sz w:val="20"/>
          <w:szCs w:val="20"/>
          <w:color w:val="auto"/>
        </w:rPr>
      </w:pPr>
      <w:r>
        <w:rPr>
          <w:rFonts w:ascii="Courier New" w:cs="Courier New" w:eastAsia="Courier New" w:hAnsi="Courier New"/>
          <w:sz w:val="12"/>
          <w:szCs w:val="12"/>
          <w:color w:val="auto"/>
        </w:rPr>
        <w:t>Subject to clause 20.1 below, all repayments as aforesaid shall be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made by transfer to each Bank to their respective Project Accounts.</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6.5. NO REBORROWING</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Borrower shall not be entitled to reborrow any part of the Loan</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which is repaid.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6.6. NO COMMITMENTS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For the removal of doubt, the Borrower has no rights to borrow any</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amount, nor to obtain any other form of credit or Indebtedness from</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Banks (whether in respect of Hedging Transactions, letters of</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credit or in any other form) under this Agreement.</w:t>
      </w:r>
    </w:p>
    <w:p>
      <w:pPr>
        <w:spacing w:after="0" w:line="147" w:lineRule="exact"/>
        <w:rPr>
          <w:sz w:val="20"/>
          <w:szCs w:val="20"/>
          <w:color w:val="auto"/>
        </w:rPr>
      </w:pPr>
    </w:p>
    <w:p>
      <w:pPr>
        <w:ind w:left="364" w:hanging="364"/>
        <w:spacing w:after="0"/>
        <w:tabs>
          <w:tab w:leader="none" w:pos="364"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VOLUNTARY PREPAYMENT</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7.1. VOLUNTARY PREPAYMENT</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Subject to clause 7.9 below, the Borrower may, in the manner and subject to the terms and conditions set out in this clause 7 below, if it has given to the Banks not less than 25 (twenty-five) Business Days' advance written notice to such effect, make a prepayment to each Bank of its Proportion of the Loans, in each case on an Interest Payment Date, provided that, the aggregate amount of each such prepayment (principal) (for all Banks), shall not be less than US $10,000,000 (ten million United States Dollars).</w:t>
      </w:r>
    </w:p>
    <w:p>
      <w:pPr>
        <w:spacing w:after="0" w:line="283"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- 74 -</w:t>
      </w:r>
    </w:p>
    <w:p>
      <w:pPr>
        <w:spacing w:after="0" w:line="200" w:lineRule="exact"/>
        <w:rPr>
          <w:sz w:val="20"/>
          <w:szCs w:val="20"/>
          <w:color w:val="auto"/>
        </w:rPr>
      </w:pPr>
    </w:p>
    <w:p>
      <w:pPr>
        <w:spacing w:after="0" w:line="353"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7.2. NOTICE OF PREPAYMENT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Any notice of prepayment given by the Borrower pursuant to clause 7.1</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above shall be irrevocable, shall specify the Interest Payment Date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upon which such prepayment is to be made and the amount of such</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prepayment and shall oblige the Borrower to make such prepayment on</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such date. A prepayment of any Loan shall be made in the currency of</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Loan.</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7.3. NO OTHER PREPAYMENTS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Borrower shall not prepay any part of any Loan except in</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accordance with the aforegoing in this clause 7 or clause 8 below.</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7.4. NO REBORROWING</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Borrower shall not be entitled to reborrow any amount repaid or</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prepaid on account of any Loan.</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7.5. PREPAYMENT COMMISSIONS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Borrower shall pay to the Banks, in their respective Proportions,</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on the date of prepayment in accordance with this clause 7 above, a</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commission of 0.25% (nought point two five percent) of the amount</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(principal) prepaid, unless the prepayment is of the entire Total</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Outstandings, in which event the commission shall be 0.125% (nought</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point one two five percent) of the amount (principal) prepaid.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7.6. PREPAYMENT TO PAYMENTS ACCOUNT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Subject to clause 20.1 below, all prepayments as aforesaid shall be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made by transfer to each Bank to their respective Project Accounts</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(Hapoalim Project Account or BLL Project Account) their respective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Proportions of each such prepayment.</w:t>
      </w: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- 75 -</w:t>
      </w:r>
    </w:p>
    <w:p>
      <w:pPr>
        <w:spacing w:after="0" w:line="200" w:lineRule="exact"/>
        <w:rPr>
          <w:sz w:val="20"/>
          <w:szCs w:val="20"/>
          <w:color w:val="auto"/>
        </w:rPr>
      </w:pPr>
    </w:p>
    <w:p>
      <w:pPr>
        <w:spacing w:after="0" w:line="353"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7.7. PREPAYMENTS TOGETHER WITH INTEREST AND OTHER SUMS OWED</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All prepayments shall be made together with all accrued Interest on</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amount prepaid and all other sums due in respect of the amount</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prepaid.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7.8. CANCELLATION</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7.9. LIMITS ON PREPAYMENT</w:t>
      </w:r>
    </w:p>
    <w:p>
      <w:pPr>
        <w:spacing w:after="0" w:line="147" w:lineRule="exact"/>
        <w:rPr>
          <w:sz w:val="20"/>
          <w:szCs w:val="20"/>
          <w:color w:val="auto"/>
        </w:rPr>
      </w:pPr>
    </w:p>
    <w:p>
      <w:pPr>
        <w:ind w:left="744" w:right="4359"/>
        <w:spacing w:after="0" w:line="251" w:lineRule="auto"/>
        <w:rPr>
          <w:sz w:val="20"/>
          <w:szCs w:val="20"/>
          <w:color w:val="auto"/>
        </w:rPr>
      </w:pPr>
      <w:r>
        <w:rPr>
          <w:rFonts w:ascii="Courier New" w:cs="Courier New" w:eastAsia="Courier New" w:hAnsi="Courier New"/>
          <w:sz w:val="12"/>
          <w:szCs w:val="12"/>
          <w:color w:val="auto"/>
        </w:rPr>
        <w:t>Notwithstanding anything to the contrary in this clause 7, the Borrower shall not be entitled to make a voluntary prepayment pursuant to this clause 7, unless:</w:t>
      </w:r>
    </w:p>
    <w:p>
      <w:pPr>
        <w:spacing w:after="0" w:line="140"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7.9.1. the Banks are reasonably satisfied that the Borrower has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sufficient funds available from sources permitted under this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Agreement to perform the Project in accordance with the Business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Plan; and</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7.9.2. in the case of prepayments, such prepayments are made only</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from:</w:t>
      </w:r>
    </w:p>
    <w:p>
      <w:pPr>
        <w:spacing w:after="0" w:line="147" w:lineRule="exact"/>
        <w:rPr>
          <w:sz w:val="20"/>
          <w:szCs w:val="20"/>
          <w:color w:val="auto"/>
        </w:rPr>
      </w:pPr>
    </w:p>
    <w:p>
      <w:pPr>
        <w:ind w:left="1464" w:right="4499" w:hanging="360"/>
        <w:spacing w:after="0" w:line="251" w:lineRule="auto"/>
        <w:tabs>
          <w:tab w:leader="none" w:pos="1464"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proceeds of investments in the Paid-in Equity of the Borrower or proceeds of investments in exchange for equity equivalent capital notes in the form issued to TIC on or about the Amendment Closing Date;</w:t>
      </w:r>
    </w:p>
    <w:p>
      <w:pPr>
        <w:spacing w:after="0" w:line="139" w:lineRule="exact"/>
        <w:rPr>
          <w:rFonts w:ascii="Courier New" w:cs="Courier New" w:eastAsia="Courier New" w:hAnsi="Courier New"/>
          <w:sz w:val="12"/>
          <w:szCs w:val="12"/>
          <w:color w:val="auto"/>
        </w:rPr>
      </w:pPr>
    </w:p>
    <w:p>
      <w:pPr>
        <w:ind w:left="1464" w:right="4359" w:hanging="360"/>
        <w:spacing w:after="0" w:line="249" w:lineRule="auto"/>
        <w:tabs>
          <w:tab w:leader="none" w:pos="1464"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proceeds of the issue of convertible bonds (convertible into irredeemable share capital); provided that: (i) such convertible bonds shall constitute Permitted Subordinated Debt; and (ii) the cost of the Project shall not be increased in any way by reason of the issue of such convertible bonds; provided further that, in the event only that such prepayment is of all amounts payable by the Borrower under the Finance Documents and at the time of such prepayment no Bank shall be under any obligation under any Finance Document to provide any Financial Indebtedness to the Borrower, the conditions set out in paragraphs (i) and</w:t>
      </w:r>
    </w:p>
    <w:p>
      <w:pPr>
        <w:spacing w:after="0" w:line="5" w:lineRule="exact"/>
        <w:rPr>
          <w:rFonts w:ascii="Courier New" w:cs="Courier New" w:eastAsia="Courier New" w:hAnsi="Courier New"/>
          <w:sz w:val="12"/>
          <w:szCs w:val="12"/>
          <w:color w:val="auto"/>
        </w:rPr>
      </w:pPr>
    </w:p>
    <w:p>
      <w:pPr>
        <w:ind w:left="1844" w:hanging="372"/>
        <w:spacing w:after="0"/>
        <w:tabs>
          <w:tab w:leader="none" w:pos="1844" w:val="left"/>
        </w:tabs>
        <w:numPr>
          <w:ilvl w:val="1"/>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above shall not be applicable; or</w:t>
      </w:r>
    </w:p>
    <w:p>
      <w:pPr>
        <w:sectPr>
          <w:pgSz w:w="11900" w:h="16838" w:orient="portrait"/>
          <w:cols w:equalWidth="0" w:num="1">
            <w:col w:w="10244"/>
          </w:cols>
          <w:pgMar w:left="216" w:top="141" w:right="1440" w:bottom="0" w:gutter="0" w:footer="0" w:header="0"/>
        </w:sectPr>
      </w:pPr>
    </w:p>
    <w:bookmarkStart w:id="104" w:name="page105"/>
    <w:bookmarkEnd w:id="104"/>
    <w:p>
      <w:pPr>
        <w:ind w:left="1464" w:right="4639" w:hanging="360"/>
        <w:spacing w:after="0" w:line="253" w:lineRule="auto"/>
        <w:tabs>
          <w:tab w:leader="none" w:pos="1464"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cumulative Excess Cash Flow as at the end of the Quarter preceding the Quarter in which such prepayment is made.</w:t>
      </w:r>
    </w:p>
    <w:p>
      <w:pPr>
        <w:spacing w:after="0" w:line="279"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76 -</w:t>
      </w:r>
    </w:p>
    <w:p>
      <w:pPr>
        <w:spacing w:after="0" w:line="200" w:lineRule="exact"/>
        <w:rPr>
          <w:sz w:val="20"/>
          <w:szCs w:val="20"/>
          <w:color w:val="auto"/>
        </w:rPr>
      </w:pPr>
    </w:p>
    <w:p>
      <w:pPr>
        <w:spacing w:after="0" w:line="211"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7.10. CURRENCY FOR PREPAYMENT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 prepayment of a Loan shall be made in the currency of such Loan.</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7.11. SELECTION OF INSTALMENTS FOR VOLUNTARY PREPAYMENT</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Any prepayment shall be applied to those repayment instalments in respect of the Loans as selected by the Borrower in the relevant prepayment notice given pursuant to clause 7.1 above; for the removal of doubt, the prepayments to each of the Banks shall be applied to the same instalments of the Loans for each Bank.</w:t>
      </w:r>
    </w:p>
    <w:p>
      <w:pPr>
        <w:spacing w:after="0" w:line="141"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7.12. PREPAYMENT PURSUANT TO CLAUSE 6.1.1</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ind w:left="364" w:hanging="364"/>
        <w:spacing w:after="0"/>
        <w:tabs>
          <w:tab w:leader="none" w:pos="364" w:val="left"/>
        </w:tabs>
        <w:numPr>
          <w:ilvl w:val="0"/>
          <w:numId w:val="1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MANDATORY PREPAYMENT</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8.1. MANDATORY PREPAYMENT</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Unless the Banks shall, in any particular case, otherwise direct in writing, subject to the last sentence of this clause 8.1, all the following amounts shall be deposited in a Project Account immediately on receipt thereof (such deposit not to be withdrawn) and shall be applied in mandatory prepayment to each Bank of its Proportion of the Loans on the first Interest Payment Date after receipt of such amounts by the Borrower:</w:t>
      </w:r>
    </w:p>
    <w:p>
      <w:pPr>
        <w:spacing w:after="0" w:line="141"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8.1.1. all proceeds from time to time received under the Insurance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Policies, in excess of US $5,000,000 (five million United States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Dollars) in aggregate (other than under Insurance Policies in</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respect of liability of the Borrower to third parties or of</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liability of the Borrower for damage to property of third</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parties), unless such proceeds are received in respect of damage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to Fab 1 or Fab 2 or any other equipment used in Fab 1 or Fab 2</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and may be applied, through utilisation of such proceeds, to</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repair the Fab 1 or Fab 2 buildings, as applicable, or to repair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or replace such equipment or otherwise purchase equipment or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technology for Fab 1 or Fab 2 in accordance with the Business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Plan, without resulting in a Material Adverse Effect or delaying</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the completion of Fab 2 in accordance with the Business Plan by</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more than 6 (six) months;</w:t>
      </w: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- 77 -</w:t>
      </w:r>
    </w:p>
    <w:p>
      <w:pPr>
        <w:spacing w:after="0" w:line="200" w:lineRule="exact"/>
        <w:rPr>
          <w:sz w:val="20"/>
          <w:szCs w:val="20"/>
          <w:color w:val="auto"/>
        </w:rPr>
      </w:pPr>
    </w:p>
    <w:p>
      <w:pPr>
        <w:spacing w:after="0" w:line="353"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8.1.2. [INTENTIONALLY DELETED]</w:t>
      </w:r>
    </w:p>
    <w:p>
      <w:pPr>
        <w:spacing w:after="0" w:line="147" w:lineRule="exact"/>
        <w:rPr>
          <w:sz w:val="20"/>
          <w:szCs w:val="20"/>
          <w:color w:val="auto"/>
        </w:rPr>
      </w:pPr>
    </w:p>
    <w:p>
      <w:pPr>
        <w:ind w:left="1104" w:right="4359" w:hanging="367"/>
        <w:spacing w:after="0" w:line="251" w:lineRule="auto"/>
        <w:rPr>
          <w:sz w:val="20"/>
          <w:szCs w:val="20"/>
          <w:color w:val="auto"/>
        </w:rPr>
      </w:pPr>
      <w:r>
        <w:rPr>
          <w:rFonts w:ascii="Courier New" w:cs="Courier New" w:eastAsia="Courier New" w:hAnsi="Courier New"/>
          <w:sz w:val="12"/>
          <w:szCs w:val="12"/>
          <w:color w:val="auto"/>
        </w:rPr>
        <w:t>8.1.3. all proceeds from time to time received by the Borrower in connection with the nationalisation, expropriation or requisition for title of Fab 2 or any other part of the Borrower's assets;</w:t>
      </w:r>
    </w:p>
    <w:p>
      <w:pPr>
        <w:spacing w:after="0" w:line="140"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8.1.4. [INTENTIONALLY DELETED]</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8.1.5. without derogating from clause 16.24 below, if the Borrower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sells, transfers, lends, leases, licenses or otherwise disposes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of any of its assets (including Intellectual Property Assets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and/or securities the Borrower holds (directly or indirectly) in</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any Subsidiary or other corporation (for the removal of doubt,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subject to any such disposal being permitted under the Finance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Documents)), the Borrower shall prepay an amount equal to the Net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Proceeds resulting from such sale, transfer, loan, lease, licence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or disposal (provided such Net Proceeds are greater than US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$5,000,000 (five million United States Dollars) or its equivalent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and, when aggregated with any other Net Proceeds received during</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the Fiscal Year in which the relevant Net Proceeds are received,</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exceed an aggregate amount equal to US $10,000,000 (ten million</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United States Dollars) or its equivalent).</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The provisions of clauses 8.1.3 and 8.1.5 above shall not apply in respect of amounts which the Borrower confirms to the Banks in writing are to be applied in respect of the Project in accordance with the Business Plan (including in bringing forward the making of investments which, in accordance with the Business Plan, are to be made at future dates).</w:t>
      </w:r>
    </w:p>
    <w:p>
      <w:pPr>
        <w:spacing w:after="0" w:line="141"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8.2. NO REBORROWING OF MANDATORY PREPAYMENT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Borrower shall not be entitled to reborrow any amount mandatorily</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prepaid in accordance with this clause 8 above.</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8.3. ACCOUNT OF MANDATORY PREPAYMENT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Subject to clause 20.1 below, all mandatory prepayments as aforesaid</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shall be made by transfer thereof to the respective Project Accounts</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(Hapoalim Project Account or BLL Project Account).</w:t>
      </w: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- 78 -</w:t>
      </w:r>
    </w:p>
    <w:p>
      <w:pPr>
        <w:spacing w:after="0" w:line="200" w:lineRule="exact"/>
        <w:rPr>
          <w:sz w:val="20"/>
          <w:szCs w:val="20"/>
          <w:color w:val="auto"/>
        </w:rPr>
      </w:pPr>
    </w:p>
    <w:p>
      <w:pPr>
        <w:spacing w:after="0" w:line="353"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8.4. MANDATORY PREPAYMENT TOGETHER WITH INTEREST AND OTHER SUMS OWED</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Any mandatory prepayment shall be made together with all accrued</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Interest on the amount prepaid and all other sums due in respect of</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amount prepaid.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8.5. CURRENCY FOR MANDATORY PREPAYMENT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 mandatory prepayment on account of an instalment of a Loan shall be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made in the currency of such Loan.</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8.6. SCHEDULE FOR MANDATORY PREPAYMENT</w:t>
      </w:r>
    </w:p>
    <w:p>
      <w:pPr>
        <w:sectPr>
          <w:pgSz w:w="11900" w:h="16838" w:orient="portrait"/>
          <w:cols w:equalWidth="0" w:num="1">
            <w:col w:w="10244"/>
          </w:cols>
          <w:pgMar w:left="216" w:top="141" w:right="1440" w:bottom="0" w:gutter="0" w:footer="0" w:header="0"/>
        </w:sectPr>
      </w:pPr>
    </w:p>
    <w:bookmarkStart w:id="105" w:name="page106"/>
    <w:bookmarkEnd w:id="105"/>
    <w:p>
      <w:pPr>
        <w:spacing w:after="0" w:line="24"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Any prepayment shall be applied to the repayment instalments in</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respect of the Loans in reverse order (that is, shall be deemed first</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to be made on account of the last repayment instalment, then the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second last, and so on and so forth).</w:t>
      </w:r>
    </w:p>
    <w:p>
      <w:pPr>
        <w:spacing w:after="0" w:line="147" w:lineRule="exact"/>
        <w:rPr>
          <w:sz w:val="20"/>
          <w:szCs w:val="20"/>
          <w:color w:val="auto"/>
        </w:rPr>
      </w:pPr>
    </w:p>
    <w:p>
      <w:pPr>
        <w:ind w:left="364" w:hanging="364"/>
        <w:spacing w:after="0"/>
        <w:tabs>
          <w:tab w:leader="none" w:pos="364" w:val="left"/>
        </w:tabs>
        <w:numPr>
          <w:ilvl w:val="0"/>
          <w:numId w:val="1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INTEREST</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9.1. INTEREST RATE</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rate of Interest applicable to the Loans in respect of each</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Interest Period shall be the sum of: (a) the rate per annum determined</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by the Banks to be LIBOR on the Interest Determination Date for such</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Interest Period; and (b) 1.1% (one point one percent) per annum.</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Subject to the effectiveness of the amendment and restatement of this</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Agreement on the Amendment Closing Date the rate of Interest set forth</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 (b) above, as it applies to the principal amount of the Loans</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outstanding immediately prior to the conversions referred to in clause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2.1 ("THE LOAN CONVERSION"), shall be deemed to have taken effect from</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May 17, 2006. The Banks and the Borrower record that the outstanding</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loan and percentage previously set forth in (b) above were US</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$526,693,001 (five hundred and twenty-six million, six hundred and</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ninety-three thousand and one United States Dollars) and 2.5% (two</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point five percent), respectively. An amount equal to the amounts</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actually paid by the Borrower to the Banks on the Interest Payment</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Date (or, if applicable Interest Payment Dates), falling between May</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17, 2006 and the Amendment Closing Date on account of Interest in</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respect of the period commencing on May 17, 2006 in excess of Interest</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for such period at the rate of LIBOR plus 1.1% (one point one percent)</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per annum, shall be paid by the Banks to the Borrower within 5 (five)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Business Days following the Amendment Closing Date.</w:t>
      </w: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- 79 -</w:t>
      </w:r>
    </w:p>
    <w:p>
      <w:pPr>
        <w:spacing w:after="0" w:line="200" w:lineRule="exact"/>
        <w:rPr>
          <w:sz w:val="20"/>
          <w:szCs w:val="20"/>
          <w:color w:val="auto"/>
        </w:rPr>
      </w:pPr>
    </w:p>
    <w:p>
      <w:pPr>
        <w:spacing w:after="0" w:line="353"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9.2. ACCRUAL OF INTEREST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Interest as aforesaid in clause 9.1 above in respect of the Loans</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shall accrue from day to day and shall be calculated on the basis of</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actual number of days elapsed and a 360 (three hundred and sixty)</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day year.</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9.3. PAYMENT OF INTEREST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All Interest accrued as aforesaid in clause 9.2 above on the Loans</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shall be paid on each Interest Payment Date and on the Final Maturity</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Date. Subject to clause 20.1 below, the Borrower shall pay to each</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Bank all Interest payable as aforesaid into such Bank's Project</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Account.</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9.4. CERTAIN COMPENSATORY PAYMENTS</w:t>
      </w:r>
    </w:p>
    <w:p>
      <w:pPr>
        <w:spacing w:after="0" w:line="147" w:lineRule="exact"/>
        <w:rPr>
          <w:sz w:val="20"/>
          <w:szCs w:val="20"/>
          <w:color w:val="auto"/>
        </w:rPr>
      </w:pPr>
    </w:p>
    <w:p>
      <w:pPr>
        <w:ind w:left="744" w:right="4359"/>
        <w:spacing w:after="0" w:line="253" w:lineRule="auto"/>
        <w:rPr>
          <w:sz w:val="20"/>
          <w:szCs w:val="20"/>
          <w:color w:val="auto"/>
        </w:rPr>
      </w:pPr>
      <w:r>
        <w:rPr>
          <w:rFonts w:ascii="Courier New" w:cs="Courier New" w:eastAsia="Courier New" w:hAnsi="Courier New"/>
          <w:sz w:val="12"/>
          <w:szCs w:val="12"/>
          <w:color w:val="auto"/>
        </w:rPr>
        <w:t>As compensation to the Banks for the reduction in the rate of Interest reflected in clause 9.1 above, the Borrower agrees as follows:</w:t>
      </w:r>
    </w:p>
    <w:p>
      <w:pPr>
        <w:spacing w:after="0" w:line="138"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9.4.1. If every reported closing share price of the Borrower's shares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on the Nasdaq Stock Market (or on such other stock exchange or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quotation system in the United States on which the Borrower's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shares are listed or admitted for quotation in the event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Borrower's shares are not listed on the Nasdaq Stock Market ("A</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SALE PRICE")) on every trading day during the six month period</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commencing on July 1, 2010 and ending on December 31, 2010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DETERMINATION PERIOD") exceeds US $3.49 (three United States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Dollars and forty-nine cents), as such price shall be adjusted to</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take into account all subdivisions of shares (including stock</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splits) and combinations of shares into a smaller numbers of</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shares (including reverse stock splits) ("THE MINIMUM PRICE"),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the Borrower shall, within 30 (thirty) days of the end of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Determination Period, subject to clause 9.4.6 below: (a) issue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and allot to the Banks (or their respective nominees),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aggregate number of shares of the Borrower that equals US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$11,936,436 (eleven million, nine hundred and thirty six thousand</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four hundred and thirty six United States Dollars) ("THE CLAUSE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9.4.1 AMOUNT") divided by the average closing price of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Borrower's shares on the Nasdaq Stock Market (or on such other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stock exchange or quotation system in the United States on which</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the Borrower's shares are listed or admitted for quotation in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event the Borrower's shares are not listed on the Nasdaq Stock</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Market) during the fourth Quarter of 2010 ("THE AVERAGE CLOSING</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PRICE") with each Bank (or its nominee) receiving its Proportion</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of such shares; or (b) at the election of any Bank not wishing to</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receive shares, issue to such Bank (or its nominee) equity</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equivalent convertible capital notes in a principal amount equal</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to such Bank's Proportion of the Clause 9.4.1 Amount and in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form, MUTATIS MUTANDIS, of the capital note issued to such Bank</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or its nominee on or about the Amendment Closing Date (or, if no</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such capital note was issued, in form and substance satisfactory</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to such Bank) which capital notes are convertible into such</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number of shares of the Borrower as shall be equal to such Bank's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Proportion of the Clause 9.4.1 Amount divided by the Average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Closing Price, subject to the adjustments set forth in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capital note, such capital notes being fully convertible, at any</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time, in whole or in part, and fully transferable, at any time,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in whole or in part. Whenever the Minimum Price is required to be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adjusted pursuant to this clause 9.4.1 or clause 9.4.2 below,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Borrower shall promptly prepare a certificate, in form and</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substance satisfactory to the Banks, signed by the Chief</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Financial Officer of the Borrower, setting forth, in reasonable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detail, the event requiring the adjustment, the amount of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adjustment, the method by which such adjustment was calculated</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and the Minimum Price after giving effect to such adjustment.</w:t>
      </w: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- 80 -</w:t>
      </w:r>
    </w:p>
    <w:p>
      <w:pPr>
        <w:spacing w:after="0" w:line="200" w:lineRule="exact"/>
        <w:rPr>
          <w:sz w:val="20"/>
          <w:szCs w:val="20"/>
          <w:color w:val="auto"/>
        </w:rPr>
      </w:pPr>
    </w:p>
    <w:p>
      <w:pPr>
        <w:spacing w:after="0" w:line="353"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9.4.2. Should any Sale Price during the Determination Period not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exceed the Minimum Price, the Borrower shall, within 30 (thirty)</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days following the end of the Determination Period, subject to</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clause 9.4.6 below: (a) issue and allot to the Banks (or their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respective nominees) the aggregate number of shares of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Borrower that equals US $23,872,872 (twenty three million, eight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hundred and seventy two thousand eight hundred and seventy two</w:t>
      </w:r>
    </w:p>
    <w:p>
      <w:pPr>
        <w:sectPr>
          <w:pgSz w:w="11900" w:h="16862" w:orient="portrait"/>
          <w:cols w:equalWidth="0" w:num="1">
            <w:col w:w="10244"/>
          </w:cols>
          <w:pgMar w:left="216" w:top="141" w:right="1440" w:bottom="0" w:gutter="0" w:footer="0" w:header="0"/>
        </w:sectPr>
      </w:pPr>
    </w:p>
    <w:bookmarkStart w:id="106" w:name="page107"/>
    <w:bookmarkEnd w:id="106"/>
    <w:p>
      <w:pPr>
        <w:spacing w:after="0" w:line="11" w:lineRule="exact"/>
        <w:rPr>
          <w:sz w:val="20"/>
          <w:szCs w:val="20"/>
          <w:color w:val="auto"/>
        </w:rPr>
      </w:pPr>
    </w:p>
    <w:p>
      <w:pPr>
        <w:ind w:left="360" w:right="4359"/>
        <w:spacing w:after="0" w:line="249" w:lineRule="auto"/>
        <w:rPr>
          <w:sz w:val="20"/>
          <w:szCs w:val="20"/>
          <w:color w:val="auto"/>
        </w:rPr>
      </w:pPr>
      <w:r>
        <w:rPr>
          <w:rFonts w:ascii="Courier New" w:cs="Courier New" w:eastAsia="Courier New" w:hAnsi="Courier New"/>
          <w:sz w:val="12"/>
          <w:szCs w:val="12"/>
          <w:color w:val="auto"/>
        </w:rPr>
        <w:t>United States Dollars) ("THE CLAUSE 9.4.2 AMOUNT") divided by the Average Closing Price, with each Bank (or its nominee) receiving its Proportion of such shares; or (b) at the election of any Bank not wishing to receive shares, issue to such Bank (or its nominee) equity equivalent convertible capital notes in a principal amount equal to such Bank's Proportion of the Clause</w:t>
      </w:r>
    </w:p>
    <w:p>
      <w:pPr>
        <w:spacing w:after="0" w:line="3" w:lineRule="exact"/>
        <w:rPr>
          <w:sz w:val="20"/>
          <w:szCs w:val="20"/>
          <w:color w:val="auto"/>
        </w:rPr>
      </w:pPr>
    </w:p>
    <w:p>
      <w:pPr>
        <w:ind w:left="360" w:right="4359"/>
        <w:spacing w:after="0" w:line="250" w:lineRule="auto"/>
        <w:rPr>
          <w:sz w:val="20"/>
          <w:szCs w:val="20"/>
          <w:color w:val="auto"/>
        </w:rPr>
      </w:pPr>
      <w:r>
        <w:rPr>
          <w:rFonts w:ascii="Courier New" w:cs="Courier New" w:eastAsia="Courier New" w:hAnsi="Courier New"/>
          <w:sz w:val="12"/>
          <w:szCs w:val="12"/>
          <w:color w:val="auto"/>
        </w:rPr>
        <w:t>9.4.2 amount in the form, MUTATIS MUTANDIS, of the capital note issued to such Bank (or its nominee) on or about the Amendment Closing Date (or, if no such capital note was issued, in form and substance satisfactory to such Bank) which capital notes are convertible into such number of shares of the Borrower as shall be equal to such Bank's Proportion of the Clause 9.4.2 Amount divided by the Average Closing Price, subject to the adjustments set forth in the capital note, such capital notes being fully convertible, at any time, in whole or in part, and fully transferable, at any time, in whole or in part.</w:t>
      </w:r>
    </w:p>
    <w:p>
      <w:pPr>
        <w:spacing w:after="0" w:line="283" w:lineRule="exact"/>
        <w:rPr>
          <w:sz w:val="20"/>
          <w:szCs w:val="20"/>
          <w:color w:val="auto"/>
        </w:rPr>
      </w:pPr>
    </w:p>
    <w:p>
      <w:pPr>
        <w:ind w:left="1980"/>
        <w:spacing w:after="0"/>
        <w:rPr>
          <w:sz w:val="20"/>
          <w:szCs w:val="20"/>
          <w:color w:val="auto"/>
        </w:rPr>
      </w:pPr>
      <w:r>
        <w:rPr>
          <w:rFonts w:ascii="Courier New" w:cs="Courier New" w:eastAsia="Courier New" w:hAnsi="Courier New"/>
          <w:sz w:val="12"/>
          <w:szCs w:val="12"/>
          <w:color w:val="auto"/>
        </w:rPr>
        <w:t>- 81 -</w:t>
      </w:r>
    </w:p>
    <w:p>
      <w:pPr>
        <w:spacing w:after="0" w:line="200" w:lineRule="exact"/>
        <w:rPr>
          <w:sz w:val="20"/>
          <w:szCs w:val="20"/>
          <w:color w:val="auto"/>
        </w:rPr>
      </w:pPr>
    </w:p>
    <w:p>
      <w:pPr>
        <w:spacing w:after="0" w:line="353" w:lineRule="exact"/>
        <w:rPr>
          <w:sz w:val="20"/>
          <w:szCs w:val="20"/>
          <w:color w:val="auto"/>
        </w:rPr>
      </w:pPr>
    </w:p>
    <w:p>
      <w:pPr>
        <w:ind w:left="360" w:right="4499" w:hanging="367"/>
        <w:spacing w:after="0" w:line="251" w:lineRule="auto"/>
        <w:rPr>
          <w:sz w:val="20"/>
          <w:szCs w:val="20"/>
          <w:color w:val="auto"/>
        </w:rPr>
      </w:pPr>
      <w:r>
        <w:rPr>
          <w:rFonts w:ascii="Courier New" w:cs="Courier New" w:eastAsia="Courier New" w:hAnsi="Courier New"/>
          <w:sz w:val="12"/>
          <w:szCs w:val="12"/>
          <w:color w:val="auto"/>
        </w:rPr>
        <w:t>9.4.3. If any Sale Price during the Determination Period shall not exceed the Minimum Price, the Borrower shall promptly, but not later than 3 (three) Business Days after the end of the Determination Period, give written notice thereof to the Banks.</w:t>
      </w:r>
    </w:p>
    <w:p>
      <w:pPr>
        <w:spacing w:after="0" w:line="139" w:lineRule="exact"/>
        <w:rPr>
          <w:sz w:val="20"/>
          <w:szCs w:val="20"/>
          <w:color w:val="auto"/>
        </w:rPr>
      </w:pPr>
    </w:p>
    <w:p>
      <w:pPr>
        <w:ind w:left="360" w:right="4359" w:hanging="367"/>
        <w:spacing w:after="0" w:line="250" w:lineRule="auto"/>
        <w:rPr>
          <w:sz w:val="20"/>
          <w:szCs w:val="20"/>
          <w:color w:val="auto"/>
        </w:rPr>
      </w:pPr>
      <w:r>
        <w:rPr>
          <w:rFonts w:ascii="Courier New" w:cs="Courier New" w:eastAsia="Courier New" w:hAnsi="Courier New"/>
          <w:sz w:val="12"/>
          <w:szCs w:val="12"/>
          <w:color w:val="auto"/>
        </w:rPr>
        <w:t>9.4.4. If every Sale Price on every trading day during the Determination Period exceeds the Minimum Price, the Borrower shall provide the Banks, by no later than 5 (five) days after the end of the Determination Period, a table setting forth the Sale Price of the Borrower's shares on every trading day during the Determination Period, certified as correct by the Chief Financial Officer of the Borrower, who shall further certify that the Sale Price on every trading day during the Determination Period exceeded the Minimum Price, all in form and substance satisfactory to the Banks.</w:t>
      </w:r>
    </w:p>
    <w:p>
      <w:pPr>
        <w:spacing w:after="0" w:line="141" w:lineRule="exact"/>
        <w:rPr>
          <w:sz w:val="20"/>
          <w:szCs w:val="20"/>
          <w:color w:val="auto"/>
        </w:rPr>
      </w:pPr>
    </w:p>
    <w:p>
      <w:pPr>
        <w:ind w:left="360" w:right="4579" w:hanging="367"/>
        <w:spacing w:after="0" w:line="251" w:lineRule="auto"/>
        <w:rPr>
          <w:sz w:val="20"/>
          <w:szCs w:val="20"/>
          <w:color w:val="auto"/>
        </w:rPr>
      </w:pPr>
      <w:r>
        <w:rPr>
          <w:rFonts w:ascii="Courier New" w:cs="Courier New" w:eastAsia="Courier New" w:hAnsi="Courier New"/>
          <w:sz w:val="12"/>
          <w:szCs w:val="12"/>
          <w:color w:val="auto"/>
        </w:rPr>
        <w:t>9.4.5. No fractional shares will be issued in connection with any share issuance pursuant to clause 9.4.1 or 9.4.2 above, but in lieu of such fractional shares, the Borrower shall make a cash payment therefor on the basis of the Average Closing Price.</w:t>
      </w:r>
    </w:p>
    <w:p>
      <w:pPr>
        <w:spacing w:after="0" w:line="139" w:lineRule="exact"/>
        <w:rPr>
          <w:sz w:val="20"/>
          <w:szCs w:val="20"/>
          <w:color w:val="auto"/>
        </w:rPr>
      </w:pPr>
    </w:p>
    <w:p>
      <w:pPr>
        <w:ind w:left="360" w:right="4359" w:hanging="367"/>
        <w:spacing w:after="0" w:line="250" w:lineRule="auto"/>
        <w:rPr>
          <w:sz w:val="20"/>
          <w:szCs w:val="20"/>
          <w:color w:val="auto"/>
        </w:rPr>
      </w:pPr>
      <w:r>
        <w:rPr>
          <w:rFonts w:ascii="Courier New" w:cs="Courier New" w:eastAsia="Courier New" w:hAnsi="Courier New"/>
          <w:sz w:val="12"/>
          <w:szCs w:val="12"/>
          <w:color w:val="auto"/>
        </w:rPr>
        <w:t>9.4.6. Notwithstanding anything to the contrary in this clause 9.4, it shall be a condition to the Borrower's issuance of shares (or, at the election of any Bank, capital notes) to the Banks pursuant to clause 9.4.1 or 9.4.2 above that: (a) no Default or Event of Default has occurred; (b) no law (including foreign laws or interpretations by foreign Governmental Bodies) prohibits any Bank from acquiring its Proportion of such shares or capital notes or restricts such Bank's ability to indefinitely hold such shares or capital notes; and (c) all of the Borrower's agreements with each of the Banks or their respective nominees with respect to such Bank's investment in the shares, or in securities convertible into or exercisable for shares, of the Borrower, including any investment and registration rights agreements (collectively, "THE EQUITY DOCUMENTS"), shall be in full force and effect and the Borrower shall not be in default of any of its obligations under any of the Equity Documents. In the event that any of the above conditions shall not be met, then, instead of issuing shares (or capital notes), the Borrower shall pay the Clause 9.4.1 Amount or the Clause 9.4.2 Amount, as applicable (as the same may be adjusted pursuant to clause 9.4.7 below, if applicable) in cash by paying each Bank's Proportion of such aggregate amount into such Bank's Project Account on the 30th (thirtieth) day following the end of the Determination Period.</w:t>
      </w:r>
    </w:p>
    <w:p>
      <w:pPr>
        <w:spacing w:after="0" w:line="283" w:lineRule="exact"/>
        <w:rPr>
          <w:sz w:val="20"/>
          <w:szCs w:val="20"/>
          <w:color w:val="auto"/>
        </w:rPr>
      </w:pPr>
    </w:p>
    <w:p>
      <w:pPr>
        <w:ind w:left="1980"/>
        <w:spacing w:after="0"/>
        <w:rPr>
          <w:sz w:val="20"/>
          <w:szCs w:val="20"/>
          <w:color w:val="auto"/>
        </w:rPr>
      </w:pPr>
      <w:r>
        <w:rPr>
          <w:rFonts w:ascii="Courier New" w:cs="Courier New" w:eastAsia="Courier New" w:hAnsi="Courier New"/>
          <w:sz w:val="12"/>
          <w:szCs w:val="12"/>
          <w:color w:val="auto"/>
        </w:rPr>
        <w:t>- 82 -</w:t>
      </w:r>
    </w:p>
    <w:p>
      <w:pPr>
        <w:spacing w:after="0" w:line="200" w:lineRule="exact"/>
        <w:rPr>
          <w:sz w:val="20"/>
          <w:szCs w:val="20"/>
          <w:color w:val="auto"/>
        </w:rPr>
      </w:pPr>
    </w:p>
    <w:p>
      <w:pPr>
        <w:spacing w:after="0" w:line="353" w:lineRule="exact"/>
        <w:rPr>
          <w:sz w:val="20"/>
          <w:szCs w:val="20"/>
          <w:color w:val="auto"/>
        </w:rPr>
      </w:pPr>
    </w:p>
    <w:p>
      <w:pPr>
        <w:ind w:left="360" w:right="4359" w:hanging="367"/>
        <w:spacing w:after="0" w:line="250" w:lineRule="auto"/>
        <w:rPr>
          <w:sz w:val="20"/>
          <w:szCs w:val="20"/>
          <w:color w:val="auto"/>
        </w:rPr>
      </w:pPr>
      <w:r>
        <w:rPr>
          <w:rFonts w:ascii="Courier New" w:cs="Courier New" w:eastAsia="Courier New" w:hAnsi="Courier New"/>
          <w:sz w:val="12"/>
          <w:szCs w:val="12"/>
          <w:color w:val="auto"/>
        </w:rPr>
        <w:t>9.4.7. Notwithstanding anything to the contrary in this clause 9.4, in the event that: (i) clause 9.4.2 shall apply; and (ii) at any time prior to the end of the Determination Period a Bank (or its nominee) shall sell shares of the Borrower issued to such Bank (or its nominee) pursuant to the Loan conversion described in clause 2.1 above ("THE CONVERSION SHARES") at a price per share that exceeds the Minimum Price ("THE SOLD SHARES"), then the compensation payable to such Bank under this clause 9.4 shall be as follows: (a) with respect to the compensation payable to such Bank under clause 9.4.2 above, the Clause 9.4.2 Amount shall be deemed to be an amount equal to the Clause 9.4.2 Amount multiplied by a percentage equal to 100 (one hundred) minus the Percentage Sold; and (b) notwithstanding that clause 9.4.2 is applicable, the Bank shall also be entitled to compensation under clause 9.4.1, provided that the Clause 9.4.1 Amount shall be deemed to be an amount equal to the Clause 9.4.1 Amount multiplied by the Percentage Sold. As used in this clause 9.4.7 the term "PERCENTAGE SOLD" means the Sold Shares expressed as a percentage of the Conversion Shares, as the Sold Shares and the Conversion Shares shall be adjusted to reflect any subdivisions or combinations of shares occurring between the Amendment Closing Date and the end of the Determination Period. For the avoidance of doubt, sales by a Bank of shares that are not Conversion Shares, including shares issuable upon the exercise of any Warrants granted or to be granted to any Bank or its nominee, shall not be taken into account for the purposes of this clause 9.4.7.</w:t>
      </w:r>
    </w:p>
    <w:p>
      <w:pPr>
        <w:spacing w:after="0" w:line="200" w:lineRule="exact"/>
        <w:rPr>
          <w:sz w:val="20"/>
          <w:szCs w:val="20"/>
          <w:color w:val="auto"/>
        </w:rPr>
      </w:pPr>
    </w:p>
    <w:p>
      <w:pPr>
        <w:spacing w:after="0" w:line="224" w:lineRule="exact"/>
        <w:rPr>
          <w:sz w:val="20"/>
          <w:szCs w:val="20"/>
          <w:color w:val="auto"/>
        </w:rPr>
      </w:pPr>
    </w:p>
    <w:p>
      <w:pPr>
        <w:ind w:left="1980"/>
        <w:spacing w:after="0"/>
        <w:rPr>
          <w:sz w:val="20"/>
          <w:szCs w:val="20"/>
          <w:color w:val="auto"/>
        </w:rPr>
      </w:pPr>
      <w:r>
        <w:rPr>
          <w:rFonts w:ascii="Courier New" w:cs="Courier New" w:eastAsia="Courier New" w:hAnsi="Courier New"/>
          <w:sz w:val="12"/>
          <w:szCs w:val="12"/>
          <w:color w:val="auto"/>
        </w:rPr>
        <w:t>- 83 -</w:t>
      </w:r>
    </w:p>
    <w:p>
      <w:pPr>
        <w:spacing w:after="0" w:line="200" w:lineRule="exact"/>
        <w:rPr>
          <w:sz w:val="20"/>
          <w:szCs w:val="20"/>
          <w:color w:val="auto"/>
        </w:rPr>
      </w:pPr>
    </w:p>
    <w:p>
      <w:pPr>
        <w:spacing w:after="0" w:line="353"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2"/>
          <w:szCs w:val="12"/>
          <w:color w:val="auto"/>
        </w:rPr>
        <w:t>9.4.8. All issuances of shares or capital notes, as the case may be,</w:t>
      </w:r>
    </w:p>
    <w:p>
      <w:pPr>
        <w:spacing w:after="0" w:line="6" w:lineRule="exact"/>
        <w:rPr>
          <w:sz w:val="20"/>
          <w:szCs w:val="20"/>
          <w:color w:val="auto"/>
        </w:rPr>
      </w:pPr>
    </w:p>
    <w:p>
      <w:pPr>
        <w:ind w:left="360" w:right="4359"/>
        <w:spacing w:after="0" w:line="250" w:lineRule="auto"/>
        <w:rPr>
          <w:sz w:val="20"/>
          <w:szCs w:val="20"/>
          <w:color w:val="auto"/>
        </w:rPr>
      </w:pPr>
      <w:r>
        <w:rPr>
          <w:rFonts w:ascii="Courier New" w:cs="Courier New" w:eastAsia="Courier New" w:hAnsi="Courier New"/>
          <w:sz w:val="12"/>
          <w:szCs w:val="12"/>
          <w:color w:val="auto"/>
        </w:rPr>
        <w:t>in accordance with this clause 9.4 above, shall be made in accordance with the terms of the respective Equity Documents and, without limiting the generality of the foregoing, all Governmental Authorisations, third party consents, certificates and legal opinions to be delivered and all such other actions to be taken by the Borrower under the Equity Documents in connection with the issue of such shares or capital notes, as the case may be, shall be so delivered and taken by the Borrower by not later</w:t>
      </w:r>
    </w:p>
    <w:p>
      <w:pPr>
        <w:sectPr>
          <w:pgSz w:w="11900" w:h="16849" w:orient="portrait"/>
          <w:cols w:equalWidth="0" w:num="1">
            <w:col w:w="9499"/>
          </w:cols>
          <w:pgMar w:left="960" w:top="141" w:right="1440" w:bottom="0" w:gutter="0" w:footer="0" w:header="0"/>
        </w:sectPr>
      </w:pPr>
    </w:p>
    <w:bookmarkStart w:id="107" w:name="page108"/>
    <w:bookmarkEnd w:id="107"/>
    <w:p>
      <w:pPr>
        <w:spacing w:after="0" w:line="30"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than 30 (thirty) days after the end of the Determination Period.</w:t>
      </w:r>
    </w:p>
    <w:p>
      <w:pPr>
        <w:spacing w:after="0" w:line="147" w:lineRule="exact"/>
        <w:rPr>
          <w:sz w:val="20"/>
          <w:szCs w:val="20"/>
          <w:color w:val="auto"/>
        </w:rPr>
      </w:pPr>
    </w:p>
    <w:p>
      <w:pPr>
        <w:ind w:left="1104" w:right="4359" w:hanging="367"/>
        <w:spacing w:after="0" w:line="250" w:lineRule="auto"/>
        <w:rPr>
          <w:sz w:val="20"/>
          <w:szCs w:val="20"/>
          <w:color w:val="auto"/>
        </w:rPr>
      </w:pPr>
      <w:r>
        <w:rPr>
          <w:rFonts w:ascii="Courier New" w:cs="Courier New" w:eastAsia="Courier New" w:hAnsi="Courier New"/>
          <w:sz w:val="12"/>
          <w:szCs w:val="12"/>
          <w:color w:val="auto"/>
        </w:rPr>
        <w:t>9.4.9. Notwithstanding anything to the contrary in this clause 9.4, should the Borrower prepay any of the Loans in conformity with clause 7 or clause 8 above prior to the last Interest Payment Date in the Determination Period, then the 9.4.1 Amount and/or the 9.4.2 Amount, as applicable, shall be multiplied by a fraction, the numerator of which shall be 4.625 (four point six two five) (which is the average life ("MESHECH HAYIM MEMUTZA") of the Loans in years calculated as from May 17, 2006 through the Final Maturity Date, assuming no prepayments) ("THE ORIGINAL AVERAGE LIFE") as such Original Average Life shall be adjusted to reflect such prepayment and the denominator of which shall be 4.625 (four point six two five). On the date of any such prepayment by the Borrower, the Borrower shall deliver a certificate, in form and substance satisfactory to the Banks, signed by the Chief Financial Officer setting forth, in reasonable detail, the adjusted average life ("MESHECH HAYIM MEMUTZA") of the Loans in years reflecting such prepayment as aforesaid.</w:t>
      </w:r>
    </w:p>
    <w:p>
      <w:pPr>
        <w:spacing w:after="0" w:line="283" w:lineRule="exact"/>
        <w:rPr>
          <w:sz w:val="20"/>
          <w:szCs w:val="20"/>
          <w:color w:val="auto"/>
        </w:rPr>
      </w:pPr>
    </w:p>
    <w:p>
      <w:pPr>
        <w:ind w:left="364" w:hanging="364"/>
        <w:spacing w:after="0"/>
        <w:tabs>
          <w:tab w:leader="none" w:pos="364" w:val="left"/>
        </w:tabs>
        <w:numPr>
          <w:ilvl w:val="0"/>
          <w:numId w:val="1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SUBSTITUTE INTEREST RATES</w:t>
      </w:r>
    </w:p>
    <w:p>
      <w:pPr>
        <w:spacing w:after="0" w:line="147" w:lineRule="exact"/>
        <w:rPr>
          <w:rFonts w:ascii="Courier New" w:cs="Courier New" w:eastAsia="Courier New" w:hAnsi="Courier New"/>
          <w:sz w:val="12"/>
          <w:szCs w:val="12"/>
          <w:color w:val="auto"/>
        </w:rPr>
      </w:pPr>
    </w:p>
    <w:p>
      <w:pPr>
        <w:ind w:left="364" w:right="4719"/>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If and whenever, at any time prior to the commencement of any Interest Period:</w:t>
      </w:r>
    </w:p>
    <w:p>
      <w:pPr>
        <w:spacing w:after="0" w:line="138" w:lineRule="exact"/>
        <w:rPr>
          <w:rFonts w:ascii="Courier New" w:cs="Courier New" w:eastAsia="Courier New" w:hAnsi="Courier New"/>
          <w:sz w:val="12"/>
          <w:szCs w:val="12"/>
          <w:color w:val="auto"/>
        </w:rPr>
      </w:pPr>
    </w:p>
    <w:p>
      <w:pPr>
        <w:ind w:left="744" w:right="4499" w:hanging="368"/>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10.1. by reason of changes affecting the Eurodollar Interbank market, the Banks shall have determined that, due to circumstances beyond their control, adequate means do not exist for ascertaining LIBOR during such Interest Period; or</w:t>
      </w:r>
    </w:p>
    <w:p>
      <w:pPr>
        <w:spacing w:after="0" w:line="280"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1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84 -</w:t>
      </w:r>
    </w:p>
    <w:p>
      <w:pPr>
        <w:spacing w:after="0" w:line="200" w:lineRule="exact"/>
        <w:rPr>
          <w:sz w:val="20"/>
          <w:szCs w:val="20"/>
          <w:color w:val="auto"/>
        </w:rPr>
      </w:pPr>
    </w:p>
    <w:p>
      <w:pPr>
        <w:spacing w:after="0" w:line="211" w:lineRule="exact"/>
        <w:rPr>
          <w:sz w:val="20"/>
          <w:szCs w:val="20"/>
          <w:color w:val="auto"/>
        </w:rPr>
      </w:pPr>
    </w:p>
    <w:p>
      <w:pPr>
        <w:ind w:left="744" w:right="4359" w:hanging="367"/>
        <w:spacing w:after="0" w:line="250" w:lineRule="auto"/>
        <w:rPr>
          <w:sz w:val="20"/>
          <w:szCs w:val="20"/>
          <w:color w:val="auto"/>
        </w:rPr>
      </w:pPr>
      <w:r>
        <w:rPr>
          <w:rFonts w:ascii="Courier New" w:cs="Courier New" w:eastAsia="Courier New" w:hAnsi="Courier New"/>
          <w:sz w:val="12"/>
          <w:szCs w:val="12"/>
          <w:color w:val="auto"/>
        </w:rPr>
        <w:t>10.2. deposits in US Dollars are not available to any of the Banks in the London Interbank market in the Ordinary Course of Business in sufficient amounts to fund the Loans for such Interest Period or there shall be no objective possibility for the Banks to fund the then outstanding balance of the Loans or any of them in US Dollars,the Banks shall forthwith give notice ("A DETERMINATION NOTICE") of such event to the Borrower (a Determination Notice to contain particulars of the relevant circumstances giving rise to its issue) and, notwithstanding the provisions of clause 9 above, the Banks shall offer the Borrower an alternative basis ("THE SUBSTITUTE BASIS") for the determination of the relevant Interest rate for such Interest Period, the Substitute Basis to be binding upon the Borrower and to take effect in accordance with its terms from the commencement of the relevant Interest Period. If the Borrower determines that it does not wish to continue the relevant Loans under the Substitute Basis, it shall so notify the Banks within 90 (ninety) days of receipt of the Banks' notice specifying such Substitute Basis, whereupon the outstanding balance of the principal amount of the relevant Loans, together with all accrued Interest thereon, as well as all other amounts in respect thereof, shall become immediately due and payable.</w:t>
      </w:r>
    </w:p>
    <w:p>
      <w:pPr>
        <w:spacing w:after="0" w:line="141" w:lineRule="exact"/>
        <w:rPr>
          <w:sz w:val="20"/>
          <w:szCs w:val="20"/>
          <w:color w:val="auto"/>
        </w:rPr>
      </w:pPr>
    </w:p>
    <w:p>
      <w:pPr>
        <w:ind w:left="364" w:right="7659" w:hanging="364"/>
        <w:spacing w:after="0" w:line="499" w:lineRule="auto"/>
        <w:tabs>
          <w:tab w:leader="none" w:pos="364"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COMMISSIONS, FEES AND EXPENSES 11.1. FRONT END FEE</w:t>
      </w:r>
    </w:p>
    <w:p>
      <w:pPr>
        <w:spacing w:after="0" w:line="1"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11.2. COMMITMENT COMMISSION</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11.3. LEGAL AND OTHER COSTS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Borrower shall pay to the Banks on demand:</w:t>
      </w:r>
    </w:p>
    <w:p>
      <w:pPr>
        <w:spacing w:after="0" w:line="147" w:lineRule="exact"/>
        <w:rPr>
          <w:sz w:val="20"/>
          <w:szCs w:val="20"/>
          <w:color w:val="auto"/>
        </w:rPr>
      </w:pPr>
    </w:p>
    <w:p>
      <w:pPr>
        <w:ind w:left="1104" w:right="4359" w:hanging="367"/>
        <w:spacing w:after="0" w:line="250" w:lineRule="auto"/>
        <w:rPr>
          <w:sz w:val="20"/>
          <w:szCs w:val="20"/>
          <w:color w:val="auto"/>
        </w:rPr>
      </w:pPr>
      <w:r>
        <w:rPr>
          <w:rFonts w:ascii="Courier New" w:cs="Courier New" w:eastAsia="Courier New" w:hAnsi="Courier New"/>
          <w:sz w:val="12"/>
          <w:szCs w:val="12"/>
          <w:color w:val="auto"/>
        </w:rPr>
        <w:t>11.3.1. all costs and expenses (including legal fees for external counsel and out-of-pocket expenses) incurred by the Banks in connection with: (i) the performance of all legal due diligence inquiries as the Banks have required or shall require with respect to the Project and the proposed transactions in connection therewith; (ii) the negotiation, preparation and execution of this Agreement and the other Finance Documents and the completion of the transactions herein contemplated; and (iii) assignment or participation pursuant to clause 25 below; all subject, with respect to legal fees, to such limits and/or tariffs as have been or may be agreed, from time to time, between the Banks and the Borrower in writing;</w:t>
      </w:r>
    </w:p>
    <w:p>
      <w:pPr>
        <w:spacing w:after="0" w:line="283"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- 85 -</w:t>
      </w:r>
    </w:p>
    <w:p>
      <w:pPr>
        <w:spacing w:after="0" w:line="200" w:lineRule="exact"/>
        <w:rPr>
          <w:sz w:val="20"/>
          <w:szCs w:val="20"/>
          <w:color w:val="auto"/>
        </w:rPr>
      </w:pPr>
    </w:p>
    <w:p>
      <w:pPr>
        <w:spacing w:after="0" w:line="353" w:lineRule="exact"/>
        <w:rPr>
          <w:sz w:val="20"/>
          <w:szCs w:val="20"/>
          <w:color w:val="auto"/>
        </w:rPr>
      </w:pPr>
    </w:p>
    <w:p>
      <w:pPr>
        <w:ind w:left="1104" w:right="4359" w:hanging="367"/>
        <w:spacing w:after="0" w:line="250" w:lineRule="auto"/>
        <w:rPr>
          <w:sz w:val="20"/>
          <w:szCs w:val="20"/>
          <w:color w:val="auto"/>
        </w:rPr>
      </w:pPr>
      <w:r>
        <w:rPr>
          <w:rFonts w:ascii="Courier New" w:cs="Courier New" w:eastAsia="Courier New" w:hAnsi="Courier New"/>
          <w:sz w:val="12"/>
          <w:szCs w:val="12"/>
          <w:color w:val="auto"/>
        </w:rPr>
        <w:t>11.3.2. all expenses (including legal fees and out-of-pocket expenses) incurred by the Banks (or any of them) in contemplation of, or otherwise in connection with, the enforcement of, or preservation of any rights under, this Agreement or any of the other Finance Documents or otherwise in respect of the moneys owing under this Agreement, together with Interest at the rate referred to in clause 18 below from the date on which the payment of such expenses was demanded by the Banks until the date of payment (after as well as before judgment).</w:t>
      </w:r>
    </w:p>
    <w:p>
      <w:pPr>
        <w:spacing w:after="0" w:line="141"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11.4. CONSULTANTS</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The Borrower shall, in accordance with the letters of engagement with each of the Consulting Engineer, Insurance Adviser and Bank Adviser, retain the following experts: the Consulting Engineer, the Insurance Adviser and the Bank Adviser, to advise and act on behalf of the Banks and the Borrower in respect of the Project, including to perform on behalf of the Banks such financial, insurance and technical due diligence inquiries, review, analysis and monitoring as the Banks may require in connection with the Project, as well as, in the case of the Consulting Engineer, to perform all those functions referred to in this Agreement, in the case of the Insurance Adviser, to provide the Insurance Report and, in the case of the Bank Adviser, to monitor, review and analyse the financial information received by the Banks from the Borrower pursuant to this Agreement and any of the Finance Documents. The Borrower shall pay all fees of such experts, such fees to be payable in accordance with the tariffs agreed to between the</w:t>
      </w:r>
    </w:p>
    <w:p>
      <w:pPr>
        <w:sectPr>
          <w:pgSz w:w="11900" w:h="16868" w:orient="portrait"/>
          <w:cols w:equalWidth="0" w:num="1">
            <w:col w:w="10244"/>
          </w:cols>
          <w:pgMar w:left="216" w:top="141" w:right="1440" w:bottom="0" w:gutter="0" w:footer="0" w:header="0"/>
        </w:sectPr>
      </w:pPr>
    </w:p>
    <w:bookmarkStart w:id="108" w:name="page109"/>
    <w:bookmarkEnd w:id="108"/>
    <w:p>
      <w:pPr>
        <w:spacing w:after="0" w:line="30"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Borrower and such experts.</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11.5. STAMP DUTIES AND LIKE TAXES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Borrower shall pay all stamp, documentary, registration or other</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like duties or Taxes (including any such duties or Taxes payable by</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Banks) imposed on or in connection with this Agreement, the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Facility and any of the Finance Documents.</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11.6. OTHER COMMISSIONS, FEES AND EXPENSES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Nothing in this clause 11 shall be construed as derogating from the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obligations of the Borrower to pay the Banks other commissions, fees</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and reasonable expenses usually payable to banks in connection with</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regular, day-to-day banking transactions performed in connection with</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Facility and which are not specifically provided for herein.</w:t>
      </w: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- 86 -</w:t>
      </w:r>
    </w:p>
    <w:p>
      <w:pPr>
        <w:spacing w:after="0" w:line="200" w:lineRule="exact"/>
        <w:rPr>
          <w:sz w:val="20"/>
          <w:szCs w:val="20"/>
          <w:color w:val="auto"/>
        </w:rPr>
      </w:pPr>
    </w:p>
    <w:p>
      <w:pPr>
        <w:spacing w:after="0" w:line="353"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11.7. CURRENCY FOR PAYMENT</w:t>
      </w:r>
    </w:p>
    <w:p>
      <w:pPr>
        <w:spacing w:after="0" w:line="147" w:lineRule="exact"/>
        <w:rPr>
          <w:sz w:val="20"/>
          <w:szCs w:val="20"/>
          <w:color w:val="auto"/>
        </w:rPr>
      </w:pPr>
    </w:p>
    <w:p>
      <w:pPr>
        <w:jc w:val="both"/>
        <w:ind w:left="744" w:right="4359"/>
        <w:spacing w:after="0" w:line="253" w:lineRule="auto"/>
        <w:rPr>
          <w:sz w:val="20"/>
          <w:szCs w:val="20"/>
          <w:color w:val="auto"/>
        </w:rPr>
      </w:pPr>
      <w:r>
        <w:rPr>
          <w:rFonts w:ascii="Courier New" w:cs="Courier New" w:eastAsia="Courier New" w:hAnsi="Courier New"/>
          <w:sz w:val="12"/>
          <w:szCs w:val="12"/>
          <w:color w:val="auto"/>
        </w:rPr>
        <w:t>All sums payable by the Borrower under this clause 11 shall be payable in the currency in which such sums were incurred by the relevant Bank.</w:t>
      </w:r>
    </w:p>
    <w:p>
      <w:pPr>
        <w:spacing w:after="0" w:line="138"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11.8. VAT</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All fees and expenses referred to in this clause 11 are exclusive of any VAT or any other Taxes which might be charged in connection with such fees and expenses. If any VAT or other such Tax is so chargeable, it shall be paid by the Borrower at the same time as it pays the relevant fees and expenses.</w:t>
      </w:r>
    </w:p>
    <w:p>
      <w:pPr>
        <w:spacing w:after="0" w:line="141" w:lineRule="exact"/>
        <w:rPr>
          <w:sz w:val="20"/>
          <w:szCs w:val="20"/>
          <w:color w:val="auto"/>
        </w:rPr>
      </w:pPr>
    </w:p>
    <w:p>
      <w:pPr>
        <w:ind w:left="364" w:hanging="364"/>
        <w:spacing w:after="0"/>
        <w:tabs>
          <w:tab w:leader="none" w:pos="364" w:val="left"/>
        </w:tabs>
        <w:numPr>
          <w:ilvl w:val="0"/>
          <w:numId w:val="1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TAXES</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12.1. TAXES</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All payments to be made by the Borrower to the Banks shall be made free and clear of and without deduction for or on account of Tax, unless the Borrower is required by law to make such payment subject to the deduction or withholding of Tax, in which case (save where such deduction or withholding is in respect of Tax on Overall Net Income of a Bank and the Borrower shall have delivered to such Bank a receipt as referred to in clause 12.3 below, simultaneously with the making of the payment from which such Tax deduction has been made) the sum payable by the Borrower in respect of which such deduction or withholding is required to be made shall be increased, to the extent necessary, to ensure that after the making of the required deduction or withholding, such Bank receives and retains (free from any liability in respect of any such deduction or withholding), a net sum equal to the sum which it would have received and so retained had no such deduction or withholding been made or required to be made, provided that the aforesaid shall not apply with respect to any Taxes (including, for the removal of doubt, Tax on Overall Net Income) of the Banks in connection with the issuance of any shares, Warrants or capital notes of the Borrower or the exercise or conversion thereof.</w:t>
      </w:r>
    </w:p>
    <w:p>
      <w:pPr>
        <w:spacing w:after="0" w:line="141"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12.2. NOTIFICATION OF TAXES</w:t>
      </w:r>
    </w:p>
    <w:p>
      <w:pPr>
        <w:spacing w:after="0" w:line="147" w:lineRule="exact"/>
        <w:rPr>
          <w:sz w:val="20"/>
          <w:szCs w:val="20"/>
          <w:color w:val="auto"/>
        </w:rPr>
      </w:pPr>
    </w:p>
    <w:p>
      <w:pPr>
        <w:ind w:left="744" w:right="4359"/>
        <w:spacing w:after="0" w:line="251" w:lineRule="auto"/>
        <w:rPr>
          <w:sz w:val="20"/>
          <w:szCs w:val="20"/>
          <w:color w:val="auto"/>
        </w:rPr>
      </w:pPr>
      <w:r>
        <w:rPr>
          <w:rFonts w:ascii="Courier New" w:cs="Courier New" w:eastAsia="Courier New" w:hAnsi="Courier New"/>
          <w:sz w:val="12"/>
          <w:szCs w:val="12"/>
          <w:color w:val="auto"/>
        </w:rPr>
        <w:t>If, at any time, the Borrower is required by law to make any deduction or withholding from any sum payable by it hereunder, the Borrower shall, as soon as reasonably practicable, notify the relevant Bank.</w:t>
      </w:r>
    </w:p>
    <w:p>
      <w:pPr>
        <w:spacing w:after="0" w:line="281"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- 87 -</w:t>
      </w:r>
    </w:p>
    <w:p>
      <w:pPr>
        <w:spacing w:after="0" w:line="200" w:lineRule="exact"/>
        <w:rPr>
          <w:sz w:val="20"/>
          <w:szCs w:val="20"/>
          <w:color w:val="auto"/>
        </w:rPr>
      </w:pPr>
    </w:p>
    <w:p>
      <w:pPr>
        <w:spacing w:after="0" w:line="353"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12.3. PAYMENT AND SUBMISSION OF RECEIPT</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If the Borrower makes any payment hereunder in respect of which it is required to make any deduction or withholding, it shall pay the full amount required to be deducted or withheld to the relevant taxation or other authority within the time allowed for such payment under applicable law and shall deliver to the relevant Bank, as soon as reasonably practicable after it has made such payment to the applicable authority, an original receipt (or a certified copy thereof) issued by such authority evidencing the payment to such authority of all amounts so required to be deducted or withheld in respect of such payment.</w:t>
      </w:r>
    </w:p>
    <w:p>
      <w:pPr>
        <w:spacing w:after="0" w:line="283"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12.4. TAX SAVING</w:t>
      </w:r>
    </w:p>
    <w:p>
      <w:pPr>
        <w:spacing w:after="0" w:line="147" w:lineRule="exact"/>
        <w:rPr>
          <w:sz w:val="20"/>
          <w:szCs w:val="20"/>
          <w:color w:val="auto"/>
        </w:rPr>
      </w:pPr>
    </w:p>
    <w:p>
      <w:pPr>
        <w:ind w:left="1104" w:right="4359" w:hanging="367"/>
        <w:spacing w:after="0" w:line="250" w:lineRule="auto"/>
        <w:rPr>
          <w:sz w:val="20"/>
          <w:szCs w:val="20"/>
          <w:color w:val="auto"/>
        </w:rPr>
      </w:pPr>
      <w:r>
        <w:rPr>
          <w:rFonts w:ascii="Courier New" w:cs="Courier New" w:eastAsia="Courier New" w:hAnsi="Courier New"/>
          <w:sz w:val="12"/>
          <w:szCs w:val="12"/>
          <w:color w:val="auto"/>
        </w:rPr>
        <w:t>12.4.1. In the event that following the imposition of any Tax on any payment by the Borrower in consequence of which the Borrower is required, under clause 12.1, to pay any additional amount in respect thereof, any Bank shall, in its sole opinion and based on its own interpretation of any relevant laws or regulations (but acting in good faith), receive or be granted a repayment of Tax, or a credit against, or remission for, or deduction from, or in respect of, any Tax payable by it (any of the aforegoing, to the extent so reasonably identifiable and quantifiable, being referred to as "A SAVING"), such Bank shall, to the extent that it can do so without prejudice to the retention of the relevant saving and subject to the Borrower's obligation to repay the amount to such Bank, if the relevant saving is subsequently disallowed or cancelled (which repayment shall be made promptly on receipt of notice by the Borrower from such person of such disallowance or cancellation), reimburse the Borrower promptly after receipt of such saving by such Bank with such amount equal to the lower of: (i) the additional amount paid by the Borrower in respect of such Tax under clause 12.1 as aforesaid; and (ii) such amount as such Bank shall, in its sole opinion but in good faith, have concluded to be the finally determined amount or value of the relevant saving.</w:t>
      </w:r>
    </w:p>
    <w:p>
      <w:pPr>
        <w:spacing w:after="0" w:line="141" w:lineRule="exact"/>
        <w:rPr>
          <w:sz w:val="20"/>
          <w:szCs w:val="20"/>
          <w:color w:val="auto"/>
        </w:rPr>
      </w:pPr>
    </w:p>
    <w:p>
      <w:pPr>
        <w:ind w:left="1104" w:right="4359" w:hanging="367"/>
        <w:spacing w:after="0" w:line="250" w:lineRule="auto"/>
        <w:rPr>
          <w:sz w:val="20"/>
          <w:szCs w:val="20"/>
          <w:color w:val="auto"/>
        </w:rPr>
      </w:pPr>
      <w:r>
        <w:rPr>
          <w:rFonts w:ascii="Courier New" w:cs="Courier New" w:eastAsia="Courier New" w:hAnsi="Courier New"/>
          <w:sz w:val="12"/>
          <w:szCs w:val="12"/>
          <w:color w:val="auto"/>
        </w:rPr>
        <w:t>12.4.2. Nothing contained in this Agreement shall interfere with the right of any Bank to arrange its Tax and other affairs in whatever manner it thinks fit and, in particular, no Bank shall be under any obligation to claim relief from Tax on its corporate profits, or from any similar Tax liability, in respect of the Tax, or to claim relief in priority to any other claims, reliefs, credits or deductions available to it or to disclose details of</w:t>
      </w:r>
    </w:p>
    <w:p>
      <w:pPr>
        <w:sectPr>
          <w:pgSz w:w="11900" w:h="16868" w:orient="portrait"/>
          <w:cols w:equalWidth="0" w:num="1">
            <w:col w:w="10244"/>
          </w:cols>
          <w:pgMar w:left="216" w:top="141" w:right="1440" w:bottom="0" w:gutter="0" w:footer="0" w:header="0"/>
        </w:sectPr>
      </w:pPr>
    </w:p>
    <w:bookmarkStart w:id="109" w:name="page110"/>
    <w:bookmarkEnd w:id="109"/>
    <w:p>
      <w:pPr>
        <w:spacing w:after="0" w:line="11"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its Tax affairs. No Bank shall be required to disclose any</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confidential information relating to the organisation of its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affairs.</w:t>
      </w: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- 88 -</w:t>
      </w:r>
    </w:p>
    <w:p>
      <w:pPr>
        <w:spacing w:after="0" w:line="200" w:lineRule="exact"/>
        <w:rPr>
          <w:sz w:val="20"/>
          <w:szCs w:val="20"/>
          <w:color w:val="auto"/>
        </w:rPr>
      </w:pPr>
    </w:p>
    <w:p>
      <w:pPr>
        <w:spacing w:after="0" w:line="353"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12.4.3. Each Bank will notify the Borrower promptly of the receipt by</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such Bank of any saving and of such Bank's opinion as to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amount or value of that saving.</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12.5. VAT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Borrower shall pay to the Banks all VAT, if any, payable in</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respect of any payment to be made by the Borrower to the Banks under</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this Agreement or under any other Finance Document.</w:t>
      </w:r>
    </w:p>
    <w:p>
      <w:pPr>
        <w:spacing w:after="0" w:line="147" w:lineRule="exact"/>
        <w:rPr>
          <w:sz w:val="20"/>
          <w:szCs w:val="20"/>
          <w:color w:val="auto"/>
        </w:rPr>
      </w:pPr>
    </w:p>
    <w:p>
      <w:pPr>
        <w:ind w:left="364" w:hanging="364"/>
        <w:spacing w:after="0"/>
        <w:tabs>
          <w:tab w:leader="none" w:pos="364" w:val="left"/>
        </w:tabs>
        <w:numPr>
          <w:ilvl w:val="0"/>
          <w:numId w:val="1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INCREASED COSTS</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13.1. INCREASED COSTS</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Subject to clause 13.2 below, if by reason of any change in, or the introduction of, or any change in the interpretation, administration or application by any Governmental Body of any law or by reason of the interpretation, administration or application adopted or declared by any Governmental Body in respect of any law (including of any official directive or official request from, or the rules of, any governmental, fiscal, monetary or regulatory (including self-regulatory) authority, organisation or agency (whether or not having the force of law but, if not having the force of law, being a regulation, treaty, official directive, official request or rule which it is the practice of banks in Israel to comply with)) after the date of this Agreement which affects the Banks or compliance by any of the Banks with any such change, introduction, adoption or declaration, including, in each case, those relating to Taxation, reserves, special deposits, cash ratio, liquidity, limits on provision of credit to single borrowers or groups of borrowers or capital adequacy requirements or other forms of banking, fiscal, monetary or regulatory controls:</w:t>
      </w:r>
    </w:p>
    <w:p>
      <w:pPr>
        <w:spacing w:after="0" w:line="141" w:lineRule="exact"/>
        <w:rPr>
          <w:sz w:val="20"/>
          <w:szCs w:val="20"/>
          <w:color w:val="auto"/>
        </w:rPr>
      </w:pPr>
    </w:p>
    <w:p>
      <w:pPr>
        <w:ind w:left="1104" w:right="4359" w:hanging="367"/>
        <w:spacing w:after="0" w:line="251" w:lineRule="auto"/>
        <w:rPr>
          <w:sz w:val="20"/>
          <w:szCs w:val="20"/>
          <w:color w:val="auto"/>
        </w:rPr>
      </w:pPr>
      <w:r>
        <w:rPr>
          <w:rFonts w:ascii="Courier New" w:cs="Courier New" w:eastAsia="Courier New" w:hAnsi="Courier New"/>
          <w:sz w:val="12"/>
          <w:szCs w:val="12"/>
          <w:color w:val="auto"/>
        </w:rPr>
        <w:t>13.1.1. any of the Banks incurs a cost as a result of it having entered into and/or performing and/or assuming and/or maintaining and/or funding its obligations or commitments under, any Finance Document and/or maintaining the outstanding balance of the Loans; or</w:t>
      </w:r>
    </w:p>
    <w:p>
      <w:pPr>
        <w:spacing w:after="0" w:line="200" w:lineRule="exact"/>
        <w:rPr>
          <w:sz w:val="20"/>
          <w:szCs w:val="20"/>
          <w:color w:val="auto"/>
        </w:rPr>
      </w:pPr>
    </w:p>
    <w:p>
      <w:pPr>
        <w:spacing w:after="0" w:line="222"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- 89 -</w:t>
      </w:r>
    </w:p>
    <w:p>
      <w:pPr>
        <w:spacing w:after="0" w:line="200" w:lineRule="exact"/>
        <w:rPr>
          <w:sz w:val="20"/>
          <w:szCs w:val="20"/>
          <w:color w:val="auto"/>
        </w:rPr>
      </w:pPr>
    </w:p>
    <w:p>
      <w:pPr>
        <w:spacing w:after="0" w:line="353" w:lineRule="exact"/>
        <w:rPr>
          <w:sz w:val="20"/>
          <w:szCs w:val="20"/>
          <w:color w:val="auto"/>
        </w:rPr>
      </w:pPr>
    </w:p>
    <w:p>
      <w:pPr>
        <w:ind w:left="1104" w:right="4359" w:hanging="367"/>
        <w:spacing w:after="0" w:line="250" w:lineRule="auto"/>
        <w:rPr>
          <w:sz w:val="20"/>
          <w:szCs w:val="20"/>
          <w:color w:val="auto"/>
        </w:rPr>
      </w:pPr>
      <w:r>
        <w:rPr>
          <w:rFonts w:ascii="Courier New" w:cs="Courier New" w:eastAsia="Courier New" w:hAnsi="Courier New"/>
          <w:sz w:val="12"/>
          <w:szCs w:val="12"/>
          <w:color w:val="auto"/>
        </w:rPr>
        <w:t>13.1.2. any Bank is unable to obtain the rate of return on its overall capital which it would have been able to obtain but for it having entered into and/or performing its obligations under any of the Finance Documents (including maintaining the outstanding balance of the Loans); or</w:t>
      </w:r>
    </w:p>
    <w:p>
      <w:pPr>
        <w:spacing w:after="0" w:line="141" w:lineRule="exact"/>
        <w:rPr>
          <w:sz w:val="20"/>
          <w:szCs w:val="20"/>
          <w:color w:val="auto"/>
        </w:rPr>
      </w:pPr>
    </w:p>
    <w:p>
      <w:pPr>
        <w:ind w:left="1104" w:right="4359" w:hanging="367"/>
        <w:spacing w:after="0" w:line="251" w:lineRule="auto"/>
        <w:rPr>
          <w:sz w:val="20"/>
          <w:szCs w:val="20"/>
          <w:color w:val="auto"/>
        </w:rPr>
      </w:pPr>
      <w:r>
        <w:rPr>
          <w:rFonts w:ascii="Courier New" w:cs="Courier New" w:eastAsia="Courier New" w:hAnsi="Courier New"/>
          <w:sz w:val="12"/>
          <w:szCs w:val="12"/>
          <w:color w:val="auto"/>
        </w:rPr>
        <w:t>13.1.3. any amount receivable by any of the Banks under any Finance Document is reduced (save to the extent matched by a reduction in the cost of providing the Loans or maintaining the outstanding balance of the Loans); or</w:t>
      </w:r>
    </w:p>
    <w:p>
      <w:pPr>
        <w:spacing w:after="0" w:line="139"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13.1.4. any of the Banks makes any payment or forgoes any Interest or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other return on, or calculated by reference to, any amount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received or receivable by it from the Borrower under any Finance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Document; or</w:t>
      </w:r>
    </w:p>
    <w:p>
      <w:pPr>
        <w:spacing w:after="0" w:line="147" w:lineRule="exact"/>
        <w:rPr>
          <w:sz w:val="20"/>
          <w:szCs w:val="20"/>
          <w:color w:val="auto"/>
        </w:rPr>
      </w:pPr>
    </w:p>
    <w:p>
      <w:pPr>
        <w:jc w:val="right"/>
        <w:ind w:right="4579"/>
        <w:spacing w:after="0"/>
        <w:rPr>
          <w:sz w:val="20"/>
          <w:szCs w:val="20"/>
          <w:color w:val="auto"/>
        </w:rPr>
      </w:pPr>
      <w:r>
        <w:rPr>
          <w:rFonts w:ascii="Courier New" w:cs="Courier New" w:eastAsia="Courier New" w:hAnsi="Courier New"/>
          <w:sz w:val="12"/>
          <w:szCs w:val="12"/>
          <w:color w:val="auto"/>
        </w:rPr>
        <w:t>13.1.5. there is any increase in the cost of any Bank of funding or</w:t>
      </w:r>
    </w:p>
    <w:p>
      <w:pPr>
        <w:spacing w:after="0" w:line="6" w:lineRule="exact"/>
        <w:rPr>
          <w:sz w:val="20"/>
          <w:szCs w:val="20"/>
          <w:color w:val="auto"/>
        </w:rPr>
      </w:pPr>
    </w:p>
    <w:p>
      <w:pPr>
        <w:jc w:val="right"/>
        <w:ind w:right="4579"/>
        <w:spacing w:after="0"/>
        <w:rPr>
          <w:sz w:val="20"/>
          <w:szCs w:val="20"/>
          <w:color w:val="auto"/>
        </w:rPr>
      </w:pPr>
      <w:r>
        <w:rPr>
          <w:rFonts w:ascii="Courier New" w:cs="Courier New" w:eastAsia="Courier New" w:hAnsi="Courier New"/>
          <w:sz w:val="12"/>
          <w:szCs w:val="12"/>
          <w:color w:val="auto"/>
        </w:rPr>
        <w:t>maintaining all or any other outstanding balances of the Loans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and such cost (or the relevant proportion thereof), reduction,</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payment, forgone Interest or other return is not compensated for by</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any other provision of this Agreement, then and in each such case:</w:t>
      </w:r>
    </w:p>
    <w:p>
      <w:pPr>
        <w:spacing w:after="0" w:line="147" w:lineRule="exact"/>
        <w:rPr>
          <w:sz w:val="20"/>
          <w:szCs w:val="20"/>
          <w:color w:val="auto"/>
        </w:rPr>
      </w:pPr>
    </w:p>
    <w:p>
      <w:pPr>
        <w:ind w:left="1104" w:right="4419" w:hanging="368"/>
        <w:spacing w:after="0" w:line="251" w:lineRule="auto"/>
        <w:tabs>
          <w:tab w:leader="none" w:pos="1104" w:val="left"/>
        </w:tabs>
        <w:numPr>
          <w:ilvl w:val="0"/>
          <w:numId w:val="1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such Bank shall notify the Borrower of that event promptly upon it becoming aware of the event, including, in reasonable detail, particulars of the event; and</w:t>
      </w:r>
    </w:p>
    <w:p>
      <w:pPr>
        <w:spacing w:after="0" w:line="139" w:lineRule="exact"/>
        <w:rPr>
          <w:rFonts w:ascii="Courier New" w:cs="Courier New" w:eastAsia="Courier New" w:hAnsi="Courier New"/>
          <w:sz w:val="12"/>
          <w:szCs w:val="12"/>
          <w:color w:val="auto"/>
        </w:rPr>
      </w:pPr>
    </w:p>
    <w:p>
      <w:pPr>
        <w:ind w:left="1104" w:right="4359" w:hanging="368"/>
        <w:spacing w:after="0" w:line="250" w:lineRule="auto"/>
        <w:tabs>
          <w:tab w:leader="none" w:pos="1104" w:val="left"/>
        </w:tabs>
        <w:numPr>
          <w:ilvl w:val="0"/>
          <w:numId w:val="1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within 30 (thirty) Business Days after receipt by the Borrower of a demand from time to time by such Bank accompanied by a certificate of such Bank specifying the amount of compensation claimed and setting out the calculation of the amount in reasonable detail, the Borrower shall pay to such Bank such amount as shall compensate such Bank for such increased cost, reduction, payment or forgone Interest or other return. Nothing in this clause 13 shall oblige such Bank to disclose any confidential information relating to the organisation of its affairs.</w:t>
      </w:r>
    </w:p>
    <w:p>
      <w:pPr>
        <w:spacing w:after="0" w:line="283"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Borrower may, after receipt of a demand as aforesaid in (ii)</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above, notify the Banks that it will prepay, on the next following</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Interest Payment Date, the whole (but not part only) of the Total</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Outstandings. Such notice shall be irrevocable and the Borrower shall</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on such Interest Payment Date as aforesaid pay to the Banks, each in</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respect of its participation in the Total Outstandings, together with</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all accrued Interest thereon and all other amounts owing to the Banks</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under the Finance Documents (including pursuant to clause 19 below).</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 the event of prepayment under this clause 13.1, the provisions of</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clause 7.5 above requiring the payment of a prepayment commission in</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respect of prepayments, shall not be applicable.</w:t>
      </w: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- 90 -</w:t>
      </w:r>
    </w:p>
    <w:p>
      <w:pPr>
        <w:spacing w:after="0" w:line="200" w:lineRule="exact"/>
        <w:rPr>
          <w:sz w:val="20"/>
          <w:szCs w:val="20"/>
          <w:color w:val="auto"/>
        </w:rPr>
      </w:pPr>
    </w:p>
    <w:p>
      <w:pPr>
        <w:spacing w:after="0" w:line="353"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13.2. EXCEPTIONS</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Clause 13.1 shall not apply so as to oblige the Borrower to compensate such Bank for any increased cost, reduction, payment or forgone Interest or other return resulting only from any change in, or the introduction of, or any change in the interpretation or application of, any law relating to, or any change in the rate of, Tax on Overall</w:t>
      </w:r>
    </w:p>
    <w:p>
      <w:pPr>
        <w:sectPr>
          <w:pgSz w:w="11900" w:h="16849" w:orient="portrait"/>
          <w:cols w:equalWidth="0" w:num="1">
            <w:col w:w="10244"/>
          </w:cols>
          <w:pgMar w:left="216" w:top="141" w:right="1440" w:bottom="0" w:gutter="0" w:footer="0" w:header="0"/>
        </w:sectPr>
      </w:pPr>
    </w:p>
    <w:bookmarkStart w:id="110" w:name="page111"/>
    <w:bookmarkEnd w:id="110"/>
    <w:p>
      <w:pPr>
        <w:spacing w:after="0" w:line="24" w:lineRule="exact"/>
        <w:rPr>
          <w:sz w:val="20"/>
          <w:szCs w:val="20"/>
          <w:color w:val="auto"/>
        </w:rPr>
      </w:pPr>
    </w:p>
    <w:p>
      <w:pPr>
        <w:ind w:left="744" w:right="4359"/>
        <w:spacing w:after="0" w:line="252" w:lineRule="auto"/>
        <w:rPr>
          <w:sz w:val="20"/>
          <w:szCs w:val="20"/>
          <w:color w:val="auto"/>
        </w:rPr>
      </w:pPr>
      <w:r>
        <w:rPr>
          <w:rFonts w:ascii="Courier New" w:cs="Courier New" w:eastAsia="Courier New" w:hAnsi="Courier New"/>
          <w:sz w:val="12"/>
          <w:szCs w:val="12"/>
          <w:color w:val="auto"/>
        </w:rPr>
        <w:t>Income of such Bank or change in the rate of VAT. For the purposes only of this clause 13, the term "FINANCE DOCUMENTS" shall be deemed not to include Warrants or capital notes issued by the Borrower to the Banks.</w:t>
      </w:r>
    </w:p>
    <w:p>
      <w:pPr>
        <w:spacing w:after="0" w:line="280" w:lineRule="exact"/>
        <w:rPr>
          <w:sz w:val="20"/>
          <w:szCs w:val="20"/>
          <w:color w:val="auto"/>
        </w:rPr>
      </w:pPr>
    </w:p>
    <w:p>
      <w:pPr>
        <w:ind w:left="364" w:hanging="364"/>
        <w:spacing w:after="0"/>
        <w:tabs>
          <w:tab w:leader="none" w:pos="364" w:val="left"/>
        </w:tabs>
        <w:numPr>
          <w:ilvl w:val="0"/>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ILLEGALITY</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If any change in or the introduction of any law, or any change in the interpretation, administration or application of laws by a final decision of a competent court or the relevant authority or agency or compliance by any of the Banks with any such change or introduction of laws or change in interpretation, administration or application of laws or by reason of the interpretation, administration or application adopted or declared by any Governmental Body in respect of any law, shall make it unlawful or a breach of laws or impracticable for such Bank to maintain the Loans under this Agreement or to give effect to its obligations and exercise its rights as contemplated by this Agreement or any Bank is requested to reduce the volume of its loans or credit to the Borrower, such Bank may, by notice to the Borrower, declare that to the extent necessary to avoid any such illegality or breach of laws or impracticability or to comply with such reduction, its obligations to the Borrower under the Finance Documents shall be to the extent necessary as aforesaid, terminated forthwith or, if later, on the latest date to which the obligations may remain in effect without causing such Bank to be in breach of laws, whereupon the Borrower will, by the earlier of: (i) the date on which the illegality or breach or impracticability in question takes effect; and (ii) the Interest Payment Date next following such notice from the Banks, prepay the Loans, to the extent necessary as aforesaid. All such prepayments shall be made together with all Interest and other charges accrued on all the aforegoing to the date of the prepayment (as well as all amounts payable under clause 19 below and all other amounts payable to such Bank under the Finance Documents). In the event of prepayment under this clause 14, the provisions of clause 7.5 above requiring the payment of a prepayment commission in respect of prepayments, shall not be applicable.</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91 -</w:t>
      </w:r>
    </w:p>
    <w:p>
      <w:pPr>
        <w:spacing w:after="0" w:line="200" w:lineRule="exact"/>
        <w:rPr>
          <w:rFonts w:ascii="Courier New" w:cs="Courier New" w:eastAsia="Courier New" w:hAnsi="Courier New"/>
          <w:sz w:val="12"/>
          <w:szCs w:val="12"/>
          <w:color w:val="auto"/>
        </w:rPr>
      </w:pPr>
    </w:p>
    <w:p>
      <w:pPr>
        <w:spacing w:after="0" w:line="353" w:lineRule="exact"/>
        <w:rPr>
          <w:rFonts w:ascii="Courier New" w:cs="Courier New" w:eastAsia="Courier New" w:hAnsi="Courier New"/>
          <w:sz w:val="12"/>
          <w:szCs w:val="12"/>
          <w:color w:val="auto"/>
        </w:rPr>
      </w:pPr>
    </w:p>
    <w:p>
      <w:pPr>
        <w:ind w:left="364" w:right="7659" w:hanging="364"/>
        <w:spacing w:after="0" w:line="499" w:lineRule="auto"/>
        <w:tabs>
          <w:tab w:leader="none" w:pos="364" w:val="left"/>
        </w:tabs>
        <w:numPr>
          <w:ilvl w:val="0"/>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AND WARRANTIES 15.1. GENERAL</w:t>
      </w:r>
    </w:p>
    <w:p>
      <w:pPr>
        <w:spacing w:after="0" w:line="1"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Borrower hereby makes the representations and warranties set out</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 this clause 15 to the Banks. The Borrower acknowledges that the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Banks have entered into this Agreement in full reliance on the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representations and warranties set out in this clause 15 below.</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15.2. STATUS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Borrower is a corporation duly organised and validly existing</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under the laws of Israel, with full corporate power and authority to</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conduct its business as it is now being conducted and as currently</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approved by the Borrower's Board of Directors to be conducted in the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future and to own or use its properties and assets. No event exists</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with respect to it which would constitute an Event of Default under</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clause 17.7 below.</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15.3. LEGAL VALIDITY</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The Borrower has the absolute and unrestricted right, power, authority and capacity to execute and deliver the Finance Documents and to perform its obligations under the Finance Documents and has taken all corporate action necessary to consummate the transactions contemplated hereby and thereby and to perform its obligations hereunder and thereunder. Each Finance Document (including this Agreement and the Debenture) has been duly authorised, executed and delivered by the Borrower and constitutes the legal, valid and binding obligation of the Borrower, enforceable against the Borrower in accordance with its terms.</w:t>
      </w:r>
    </w:p>
    <w:p>
      <w:pPr>
        <w:spacing w:after="0" w:line="141"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15.4. NON-CONFLICT</w:t>
      </w:r>
    </w:p>
    <w:p>
      <w:pPr>
        <w:spacing w:after="0" w:line="147" w:lineRule="exact"/>
        <w:rPr>
          <w:sz w:val="20"/>
          <w:szCs w:val="20"/>
          <w:color w:val="auto"/>
        </w:rPr>
      </w:pPr>
    </w:p>
    <w:p>
      <w:pPr>
        <w:ind w:left="744" w:right="4359"/>
        <w:spacing w:after="0" w:line="251" w:lineRule="auto"/>
        <w:rPr>
          <w:sz w:val="20"/>
          <w:szCs w:val="20"/>
          <w:color w:val="auto"/>
        </w:rPr>
      </w:pPr>
      <w:r>
        <w:rPr>
          <w:rFonts w:ascii="Courier New" w:cs="Courier New" w:eastAsia="Courier New" w:hAnsi="Courier New"/>
          <w:sz w:val="12"/>
          <w:szCs w:val="12"/>
          <w:color w:val="auto"/>
        </w:rPr>
        <w:t>Neither the execution and delivery of this Agreement or the Finance Documents nor the consummation or performance of any of the aforegoing is or will, directly or indirectly (with or without notice of lapse of time):</w:t>
      </w:r>
    </w:p>
    <w:p>
      <w:pPr>
        <w:spacing w:after="0" w:line="281"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- 92 -</w:t>
      </w:r>
    </w:p>
    <w:p>
      <w:pPr>
        <w:spacing w:after="0" w:line="200" w:lineRule="exact"/>
        <w:rPr>
          <w:sz w:val="20"/>
          <w:szCs w:val="20"/>
          <w:color w:val="auto"/>
        </w:rPr>
      </w:pPr>
    </w:p>
    <w:p>
      <w:pPr>
        <w:spacing w:after="0" w:line="353" w:lineRule="exact"/>
        <w:rPr>
          <w:sz w:val="20"/>
          <w:szCs w:val="20"/>
          <w:color w:val="auto"/>
        </w:rPr>
      </w:pPr>
    </w:p>
    <w:p>
      <w:pPr>
        <w:ind w:left="1104" w:right="4359" w:hanging="367"/>
        <w:spacing w:after="0" w:line="250" w:lineRule="auto"/>
        <w:rPr>
          <w:sz w:val="20"/>
          <w:szCs w:val="20"/>
          <w:color w:val="auto"/>
        </w:rPr>
      </w:pPr>
      <w:r>
        <w:rPr>
          <w:rFonts w:ascii="Courier New" w:cs="Courier New" w:eastAsia="Courier New" w:hAnsi="Courier New"/>
          <w:sz w:val="12"/>
          <w:szCs w:val="12"/>
          <w:color w:val="auto"/>
        </w:rPr>
        <w:t>15.4.1. contravene, conflict with, or result in a violation of (a) any provision of the Organisational Documents of the Borrower or any Subsidiary, or (b) any resolution adopted by the board of directors or the shareholders of the Borrower or any Subsidiary; or</w:t>
      </w:r>
    </w:p>
    <w:p>
      <w:pPr>
        <w:spacing w:after="0" w:line="141" w:lineRule="exact"/>
        <w:rPr>
          <w:sz w:val="20"/>
          <w:szCs w:val="20"/>
          <w:color w:val="auto"/>
        </w:rPr>
      </w:pPr>
    </w:p>
    <w:p>
      <w:pPr>
        <w:ind w:left="1104" w:right="4359" w:hanging="367"/>
        <w:spacing w:after="0" w:line="250" w:lineRule="auto"/>
        <w:rPr>
          <w:sz w:val="20"/>
          <w:szCs w:val="20"/>
          <w:color w:val="auto"/>
        </w:rPr>
      </w:pPr>
      <w:r>
        <w:rPr>
          <w:rFonts w:ascii="Courier New" w:cs="Courier New" w:eastAsia="Courier New" w:hAnsi="Courier New"/>
          <w:sz w:val="12"/>
          <w:szCs w:val="12"/>
          <w:color w:val="auto"/>
        </w:rPr>
        <w:t>15.4.2. contravene, conflict with, or result in a violation of, or give any Governmental Body or other person the right to challenge or to exercise any remedy or obtain any relief under, any law to which the Borrower or any of the assets owned or used by the Borrower may be subject; or</w:t>
      </w:r>
    </w:p>
    <w:p>
      <w:pPr>
        <w:spacing w:after="0" w:line="141"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15.4.3. contravene, conflict with, or result in a violation of any of</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the terms or requirements of, or give any Governmental Body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right to revoke, withdraw, suspend, cancel, terminate or modify,</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any Governmental Authorisation that is held by the Borrower or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that otherwise relates to the business of, or any of the assets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owned or used by, the Borrower; or</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15.4.4. contravene, conflict with, or result in a violation or breach</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of any provision of, or give any person the right to declare a</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default or exercise any remedy under, or to accelerate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maturity or performance of, or to cancel, terminate, or modify,</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any Contract or instrument to which the Borrower is a party; or</w:t>
      </w:r>
    </w:p>
    <w:p>
      <w:pPr>
        <w:spacing w:after="0" w:line="147" w:lineRule="exact"/>
        <w:rPr>
          <w:sz w:val="20"/>
          <w:szCs w:val="20"/>
          <w:color w:val="auto"/>
        </w:rPr>
      </w:pPr>
    </w:p>
    <w:p>
      <w:pPr>
        <w:ind w:left="1104" w:right="4359" w:hanging="367"/>
        <w:spacing w:after="0" w:line="251" w:lineRule="auto"/>
        <w:rPr>
          <w:sz w:val="20"/>
          <w:szCs w:val="20"/>
          <w:color w:val="auto"/>
        </w:rPr>
      </w:pPr>
      <w:r>
        <w:rPr>
          <w:rFonts w:ascii="Courier New" w:cs="Courier New" w:eastAsia="Courier New" w:hAnsi="Courier New"/>
          <w:sz w:val="12"/>
          <w:szCs w:val="12"/>
          <w:color w:val="auto"/>
        </w:rPr>
        <w:t>15.4.5. result in the imposition or creation of any Encumbrance (other than an Encumbrance under the Security Documents) upon or with respect to any of the assets owned or used by the Borrower or any Subsidiary.</w:t>
      </w:r>
    </w:p>
    <w:p>
      <w:pPr>
        <w:spacing w:after="0" w:line="139"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2"/>
          <w:szCs w:val="12"/>
          <w:color w:val="auto"/>
        </w:rPr>
        <w:t>Without limiting the generality of the aforegoing, except as set forth</w:t>
      </w:r>
    </w:p>
    <w:p>
      <w:pPr>
        <w:sectPr>
          <w:pgSz w:w="11900" w:h="16862" w:orient="portrait"/>
          <w:cols w:equalWidth="0" w:num="1">
            <w:col w:w="10244"/>
          </w:cols>
          <w:pgMar w:left="216" w:top="141" w:right="1440" w:bottom="0" w:gutter="0" w:footer="0" w:header="0"/>
        </w:sectPr>
      </w:pPr>
    </w:p>
    <w:bookmarkStart w:id="111" w:name="page112"/>
    <w:bookmarkEnd w:id="111"/>
    <w:p>
      <w:pPr>
        <w:spacing w:after="0" w:line="11"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on SCHEDULE 15.4, there is no restriction or prevention, legal or otherwise, on the creation of the Encumbrances to be created pursuant to the Security Documents or on the realisation, sale or assignment of any collateral continuing under any such Security Document in the case of an Event of Default or on the application by the Banks of any proceeds of any such realisation or sale.</w:t>
      </w:r>
    </w:p>
    <w:p>
      <w:pPr>
        <w:spacing w:after="0" w:line="283"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- 93 -</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15.5. NO DEFAULT</w:t>
      </w:r>
    </w:p>
    <w:p>
      <w:pPr>
        <w:spacing w:after="0" w:line="147" w:lineRule="exact"/>
        <w:rPr>
          <w:sz w:val="20"/>
          <w:szCs w:val="20"/>
          <w:color w:val="auto"/>
        </w:rPr>
      </w:pPr>
    </w:p>
    <w:p>
      <w:pPr>
        <w:ind w:left="380" w:right="4499"/>
        <w:spacing w:after="0" w:line="253" w:lineRule="auto"/>
        <w:rPr>
          <w:sz w:val="20"/>
          <w:szCs w:val="20"/>
          <w:color w:val="auto"/>
        </w:rPr>
      </w:pPr>
      <w:r>
        <w:rPr>
          <w:rFonts w:ascii="Courier New" w:cs="Courier New" w:eastAsia="Courier New" w:hAnsi="Courier New"/>
          <w:sz w:val="12"/>
          <w:szCs w:val="12"/>
          <w:color w:val="auto"/>
        </w:rPr>
        <w:t>As at the Amendment Closing Date, no Default is continuing which has not been waived.</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15.6. CONSENTS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Except as set forth in SCHEDULE 15.6 hereto, no notice to, filing with or Consent from any person or Governmental Body is or will be required to be made or obtained in connection with the execution, delivery and validity of any of the Finance Documents, or the consummation or performance of any of the transactions contemplated hereby or thereby (save for registrations with the Registrar of Pledges and the Registrar of Companies). As at the Amendment Closing Date, the Borrower shall have received all the Consents (including Governmental Authorisations) listed in Schedule 15.6 hereto. All such Consents are, or shall, on or prior to the date on which such Consents are required to have been obtained, be in full force and effect, the Borrower is in compliance in all material respects with all provisions thereof and such Consents (including Governmental Authorisations) are not the subject of any pending, or, to the best of the Borrower's Knowledge, threatened attack or revocation by any competent authority.</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15.7. SHARE CAPITAL</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As at August 17, 2006, the authorised share capital of the Borrower consists of 500,000,000 (five hundred million) ordinary shares, of which 85,406,010 (eighty-five million, four hundred and six thousand and ten) shares are issued and outstanding, 40,600,675 (forty million, six hundred thousand, six hundred and seventy-five) shares are reserved for issuance upon exercise of outstanding options and warrants (including options granted to employees, officers, directors, related parties, banks, contractors and other public investors), 51,143,776 (fifty-one million, one hundred and forty-three thousand, seven hundred and seventy-six) shares are reserved for issuance upon conversion of outstanding convertible debentures, 4,341,571 (four million, three hundred and forty-one thousand, five hundred and seventy-one) shares are reserved for issuance upon conversion of convertible debentures issuable upon exercise of outstanding warrants and 14,124,285 (fourteen million, one hundred and twenty-four thousand, two hundred and eighty-five) shares are reserved for future grants of options to employees, officers, consultants and directors. All of the outstanding ordinary shares have been duly authorised and validly issued. SCHEDULE 15.7 hereto sets forth the list of all those persons which, to the Knowledge of the Borrower, are the beneficial holders of 5% (five percent) or more of the issued and outstanding shares of the Borrower and a list of all the options outstanding, the vesting schedules of such options and the exercise prices thereof as well as a list of all outstanding warrants and convertible debentures as at August 17, 2006.</w:t>
      </w:r>
    </w:p>
    <w:p>
      <w:pPr>
        <w:spacing w:after="0" w:line="200" w:lineRule="exact"/>
        <w:rPr>
          <w:sz w:val="20"/>
          <w:szCs w:val="20"/>
          <w:color w:val="auto"/>
        </w:rPr>
      </w:pPr>
    </w:p>
    <w:p>
      <w:pPr>
        <w:spacing w:after="0" w:line="224"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- 94 -</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15.8. SEC DOCUMENTS; FINANCIAL STATEMENTS</w:t>
      </w:r>
    </w:p>
    <w:p>
      <w:pPr>
        <w:spacing w:after="0" w:line="147"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15.8.1. The Borrower has furnished to the Banks copies of the Borrower's Annual Report on Form 20-F for the year ended December 31, 2005 ("THE ANNUAL REPORT") as filed with the US Securities and Exchange Commission ("SEC") on July 13, 2006. The Borrower represents and warrants to that: (a) the Annual Report has been duly filed with the SEC and when filed was in compliance in all material respects with the requirements of the Exchange Act and the rules and regulations of the SEC applicable to such Annual Report; and (b) the Annual Report was complete and correct in all material respects as of its date and, as of its date, did not contain any untrue statement of material fact or omit to state a material fact required to be stated therein or necessary in order to make the statements made therein, in light of the circumstances under which they were made, not misleading. The Borrower has provided the Banks with a copy of each document submitted to the SEC on Form 6-K since January 1, 2006 ("THE 6K REPORTS" and, together with the Annual Report, "THE SEC DOCUMENTS"). The Borrower represents and warrants to the Banks that: (i) the 6K Reports have been duly submitted to the SEC and when submitted were in compliance in all material respects with the requirements of law relating to the 6K Reports; and (ii) the 6K Reports were complete and correct in all material respects as of their respective dates and, as of such dates, did not contain any untrue statement of material fact or omit to state a material fact required to be stated therein or necessary in order to make the statements made therein, in light of the circumstances under which they were made, not misleading.</w:t>
      </w:r>
    </w:p>
    <w:p>
      <w:pPr>
        <w:spacing w:after="0" w:line="283"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- 95 -</w:t>
      </w:r>
    </w:p>
    <w:p>
      <w:pPr>
        <w:spacing w:after="0" w:line="200" w:lineRule="exact"/>
        <w:rPr>
          <w:sz w:val="20"/>
          <w:szCs w:val="20"/>
          <w:color w:val="auto"/>
        </w:rPr>
      </w:pPr>
    </w:p>
    <w:p>
      <w:pPr>
        <w:spacing w:after="0" w:line="353"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15.8.2. The Borrower has delivered to the Banks: (a) audited consolidated Accounts of the Borrower as at December 31 in each of the years from 2004 to 2005 (inclusive) (the December 31, 2005 balance sheet being hereinafter referred to as "THE 2005 BALANCE SHEET") (including the audited consolidated balance sheets, consolidated statements of income, changes in shareholders' equity and cash flow for each of the Fiscal Years then ended, together with the report thereon of the Auditors; and (b) unaudited reviewed consolidated Accounts of the Borrower as at the Quarter ending June 30 2006 (including the consolidated balance sheets, consolidated statements of income, changes in</w:t>
      </w:r>
    </w:p>
    <w:p>
      <w:pPr>
        <w:sectPr>
          <w:pgSz w:w="11900" w:h="16849" w:orient="portrait"/>
          <w:cols w:equalWidth="0" w:num="1">
            <w:col w:w="9879"/>
          </w:cols>
          <w:pgMar w:left="580" w:top="141" w:right="1440" w:bottom="0" w:gutter="0" w:footer="0" w:header="0"/>
        </w:sectPr>
      </w:pPr>
    </w:p>
    <w:bookmarkStart w:id="112" w:name="page113"/>
    <w:bookmarkEnd w:id="112"/>
    <w:p>
      <w:pPr>
        <w:spacing w:after="0" w:line="30"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shareholders' equity and cash flow for the 6 (six) month period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then ended, including in each case the notes thereto). Such</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Accounts and notes truly and fairly present the financial</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condition and the results of operations, changes in shareholders'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equity and cash flow of the Borrower as at the respective dates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of and for the periods referred to in such Accounts, all in</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accordance with GAAP, subject, in the case of interim Accounts,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to normal recurring year-end adjustments (the effect of which</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will not, individually or in the aggregate, be materially</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adverse); the Accounts referred to in this clause 15.8.2 reflect</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the consistent application of such accounting principles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throughout the periods involved.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15.9. BUSINESS PLAN</w:t>
      </w:r>
    </w:p>
    <w:p>
      <w:pPr>
        <w:spacing w:after="0" w:line="147" w:lineRule="exact"/>
        <w:rPr>
          <w:sz w:val="20"/>
          <w:szCs w:val="20"/>
          <w:color w:val="auto"/>
        </w:rPr>
      </w:pPr>
    </w:p>
    <w:p>
      <w:pPr>
        <w:ind w:left="380" w:right="4419"/>
        <w:spacing w:after="0" w:line="250" w:lineRule="auto"/>
        <w:rPr>
          <w:sz w:val="20"/>
          <w:szCs w:val="20"/>
          <w:color w:val="auto"/>
        </w:rPr>
      </w:pPr>
      <w:r>
        <w:rPr>
          <w:rFonts w:ascii="Courier New" w:cs="Courier New" w:eastAsia="Courier New" w:hAnsi="Courier New"/>
          <w:sz w:val="12"/>
          <w:szCs w:val="12"/>
          <w:color w:val="auto"/>
        </w:rPr>
        <w:t>The Borrower believes that the opinions, assumptions and timetables contained in the Business Plan (including both the alternate case assumptions and the base assumptions, as defined therein) are reasonable. The financial, business and other projections set out in the Business Plan (including both the alternate case assumptions and the base assumptions, as defined therein) have been prepared with due diligence, care and consideration.</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15.10. TITLE TO PROPERTIES; ENCUMBRANCES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Except for under the Security Documents, for the Existing Encumbrance and except as set forth in SCHEDULE 15.10 hereto, the Borrower and its Subsidiaries have good and marketable title, free and clear of all Encumbrances (other than Encumbrances for current Taxes not yet due) to all of the assets, real property, interests in real property, rights, franchises, Intellectual Property Assets, licences and properties, tangible or intangible, real or personal, wherever located which are used in the conduct of the business conducted and as currently approved by the Borrower's Board of Directors to be conducted in the future by the Borrower, other than property that is leased or licensed. Except as set forth in Schedule 15.10 hereto, the Borrower has valid and enforceable leases or licences, as the case may be, with respect to assets consisting of property that is leased or licensed, under which there exists no default, event of default or event which, with notice or lapse of time or both, would constitute a default, except for such defaults which could not have a Material Adverse Effect.</w:t>
      </w:r>
    </w:p>
    <w:p>
      <w:pPr>
        <w:spacing w:after="0" w:line="200" w:lineRule="exact"/>
        <w:rPr>
          <w:sz w:val="20"/>
          <w:szCs w:val="20"/>
          <w:color w:val="auto"/>
        </w:rPr>
      </w:pPr>
    </w:p>
    <w:p>
      <w:pPr>
        <w:spacing w:after="0" w:line="224"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- 96 -</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15.11. CONDITION AND SUFFICIENCY OF ASSETS</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15.12. CUSTOMERS AND SUPPLIERS</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15.13. PERMITTED SUBORDINATED DEBT</w:t>
      </w:r>
    </w:p>
    <w:p>
      <w:pPr>
        <w:spacing w:after="0" w:line="147" w:lineRule="exact"/>
        <w:rPr>
          <w:sz w:val="20"/>
          <w:szCs w:val="20"/>
          <w:color w:val="auto"/>
        </w:rPr>
      </w:pPr>
    </w:p>
    <w:p>
      <w:pPr>
        <w:ind w:left="380" w:right="4499"/>
        <w:spacing w:after="0" w:line="251" w:lineRule="auto"/>
        <w:rPr>
          <w:sz w:val="20"/>
          <w:szCs w:val="20"/>
          <w:color w:val="auto"/>
        </w:rPr>
      </w:pPr>
      <w:r>
        <w:rPr>
          <w:rFonts w:ascii="Courier New" w:cs="Courier New" w:eastAsia="Courier New" w:hAnsi="Courier New"/>
          <w:sz w:val="12"/>
          <w:szCs w:val="12"/>
          <w:color w:val="auto"/>
        </w:rPr>
        <w:t>A complete and accurate list of, details of, and copies of all trust deeds, indentures and other instruments reflecting the terms and conditions of, all Permitted Subordinated Debt existing as at the Amendment Closing Date are attached as SCHEDULE 15.13 hereto.</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15.14. FINANCIAL INDEBTEDNESS</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15.15. TAXES</w:t>
      </w:r>
    </w:p>
    <w:p>
      <w:pPr>
        <w:spacing w:after="0" w:line="147" w:lineRule="exact"/>
        <w:rPr>
          <w:sz w:val="20"/>
          <w:szCs w:val="20"/>
          <w:color w:val="auto"/>
        </w:rPr>
      </w:pPr>
    </w:p>
    <w:p>
      <w:pPr>
        <w:jc w:val="center"/>
        <w:ind w:right="7439"/>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jc w:val="center"/>
        <w:ind w:right="7439"/>
        <w:spacing w:after="0"/>
        <w:rPr>
          <w:sz w:val="20"/>
          <w:szCs w:val="20"/>
          <w:color w:val="auto"/>
        </w:rPr>
      </w:pPr>
      <w:r>
        <w:rPr>
          <w:rFonts w:ascii="Courier New" w:cs="Courier New" w:eastAsia="Courier New" w:hAnsi="Courier New"/>
          <w:sz w:val="12"/>
          <w:szCs w:val="12"/>
          <w:color w:val="auto"/>
        </w:rPr>
        <w:t>15.16. NO MATERIAL ADVERSE CHANGE</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15.17. COMPLIANCE WITH LAWS; GOVERNMENTAL AUTHORISATIONS</w:t>
      </w:r>
    </w:p>
    <w:p>
      <w:pPr>
        <w:spacing w:after="0" w:line="147"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15.17.1. Except as set forth in SCHEDULE 15.17 hereto, the Borrower and its Subsidiaries are and at all times since December 31, 2004 have been, in full compliance with each law that is or was applicable to them or to the conduct or operation of their respective businesses or the ownership or use of any of their respective assets, except for such non-compliance which would not have a Material Adverse Effect.</w:t>
      </w:r>
    </w:p>
    <w:p>
      <w:pPr>
        <w:spacing w:after="0" w:line="283"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- 97 -</w:t>
      </w:r>
    </w:p>
    <w:p>
      <w:pPr>
        <w:spacing w:after="0" w:line="200" w:lineRule="exact"/>
        <w:rPr>
          <w:sz w:val="20"/>
          <w:szCs w:val="20"/>
          <w:color w:val="auto"/>
        </w:rPr>
      </w:pPr>
    </w:p>
    <w:p>
      <w:pPr>
        <w:spacing w:after="0" w:line="353"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15.17.2. The Borrower and each Subsidiary has all Governmental Authorisations necessary to permit the Borrower and its Subsidiaries to lawfully conduct and operate the Business, as currently conducted and as approved by the respective Boards of Directors of the Borrower and its Subsidiaries to be conducted in the future, except for such authorisations, the failure to possess which would not have a Material Adverse Effect. The Borrower and its Subsidiaries are and have been in full compliance with all of the terms and requirements of each Governmental Authorisation that is held by the Borrower and its Subsidiaries or that otherwise relates to the Business as presently conducted and as approved by the Borrower's Board of Directors to be conducted in the future, or to any of the assets owned or used by the Borrower and its Subsidiaries, except for such non-compliance which would not have a Material Adverse Effect.</w:t>
      </w: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15.18. LEGAL PROCEEDINGS; ORDERS</w:t>
      </w:r>
    </w:p>
    <w:p>
      <w:pPr>
        <w:spacing w:after="0" w:line="147" w:lineRule="exact"/>
        <w:rPr>
          <w:sz w:val="20"/>
          <w:szCs w:val="20"/>
          <w:color w:val="auto"/>
        </w:rPr>
      </w:pPr>
    </w:p>
    <w:p>
      <w:pPr>
        <w:ind w:left="740" w:right="4419" w:hanging="367"/>
        <w:spacing w:after="0" w:line="250" w:lineRule="auto"/>
        <w:rPr>
          <w:sz w:val="20"/>
          <w:szCs w:val="20"/>
          <w:color w:val="auto"/>
        </w:rPr>
      </w:pPr>
      <w:r>
        <w:rPr>
          <w:rFonts w:ascii="Courier New" w:cs="Courier New" w:eastAsia="Courier New" w:hAnsi="Courier New"/>
          <w:sz w:val="12"/>
          <w:szCs w:val="12"/>
          <w:color w:val="auto"/>
        </w:rPr>
        <w:t>15.18.1. Except as set forth in SCHEDULE 15.18 hereto, there is no pending Proceeding or Proceeding Threatened in writing: (i) that has been commenced by or against the Borrower or that otherwise relates to or may affect the business of, or any of the assets owned or used by, the Borrower or any Subsidiary which, if decided against the Borrower, would have a Material Adverse</w:t>
      </w:r>
    </w:p>
    <w:p>
      <w:pPr>
        <w:sectPr>
          <w:pgSz w:w="11900" w:h="16868" w:orient="portrait"/>
          <w:cols w:equalWidth="0" w:num="1">
            <w:col w:w="9879"/>
          </w:cols>
          <w:pgMar w:left="580" w:top="141" w:right="1440" w:bottom="0" w:gutter="0" w:footer="0" w:header="0"/>
        </w:sectPr>
      </w:pPr>
    </w:p>
    <w:bookmarkStart w:id="113" w:name="page114"/>
    <w:bookmarkEnd w:id="113"/>
    <w:p>
      <w:pPr>
        <w:ind w:left="1104"/>
        <w:spacing w:after="0"/>
        <w:rPr>
          <w:sz w:val="20"/>
          <w:szCs w:val="20"/>
          <w:color w:val="auto"/>
        </w:rPr>
      </w:pPr>
      <w:r>
        <w:rPr>
          <w:rFonts w:ascii="Courier New" w:cs="Courier New" w:eastAsia="Courier New" w:hAnsi="Courier New"/>
          <w:sz w:val="12"/>
          <w:szCs w:val="12"/>
          <w:color w:val="auto"/>
        </w:rPr>
        <w:t>Effect; or (ii) that challenges, or that may have the effect of</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preventing, delaying, making illegal, or otherwise interfering</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with, any of the transactions contemplated under this Agreement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or under any other Finance Documents or with the implementation</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of the Business Plan.</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15.18.2. [INTENTIONALLY DELETED]</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15.18.3. [INTENTIONALLY DELETED]</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15.18.4. [INTENTIONALLY DELETED]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15.19. ABSENCE OF CERTAIN CHANGES AND EVENTS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15.20. CONTRACTS; NO DEFAULTS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[INTENTIONALLY DELETED]</w:t>
      </w: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- 98 -</w:t>
      </w:r>
    </w:p>
    <w:p>
      <w:pPr>
        <w:spacing w:after="0" w:line="200" w:lineRule="exact"/>
        <w:rPr>
          <w:sz w:val="20"/>
          <w:szCs w:val="20"/>
          <w:color w:val="auto"/>
        </w:rPr>
      </w:pPr>
    </w:p>
    <w:p>
      <w:pPr>
        <w:spacing w:after="0" w:line="353"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15.21. INSURANCE</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15.21.1. [INTENTIONALLY DELETED]</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15.21.2. All factual information furnished by the Borrower or its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respective advisors to the Insurance Adviser and contained or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referred to in the Insurance Report was true in all material</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respects.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15.21.3. [INTENTIONALLY DELETED]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15.22. ENVIRONMENTAL MATTERS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15.23. INTELLECTUAL PROPERTY</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15.24. GRANTS, INCENTIVES AND SUBSIDIES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15.25. DISCLOSURE</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15.26. RELATIONSHIPS WITH RELATED PERSONS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15.27. DOCUMENTS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15.28. RANKING OF SECURITIES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security conferred by the Security Documents constitutes a</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priority security interest of the type therein described (subject to</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statutory preferences which may rank ahead of the security created</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thereunder and subject to those Permitted Encumbrances as referred to</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 clause 1.1.114(d) above) over the security assets therein referred</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to, which are not subject to any prior or other Encumbrances and is</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not liable to be set aside on insolvency of the Borrower.</w:t>
      </w: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- 99 -</w:t>
      </w:r>
    </w:p>
    <w:p>
      <w:pPr>
        <w:spacing w:after="0" w:line="200" w:lineRule="exact"/>
        <w:rPr>
          <w:sz w:val="20"/>
          <w:szCs w:val="20"/>
          <w:color w:val="auto"/>
        </w:rPr>
      </w:pPr>
    </w:p>
    <w:p>
      <w:pPr>
        <w:spacing w:after="0" w:line="353"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15.29. SHAREHOLDINGS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15.30. REPETITION</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representations and warranties set out in this clause 15 shall be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deemed to be repeated on the Amendment Closing Date.</w:t>
      </w:r>
    </w:p>
    <w:p>
      <w:pPr>
        <w:spacing w:after="0" w:line="147" w:lineRule="exact"/>
        <w:rPr>
          <w:sz w:val="20"/>
          <w:szCs w:val="20"/>
          <w:color w:val="auto"/>
        </w:rPr>
      </w:pPr>
    </w:p>
    <w:p>
      <w:pPr>
        <w:ind w:left="364" w:hanging="364"/>
        <w:spacing w:after="0"/>
        <w:tabs>
          <w:tab w:leader="none" w:pos="364" w:val="left"/>
        </w:tabs>
        <w:numPr>
          <w:ilvl w:val="0"/>
          <w:numId w:val="1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UNDERTAKINGS</w:t>
      </w:r>
    </w:p>
    <w:p>
      <w:pPr>
        <w:spacing w:after="0" w:line="147" w:lineRule="exact"/>
        <w:rPr>
          <w:sz w:val="20"/>
          <w:szCs w:val="20"/>
          <w:color w:val="auto"/>
        </w:rPr>
      </w:pPr>
    </w:p>
    <w:p>
      <w:pPr>
        <w:ind w:left="364" w:right="4579"/>
        <w:spacing w:after="0" w:line="251" w:lineRule="auto"/>
        <w:rPr>
          <w:sz w:val="20"/>
          <w:szCs w:val="20"/>
          <w:color w:val="auto"/>
        </w:rPr>
      </w:pPr>
      <w:r>
        <w:rPr>
          <w:rFonts w:ascii="Courier New" w:cs="Courier New" w:eastAsia="Courier New" w:hAnsi="Courier New"/>
          <w:sz w:val="12"/>
          <w:szCs w:val="12"/>
          <w:color w:val="auto"/>
        </w:rPr>
        <w:t>The Borrower undertakes to the Banks that so long as any sum remains payable by the Borrower under any Finance Document or any Bank shall be under any obligation under any Finance Document to provide any Financial Indebtedness to the Borrower:</w:t>
      </w:r>
    </w:p>
    <w:p>
      <w:pPr>
        <w:spacing w:after="0" w:line="139"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16.1. FINANCIAL INFORMATION</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16.1.1. The Borrower shall furnish the Banks:</w:t>
      </w:r>
    </w:p>
    <w:p>
      <w:pPr>
        <w:spacing w:after="0" w:line="147" w:lineRule="exact"/>
        <w:rPr>
          <w:sz w:val="20"/>
          <w:szCs w:val="20"/>
          <w:color w:val="auto"/>
        </w:rPr>
      </w:pPr>
    </w:p>
    <w:p>
      <w:pPr>
        <w:ind w:left="1464" w:right="4359" w:hanging="360"/>
        <w:spacing w:after="0" w:line="250" w:lineRule="auto"/>
        <w:tabs>
          <w:tab w:leader="none" w:pos="1464"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soon as practicable (and, in any event, within 90 (ninety) days after the end of each Fiscal Year, the audited Accounts (consolidated and non-consolidated) of the Borrower for that Fiscal Year (provided that, for so long as the Borrower shall not have acquired a Subsidiary, other than Subsidiaries of the Borrower as at January 18, 2001 as referred to in Schedule 15.2 hereto, the Borrower shall only be required to furnish the aforesaid consolidated Accounts);</w:t>
      </w:r>
    </w:p>
    <w:p>
      <w:pPr>
        <w:spacing w:after="0" w:line="141" w:lineRule="exact"/>
        <w:rPr>
          <w:rFonts w:ascii="Courier New" w:cs="Courier New" w:eastAsia="Courier New" w:hAnsi="Courier New"/>
          <w:sz w:val="12"/>
          <w:szCs w:val="12"/>
          <w:color w:val="auto"/>
        </w:rPr>
      </w:pPr>
    </w:p>
    <w:p>
      <w:pPr>
        <w:ind w:left="1464" w:right="4359" w:hanging="360"/>
        <w:spacing w:after="0" w:line="250" w:lineRule="auto"/>
        <w:tabs>
          <w:tab w:leader="none" w:pos="1464"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soon as practicable (and, in any event, within 60 (sixty) days after the end of each Quarter of each Fiscal Year, the reviewed Accounts (consolidated and non-consolidated) of the Borrower for that Quarter (or with respect to the second Quarter, for the relevant half-year)(provided that, for so long as the Borrower shall not have acquired a Subsidiary, other than Subsidiaries of the Borrower as at January 18, 2001 as referred to in Schedule 15.2 hereto, the Borrower shall be required to furnished the aforesaid consolidated Accounts as aforesaid only);</w:t>
      </w:r>
    </w:p>
    <w:p>
      <w:pPr>
        <w:sectPr>
          <w:pgSz w:w="11900" w:h="16838" w:orient="portrait"/>
          <w:cols w:equalWidth="0" w:num="1">
            <w:col w:w="10244"/>
          </w:cols>
          <w:pgMar w:left="216" w:top="141" w:right="1440" w:bottom="0" w:gutter="0" w:footer="0" w:header="0"/>
        </w:sectPr>
      </w:pPr>
    </w:p>
    <w:bookmarkStart w:id="114" w:name="page115"/>
    <w:bookmarkEnd w:id="114"/>
    <w:p>
      <w:pPr>
        <w:spacing w:after="0" w:line="11" w:lineRule="exact"/>
        <w:rPr>
          <w:sz w:val="20"/>
          <w:szCs w:val="20"/>
          <w:color w:val="auto"/>
        </w:rPr>
      </w:pPr>
    </w:p>
    <w:p>
      <w:pPr>
        <w:ind w:left="800" w:hanging="440"/>
        <w:spacing w:after="0"/>
        <w:tabs>
          <w:tab w:leader="none" w:pos="800" w:val="left"/>
        </w:tabs>
        <w:numPr>
          <w:ilvl w:val="0"/>
          <w:numId w:val="1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[INTENTIONALLY DELETED]</w:t>
      </w:r>
    </w:p>
    <w:p>
      <w:pPr>
        <w:spacing w:after="0" w:line="288" w:lineRule="exact"/>
        <w:rPr>
          <w:rFonts w:ascii="Courier New" w:cs="Courier New" w:eastAsia="Courier New" w:hAnsi="Courier New"/>
          <w:sz w:val="12"/>
          <w:szCs w:val="12"/>
          <w:color w:val="auto"/>
        </w:rPr>
      </w:pPr>
    </w:p>
    <w:p>
      <w:pPr>
        <w:ind w:left="2060" w:hanging="154"/>
        <w:spacing w:after="0"/>
        <w:tabs>
          <w:tab w:leader="none" w:pos="2060" w:val="left"/>
        </w:tabs>
        <w:numPr>
          <w:ilvl w:val="2"/>
          <w:numId w:val="1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100 -</w:t>
      </w:r>
    </w:p>
    <w:p>
      <w:pPr>
        <w:spacing w:after="0" w:line="200" w:lineRule="exact"/>
        <w:rPr>
          <w:rFonts w:ascii="Courier New" w:cs="Courier New" w:eastAsia="Courier New" w:hAnsi="Courier New"/>
          <w:sz w:val="12"/>
          <w:szCs w:val="12"/>
          <w:color w:val="auto"/>
        </w:rPr>
      </w:pPr>
    </w:p>
    <w:p>
      <w:pPr>
        <w:spacing w:after="0" w:line="353" w:lineRule="exact"/>
        <w:rPr>
          <w:rFonts w:ascii="Courier New" w:cs="Courier New" w:eastAsia="Courier New" w:hAnsi="Courier New"/>
          <w:sz w:val="12"/>
          <w:szCs w:val="12"/>
          <w:color w:val="auto"/>
        </w:rPr>
      </w:pPr>
    </w:p>
    <w:p>
      <w:pPr>
        <w:ind w:left="720" w:right="4499" w:hanging="360"/>
        <w:spacing w:after="0" w:line="250" w:lineRule="auto"/>
        <w:tabs>
          <w:tab w:leader="none" w:pos="720" w:val="left"/>
        </w:tabs>
        <w:numPr>
          <w:ilvl w:val="0"/>
          <w:numId w:val="1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at the same time as the Accounts are delivered pursuant to paragraphs (i) and (ii) above, a report, in the form and substance attached hereto as SCHEDULE 16.1.1(IV) comparing actual results with projected results of the Borrower (including separately for Fab 2);</w:t>
      </w:r>
    </w:p>
    <w:p>
      <w:pPr>
        <w:spacing w:after="0" w:line="141" w:lineRule="exact"/>
        <w:rPr>
          <w:rFonts w:ascii="Courier New" w:cs="Courier New" w:eastAsia="Courier New" w:hAnsi="Courier New"/>
          <w:sz w:val="12"/>
          <w:szCs w:val="12"/>
          <w:color w:val="auto"/>
        </w:rPr>
      </w:pPr>
    </w:p>
    <w:p>
      <w:pPr>
        <w:ind w:left="720" w:right="4499" w:hanging="360"/>
        <w:spacing w:after="0" w:line="249" w:lineRule="auto"/>
        <w:tabs>
          <w:tab w:leader="none" w:pos="720" w:val="left"/>
        </w:tabs>
        <w:numPr>
          <w:ilvl w:val="0"/>
          <w:numId w:val="1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at the same time as the Accounts are delivered pursuant to paragraphs (i) and (ii) above, a certificate of the Chief Financial Officer of the Borrower which shall be certified as accurate by the Auditors in a form reasonably satisfactory to the Banks: (a) setting out in reasonable detail, with respect to Accounts referred to in paragraph</w:t>
      </w:r>
    </w:p>
    <w:p>
      <w:pPr>
        <w:spacing w:after="0" w:line="3" w:lineRule="exact"/>
        <w:rPr>
          <w:rFonts w:ascii="Courier New" w:cs="Courier New" w:eastAsia="Courier New" w:hAnsi="Courier New"/>
          <w:sz w:val="12"/>
          <w:szCs w:val="12"/>
          <w:color w:val="auto"/>
        </w:rPr>
      </w:pPr>
    </w:p>
    <w:p>
      <w:pPr>
        <w:ind w:left="720" w:right="4359" w:firstLine="8"/>
        <w:spacing w:after="0" w:line="250" w:lineRule="auto"/>
        <w:tabs>
          <w:tab w:leader="none" w:pos="1015" w:val="left"/>
        </w:tabs>
        <w:numPr>
          <w:ilvl w:val="1"/>
          <w:numId w:val="1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above, computations establishing the Excess Cash Flow (if any) for that Fiscal Year; (b) setting out in reasonable detail computations establishing, as at the date of such Accounts, the following financial ratios for such Quarter or Fiscal Year (as the case may be): EBITDA, Equity/Total Assets and Total Debt/EBITDA; (c) a certificate of the Auditors in the form of SCHEDULE 16.1.1(V)A hereto with regard to payment of all amounts made in respect of the Project during the relevant Quarter or Fiscal Year, as the case may be; (d) a certificate of the Auditors in the form of SCHEDULE 16.1.1(V)B hereto setting out the amounts invested in such Quarter in Paid-in Equity, by way of capital notes, by way of Permitted Subordinated Debt, without derogating from clause 16.5 below and by way of Wafer Prepayments; (e) a certificate of the Auditors in the form of SCHEDULE 16.1.1(V)C hereto setting out the amounts received under the Investment Centre Fab 2 Grants during such Quarter; (f) for each Quarter, a statement regarding ageing of accounts receivable; and (g) a certificate of the Auditors in the form of SCHEDULE 16.1.1(V)D hereto confirming that the Auditors did not in the course of their audit of the Accounts come across any breach of the financial covenants set forth herein;</w:t>
      </w:r>
    </w:p>
    <w:p>
      <w:pPr>
        <w:spacing w:after="0" w:line="282" w:lineRule="exact"/>
        <w:rPr>
          <w:rFonts w:ascii="Courier New" w:cs="Courier New" w:eastAsia="Courier New" w:hAnsi="Courier New"/>
          <w:sz w:val="12"/>
          <w:szCs w:val="12"/>
          <w:color w:val="auto"/>
        </w:rPr>
      </w:pPr>
    </w:p>
    <w:p>
      <w:pPr>
        <w:ind w:left="720" w:right="4499" w:hanging="360"/>
        <w:spacing w:after="0" w:line="251" w:lineRule="auto"/>
        <w:tabs>
          <w:tab w:leader="none" w:pos="720" w:val="left"/>
        </w:tabs>
        <w:numPr>
          <w:ilvl w:val="0"/>
          <w:numId w:val="1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at the same time as the Accounts are delivered pursuant to paragraphs (i) and (ii) above, a certificate signed by the Chief Executive Officer (or one of the co-Chief Executive Officers) of the Borrower on its behalf setting out:</w:t>
      </w:r>
    </w:p>
    <w:p>
      <w:pPr>
        <w:spacing w:after="0" w:line="280" w:lineRule="exact"/>
        <w:rPr>
          <w:rFonts w:ascii="Courier New" w:cs="Courier New" w:eastAsia="Courier New" w:hAnsi="Courier New"/>
          <w:sz w:val="12"/>
          <w:szCs w:val="12"/>
          <w:color w:val="auto"/>
        </w:rPr>
      </w:pPr>
    </w:p>
    <w:p>
      <w:pPr>
        <w:ind w:left="2060" w:hanging="154"/>
        <w:spacing w:after="0"/>
        <w:tabs>
          <w:tab w:leader="none" w:pos="2060" w:val="left"/>
        </w:tabs>
        <w:numPr>
          <w:ilvl w:val="2"/>
          <w:numId w:val="1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101 -</w:t>
      </w:r>
    </w:p>
    <w:p>
      <w:pPr>
        <w:spacing w:after="0" w:line="200" w:lineRule="exact"/>
        <w:rPr>
          <w:sz w:val="20"/>
          <w:szCs w:val="20"/>
          <w:color w:val="auto"/>
        </w:rPr>
      </w:pPr>
    </w:p>
    <w:p>
      <w:pPr>
        <w:spacing w:after="0" w:line="353" w:lineRule="exact"/>
        <w:rPr>
          <w:sz w:val="20"/>
          <w:szCs w:val="20"/>
          <w:color w:val="auto"/>
        </w:rPr>
      </w:pPr>
    </w:p>
    <w:p>
      <w:pPr>
        <w:ind w:left="1100" w:right="4419" w:hanging="372"/>
        <w:spacing w:after="0" w:line="250" w:lineRule="auto"/>
        <w:tabs>
          <w:tab w:leader="none" w:pos="1100" w:val="left"/>
        </w:tabs>
        <w:numPr>
          <w:ilvl w:val="0"/>
          <w:numId w:val="1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reasonable detail computations establishing as at the date of such Accounts, whether each of the financial ratios set out in clause 16.29 below (including, for the removal of doubt, LLCR and EBITDA/Debt Service) were complied with and certifying that:</w:t>
      </w:r>
    </w:p>
    <w:p>
      <w:pPr>
        <w:spacing w:after="0" w:line="141" w:lineRule="exact"/>
        <w:rPr>
          <w:sz w:val="20"/>
          <w:szCs w:val="20"/>
          <w:color w:val="auto"/>
        </w:rPr>
      </w:pPr>
    </w:p>
    <w:p>
      <w:pPr>
        <w:ind w:left="1100" w:right="4419" w:hanging="372"/>
        <w:spacing w:after="0" w:line="251" w:lineRule="auto"/>
        <w:tabs>
          <w:tab w:leader="none" w:pos="1100" w:val="left"/>
        </w:tabs>
        <w:numPr>
          <w:ilvl w:val="0"/>
          <w:numId w:val="1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relevant Accounts fairly present (in relation to the relevant Accounting Period) the financial position of the Borrower;</w:t>
      </w:r>
    </w:p>
    <w:p>
      <w:pPr>
        <w:spacing w:after="0" w:line="139" w:lineRule="exact"/>
        <w:rPr>
          <w:rFonts w:ascii="Courier New" w:cs="Courier New" w:eastAsia="Courier New" w:hAnsi="Courier New"/>
          <w:sz w:val="12"/>
          <w:szCs w:val="12"/>
          <w:color w:val="auto"/>
        </w:rPr>
      </w:pPr>
    </w:p>
    <w:p>
      <w:pPr>
        <w:ind w:left="1100" w:right="4419" w:hanging="372"/>
        <w:spacing w:after="0" w:line="253" w:lineRule="auto"/>
        <w:tabs>
          <w:tab w:leader="none" w:pos="1100" w:val="left"/>
        </w:tabs>
        <w:numPr>
          <w:ilvl w:val="0"/>
          <w:numId w:val="1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relevant Accounts were prepared in accordance with GAAP, consistently applied; and</w:t>
      </w:r>
    </w:p>
    <w:p>
      <w:pPr>
        <w:spacing w:after="0" w:line="138" w:lineRule="exact"/>
        <w:rPr>
          <w:rFonts w:ascii="Courier New" w:cs="Courier New" w:eastAsia="Courier New" w:hAnsi="Courier New"/>
          <w:sz w:val="12"/>
          <w:szCs w:val="12"/>
          <w:color w:val="auto"/>
        </w:rPr>
      </w:pPr>
    </w:p>
    <w:p>
      <w:pPr>
        <w:ind w:left="1100" w:right="4639" w:hanging="372"/>
        <w:spacing w:after="0" w:line="251" w:lineRule="auto"/>
        <w:tabs>
          <w:tab w:leader="none" w:pos="1100" w:val="left"/>
        </w:tabs>
        <w:numPr>
          <w:ilvl w:val="0"/>
          <w:numId w:val="1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 Default has occurred or, if it has occurred, specifying the Default and the steps, if any, being taken to remedy it;</w:t>
      </w:r>
    </w:p>
    <w:p>
      <w:pPr>
        <w:spacing w:after="0" w:line="140" w:lineRule="exact"/>
        <w:rPr>
          <w:sz w:val="20"/>
          <w:szCs w:val="20"/>
          <w:color w:val="auto"/>
        </w:rPr>
      </w:pPr>
    </w:p>
    <w:p>
      <w:pPr>
        <w:ind w:left="1100" w:right="4419" w:hanging="372"/>
        <w:spacing w:after="0" w:line="250" w:lineRule="auto"/>
        <w:tabs>
          <w:tab w:leader="none" w:pos="1100" w:val="left"/>
        </w:tabs>
        <w:numPr>
          <w:ilvl w:val="1"/>
          <w:numId w:val="1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number of shares in the Borrower held by each of the Lead Investors and by each shareholder of the Borrower who, to the Knowledge of the Borrower, holds at least 5% (five percent) of the issued share capital of the Borrower as at the end of such Accounting Period; and</w:t>
      </w:r>
    </w:p>
    <w:p>
      <w:pPr>
        <w:spacing w:after="0" w:line="141" w:lineRule="exact"/>
        <w:rPr>
          <w:rFonts w:ascii="Courier New" w:cs="Courier New" w:eastAsia="Courier New" w:hAnsi="Courier New"/>
          <w:sz w:val="12"/>
          <w:szCs w:val="12"/>
          <w:color w:val="auto"/>
        </w:rPr>
      </w:pPr>
    </w:p>
    <w:p>
      <w:pPr>
        <w:ind w:left="1100" w:right="4579" w:hanging="372"/>
        <w:spacing w:after="0" w:line="251" w:lineRule="auto"/>
        <w:tabs>
          <w:tab w:leader="none" w:pos="1100" w:val="left"/>
        </w:tabs>
        <w:numPr>
          <w:ilvl w:val="1"/>
          <w:numId w:val="1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certificate of compliance by the Borrower with the provisions of clause 16.27 below, attaching documentation, confirming such compliance;</w:t>
      </w:r>
    </w:p>
    <w:p>
      <w:pPr>
        <w:spacing w:after="0" w:line="139" w:lineRule="exact"/>
        <w:rPr>
          <w:rFonts w:ascii="Courier New" w:cs="Courier New" w:eastAsia="Courier New" w:hAnsi="Courier New"/>
          <w:sz w:val="12"/>
          <w:szCs w:val="12"/>
          <w:color w:val="auto"/>
        </w:rPr>
      </w:pPr>
    </w:p>
    <w:p>
      <w:pPr>
        <w:ind w:left="720" w:right="4359" w:hanging="360"/>
        <w:spacing w:after="0" w:line="251" w:lineRule="auto"/>
        <w:tabs>
          <w:tab w:leader="none" w:pos="794" w:val="left"/>
        </w:tabs>
        <w:numPr>
          <w:ilvl w:val="0"/>
          <w:numId w:val="1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 less than 7 (seven) days before the end of each month, an updated forecast of all payments to be made under the Project in respect of the purchase of equipment and other payments in respect of the following 3 (three) month period;</w:t>
      </w:r>
    </w:p>
    <w:p>
      <w:pPr>
        <w:spacing w:after="0" w:line="139" w:lineRule="exact"/>
        <w:rPr>
          <w:rFonts w:ascii="Courier New" w:cs="Courier New" w:eastAsia="Courier New" w:hAnsi="Courier New"/>
          <w:sz w:val="12"/>
          <w:szCs w:val="12"/>
          <w:color w:val="auto"/>
        </w:rPr>
      </w:pPr>
    </w:p>
    <w:p>
      <w:pPr>
        <w:ind w:left="720" w:right="4359" w:hanging="360"/>
        <w:spacing w:after="0" w:line="251" w:lineRule="auto"/>
        <w:tabs>
          <w:tab w:leader="none" w:pos="867" w:val="left"/>
        </w:tabs>
        <w:numPr>
          <w:ilvl w:val="0"/>
          <w:numId w:val="1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by not later than 7 (seven) days before the end of each Fiscal Year, a budget for the Borrower approved by the Board of Directors of the Borrower for each Quarter of the next Fiscal Year, in the format customary at the Borrower;</w:t>
      </w:r>
    </w:p>
    <w:p>
      <w:pPr>
        <w:spacing w:after="0" w:line="280" w:lineRule="exact"/>
        <w:rPr>
          <w:rFonts w:ascii="Courier New" w:cs="Courier New" w:eastAsia="Courier New" w:hAnsi="Courier New"/>
          <w:sz w:val="12"/>
          <w:szCs w:val="12"/>
          <w:color w:val="auto"/>
        </w:rPr>
      </w:pPr>
    </w:p>
    <w:p>
      <w:pPr>
        <w:ind w:left="2060" w:hanging="154"/>
        <w:spacing w:after="0"/>
        <w:tabs>
          <w:tab w:leader="none" w:pos="2060" w:val="left"/>
        </w:tabs>
        <w:numPr>
          <w:ilvl w:val="2"/>
          <w:numId w:val="1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102 -</w:t>
      </w:r>
    </w:p>
    <w:p>
      <w:pPr>
        <w:spacing w:after="0" w:line="200" w:lineRule="exact"/>
        <w:rPr>
          <w:rFonts w:ascii="Courier New" w:cs="Courier New" w:eastAsia="Courier New" w:hAnsi="Courier New"/>
          <w:sz w:val="12"/>
          <w:szCs w:val="12"/>
          <w:color w:val="auto"/>
        </w:rPr>
      </w:pPr>
    </w:p>
    <w:p>
      <w:pPr>
        <w:spacing w:after="0" w:line="353" w:lineRule="exact"/>
        <w:rPr>
          <w:rFonts w:ascii="Courier New" w:cs="Courier New" w:eastAsia="Courier New" w:hAnsi="Courier New"/>
          <w:sz w:val="12"/>
          <w:szCs w:val="12"/>
          <w:color w:val="auto"/>
        </w:rPr>
      </w:pPr>
    </w:p>
    <w:p>
      <w:pPr>
        <w:ind w:left="720" w:right="4419" w:hanging="360"/>
        <w:spacing w:after="0" w:line="250" w:lineRule="auto"/>
        <w:tabs>
          <w:tab w:leader="none" w:pos="720" w:val="left"/>
        </w:tabs>
        <w:numPr>
          <w:ilvl w:val="0"/>
          <w:numId w:val="1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in the course of any Fiscal Year, the Borrower wishes to update or revise any of the assumptions underlying the projections under the Business Plan pursuant to paragraph (vii) above in any material respect, the Borrower shall furnish to the Banks such updated assumptions. Nothing contained in this clause shall derogate from the provisions of clause 16.20 below.</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16.1.2. The Borrower will:</w:t>
      </w:r>
    </w:p>
    <w:p>
      <w:pPr>
        <w:spacing w:after="0" w:line="147" w:lineRule="exact"/>
        <w:rPr>
          <w:sz w:val="20"/>
          <w:szCs w:val="20"/>
          <w:color w:val="auto"/>
        </w:rPr>
      </w:pPr>
    </w:p>
    <w:p>
      <w:pPr>
        <w:ind w:left="720" w:right="4419" w:hanging="360"/>
        <w:spacing w:after="0" w:line="250" w:lineRule="auto"/>
        <w:tabs>
          <w:tab w:leader="none" w:pos="720"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within 15 (fifteen) days of the end of June 30 and December 31 of each Fiscal Year, supply to the Consulting Engineer (and, if so required by the Banks, also the Banks) a report on the progress of Fab 2 during the 2 (two) 6 (six) month periods ending June 30 and December 31, respectively, and (prior to completion of Fab 2) of any possible delays or cost overruns of the completion of Fab 2, prepared by the</w:t>
      </w:r>
    </w:p>
    <w:p>
      <w:pPr>
        <w:sectPr>
          <w:pgSz w:w="11900" w:h="16849" w:orient="portrait"/>
          <w:cols w:equalWidth="0" w:num="1">
            <w:col w:w="9499"/>
          </w:cols>
          <w:pgMar w:left="960" w:top="141" w:right="1440" w:bottom="0" w:gutter="0" w:footer="0" w:header="0"/>
        </w:sectPr>
      </w:pPr>
    </w:p>
    <w:bookmarkStart w:id="115" w:name="page116"/>
    <w:bookmarkEnd w:id="115"/>
    <w:p>
      <w:pPr>
        <w:ind w:left="720"/>
        <w:spacing w:after="0"/>
        <w:rPr>
          <w:sz w:val="20"/>
          <w:szCs w:val="20"/>
          <w:color w:val="auto"/>
        </w:rPr>
      </w:pPr>
      <w:r>
        <w:rPr>
          <w:rFonts w:ascii="Courier New" w:cs="Courier New" w:eastAsia="Courier New" w:hAnsi="Courier New"/>
          <w:sz w:val="12"/>
          <w:szCs w:val="12"/>
          <w:color w:val="auto"/>
        </w:rPr>
        <w:t>Borrower and certified as approved by the Chief Executive</w:t>
      </w:r>
    </w:p>
    <w:p>
      <w:pPr>
        <w:spacing w:after="0" w:line="6" w:lineRule="exact"/>
        <w:rPr>
          <w:sz w:val="20"/>
          <w:szCs w:val="20"/>
          <w:color w:val="auto"/>
        </w:rPr>
      </w:pPr>
    </w:p>
    <w:p>
      <w:pPr>
        <w:ind w:left="720"/>
        <w:spacing w:after="0"/>
        <w:rPr>
          <w:sz w:val="20"/>
          <w:szCs w:val="20"/>
          <w:color w:val="auto"/>
        </w:rPr>
      </w:pPr>
      <w:r>
        <w:rPr>
          <w:rFonts w:ascii="Courier New" w:cs="Courier New" w:eastAsia="Courier New" w:hAnsi="Courier New"/>
          <w:sz w:val="12"/>
          <w:szCs w:val="12"/>
          <w:color w:val="auto"/>
        </w:rPr>
        <w:t>Officer (or one of the Co-Chief Executive Officers) of the</w:t>
      </w:r>
    </w:p>
    <w:p>
      <w:pPr>
        <w:spacing w:after="0" w:line="6" w:lineRule="exact"/>
        <w:rPr>
          <w:sz w:val="20"/>
          <w:szCs w:val="20"/>
          <w:color w:val="auto"/>
        </w:rPr>
      </w:pPr>
    </w:p>
    <w:p>
      <w:pPr>
        <w:ind w:left="720"/>
        <w:spacing w:after="0"/>
        <w:rPr>
          <w:sz w:val="20"/>
          <w:szCs w:val="20"/>
          <w:color w:val="auto"/>
        </w:rPr>
      </w:pPr>
      <w:r>
        <w:rPr>
          <w:rFonts w:ascii="Courier New" w:cs="Courier New" w:eastAsia="Courier New" w:hAnsi="Courier New"/>
          <w:sz w:val="12"/>
          <w:szCs w:val="12"/>
          <w:color w:val="auto"/>
        </w:rPr>
        <w:t>Borrower relating, INTER ALIA, to the purchase, delivery and</w:t>
      </w:r>
    </w:p>
    <w:p>
      <w:pPr>
        <w:spacing w:after="0" w:line="6" w:lineRule="exact"/>
        <w:rPr>
          <w:sz w:val="20"/>
          <w:szCs w:val="20"/>
          <w:color w:val="auto"/>
        </w:rPr>
      </w:pPr>
    </w:p>
    <w:p>
      <w:pPr>
        <w:ind w:left="720"/>
        <w:spacing w:after="0"/>
        <w:rPr>
          <w:sz w:val="20"/>
          <w:szCs w:val="20"/>
          <w:color w:val="auto"/>
        </w:rPr>
      </w:pPr>
      <w:r>
        <w:rPr>
          <w:rFonts w:ascii="Courier New" w:cs="Courier New" w:eastAsia="Courier New" w:hAnsi="Courier New"/>
          <w:sz w:val="12"/>
          <w:szCs w:val="12"/>
          <w:color w:val="auto"/>
        </w:rPr>
        <w:t>installation of equipment in connection with Fab 2 as</w:t>
      </w:r>
    </w:p>
    <w:p>
      <w:pPr>
        <w:spacing w:after="0" w:line="6" w:lineRule="exact"/>
        <w:rPr>
          <w:sz w:val="20"/>
          <w:szCs w:val="20"/>
          <w:color w:val="auto"/>
        </w:rPr>
      </w:pPr>
    </w:p>
    <w:p>
      <w:pPr>
        <w:ind w:left="720"/>
        <w:spacing w:after="0"/>
        <w:rPr>
          <w:sz w:val="20"/>
          <w:szCs w:val="20"/>
          <w:color w:val="auto"/>
        </w:rPr>
      </w:pPr>
      <w:r>
        <w:rPr>
          <w:rFonts w:ascii="Courier New" w:cs="Courier New" w:eastAsia="Courier New" w:hAnsi="Courier New"/>
          <w:sz w:val="12"/>
          <w:szCs w:val="12"/>
          <w:color w:val="auto"/>
        </w:rPr>
        <w:t>against the Business Plan and the timetable therein;</w:t>
      </w:r>
    </w:p>
    <w:p>
      <w:pPr>
        <w:spacing w:after="0" w:line="147" w:lineRule="exact"/>
        <w:rPr>
          <w:sz w:val="20"/>
          <w:szCs w:val="20"/>
          <w:color w:val="auto"/>
        </w:rPr>
      </w:pPr>
    </w:p>
    <w:p>
      <w:pPr>
        <w:ind w:left="720" w:right="4419" w:hanging="360"/>
        <w:spacing w:after="0" w:line="250" w:lineRule="auto"/>
        <w:tabs>
          <w:tab w:leader="none" w:pos="720" w:val="left"/>
        </w:tabs>
        <w:numPr>
          <w:ilvl w:val="0"/>
          <w:numId w:val="1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notify the Banks immediately of details of any material default under any Material Contract or adverse claims against the Borrower by any party to any Material Contract or by any other person in connection with the Project or of any other material claim by a person against the Borrower, whether or not in connection with the Project;</w:t>
      </w:r>
    </w:p>
    <w:p>
      <w:pPr>
        <w:spacing w:after="0" w:line="141" w:lineRule="exact"/>
        <w:rPr>
          <w:rFonts w:ascii="Courier New" w:cs="Courier New" w:eastAsia="Courier New" w:hAnsi="Courier New"/>
          <w:sz w:val="12"/>
          <w:szCs w:val="12"/>
          <w:color w:val="auto"/>
        </w:rPr>
      </w:pPr>
    </w:p>
    <w:p>
      <w:pPr>
        <w:ind w:left="720" w:right="4419" w:hanging="360"/>
        <w:spacing w:after="0" w:line="251" w:lineRule="auto"/>
        <w:tabs>
          <w:tab w:leader="none" w:pos="794" w:val="left"/>
        </w:tabs>
        <w:numPr>
          <w:ilvl w:val="0"/>
          <w:numId w:val="1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notify the Banks of details of any shut-down of the Project, any force majeure event under a Material Contract and any event which might interrupt Project construction or performance;</w:t>
      </w:r>
    </w:p>
    <w:p>
      <w:pPr>
        <w:spacing w:after="0" w:line="139" w:lineRule="exact"/>
        <w:rPr>
          <w:rFonts w:ascii="Courier New" w:cs="Courier New" w:eastAsia="Courier New" w:hAnsi="Courier New"/>
          <w:sz w:val="12"/>
          <w:szCs w:val="12"/>
          <w:color w:val="auto"/>
        </w:rPr>
      </w:pPr>
    </w:p>
    <w:p>
      <w:pPr>
        <w:ind w:left="720" w:right="4359" w:hanging="360"/>
        <w:spacing w:after="0" w:line="253" w:lineRule="auto"/>
        <w:tabs>
          <w:tab w:leader="none" w:pos="720" w:val="left"/>
        </w:tabs>
        <w:numPr>
          <w:ilvl w:val="0"/>
          <w:numId w:val="1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notify the Banks of details of the occurrence of any Release or of any Environmental Claim.</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16.1.3. The Borrower shall furnish to the Banks:</w:t>
      </w:r>
    </w:p>
    <w:p>
      <w:pPr>
        <w:spacing w:after="0" w:line="147" w:lineRule="exact"/>
        <w:rPr>
          <w:sz w:val="20"/>
          <w:szCs w:val="20"/>
          <w:color w:val="auto"/>
        </w:rPr>
      </w:pPr>
    </w:p>
    <w:p>
      <w:pPr>
        <w:ind w:left="720" w:right="4419" w:hanging="360"/>
        <w:spacing w:after="0" w:line="250" w:lineRule="auto"/>
        <w:tabs>
          <w:tab w:leader="none" w:pos="720"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promptly, all notices, reports or other documents required by law to be despatched by the Borrower to its shareholders generally (or any class of them) or to the holders of the Permitted Subordinated Debt and all notices, reports or other documents relating to the financial difficulties or debt obligations of the Borrower despatched by or on behalf of the Borrower to its creditors generally or to any class of its creditors;</w:t>
      </w:r>
    </w:p>
    <w:p>
      <w:pPr>
        <w:spacing w:after="0" w:line="282" w:lineRule="exact"/>
        <w:rPr>
          <w:rFonts w:ascii="Courier New" w:cs="Courier New" w:eastAsia="Courier New" w:hAnsi="Courier New"/>
          <w:sz w:val="12"/>
          <w:szCs w:val="12"/>
          <w:color w:val="auto"/>
        </w:rPr>
      </w:pPr>
    </w:p>
    <w:p>
      <w:pPr>
        <w:ind w:left="2060" w:hanging="154"/>
        <w:spacing w:after="0"/>
        <w:tabs>
          <w:tab w:leader="none" w:pos="2060" w:val="left"/>
        </w:tabs>
        <w:numPr>
          <w:ilvl w:val="1"/>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103 -</w:t>
      </w:r>
    </w:p>
    <w:p>
      <w:pPr>
        <w:spacing w:after="0" w:line="200" w:lineRule="exact"/>
        <w:rPr>
          <w:rFonts w:ascii="Courier New" w:cs="Courier New" w:eastAsia="Courier New" w:hAnsi="Courier New"/>
          <w:sz w:val="12"/>
          <w:szCs w:val="12"/>
          <w:color w:val="auto"/>
        </w:rPr>
      </w:pPr>
    </w:p>
    <w:p>
      <w:pPr>
        <w:spacing w:after="0" w:line="353" w:lineRule="exact"/>
        <w:rPr>
          <w:rFonts w:ascii="Courier New" w:cs="Courier New" w:eastAsia="Courier New" w:hAnsi="Courier New"/>
          <w:sz w:val="12"/>
          <w:szCs w:val="12"/>
          <w:color w:val="auto"/>
        </w:rPr>
      </w:pPr>
    </w:p>
    <w:p>
      <w:pPr>
        <w:ind w:left="720" w:right="4499" w:hanging="360"/>
        <w:spacing w:after="0" w:line="251" w:lineRule="auto"/>
        <w:tabs>
          <w:tab w:leader="none" w:pos="720"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promptly, copies of notices or other filings made by the Borrower with the SEC or any other regulatory Governmental Body;</w:t>
      </w:r>
    </w:p>
    <w:p>
      <w:pPr>
        <w:spacing w:after="0" w:line="139" w:lineRule="exact"/>
        <w:rPr>
          <w:rFonts w:ascii="Courier New" w:cs="Courier New" w:eastAsia="Courier New" w:hAnsi="Courier New"/>
          <w:sz w:val="12"/>
          <w:szCs w:val="12"/>
          <w:color w:val="auto"/>
        </w:rPr>
      </w:pPr>
    </w:p>
    <w:p>
      <w:pPr>
        <w:ind w:left="800" w:hanging="440"/>
        <w:spacing w:after="0"/>
        <w:tabs>
          <w:tab w:leader="none" w:pos="800"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[INTENTIONALLY DELETED]</w:t>
      </w:r>
    </w:p>
    <w:p>
      <w:pPr>
        <w:spacing w:after="0" w:line="147" w:lineRule="exact"/>
        <w:rPr>
          <w:rFonts w:ascii="Courier New" w:cs="Courier New" w:eastAsia="Courier New" w:hAnsi="Courier New"/>
          <w:sz w:val="12"/>
          <w:szCs w:val="12"/>
          <w:color w:val="auto"/>
        </w:rPr>
      </w:pPr>
    </w:p>
    <w:p>
      <w:pPr>
        <w:ind w:left="720" w:right="4639" w:hanging="360"/>
        <w:spacing w:after="0" w:line="253" w:lineRule="auto"/>
        <w:tabs>
          <w:tab w:leader="none" w:pos="720"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promptly, copies of all monthly reports furnished by the Borrower to its directors;</w:t>
      </w:r>
    </w:p>
    <w:p>
      <w:pPr>
        <w:spacing w:after="0" w:line="138" w:lineRule="exact"/>
        <w:rPr>
          <w:rFonts w:ascii="Courier New" w:cs="Courier New" w:eastAsia="Courier New" w:hAnsi="Courier New"/>
          <w:sz w:val="12"/>
          <w:szCs w:val="12"/>
          <w:color w:val="auto"/>
        </w:rPr>
      </w:pPr>
    </w:p>
    <w:p>
      <w:pPr>
        <w:ind w:left="720" w:right="4499" w:hanging="360"/>
        <w:spacing w:after="0" w:line="250" w:lineRule="auto"/>
        <w:tabs>
          <w:tab w:leader="none" w:pos="720"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soon as the same are instituted or, Threatened, details of any litigation, arbitration or other Proceedings involving it which, if adversely determined, would have a Material Adverse Effect; or which involves a liquidated claim or alleged liability which is likely to be in excess of US $2,500,000 (two million five hundred thousand United States Dollars) or its equivalent, or, together with any other claims or alleged liability, to be in excess of US $5,000,000 (five million United States Dollars) (or its equivalent) in aggregate;</w:t>
      </w:r>
    </w:p>
    <w:p>
      <w:pPr>
        <w:spacing w:after="0" w:line="141" w:lineRule="exact"/>
        <w:rPr>
          <w:rFonts w:ascii="Courier New" w:cs="Courier New" w:eastAsia="Courier New" w:hAnsi="Courier New"/>
          <w:sz w:val="12"/>
          <w:szCs w:val="12"/>
          <w:color w:val="auto"/>
        </w:rPr>
      </w:pPr>
    </w:p>
    <w:p>
      <w:pPr>
        <w:ind w:left="720" w:right="4359" w:hanging="360"/>
        <w:spacing w:after="0" w:line="250" w:lineRule="auto"/>
        <w:tabs>
          <w:tab w:leader="none" w:pos="720"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promptly, such further information regarding the Project or the Borrower's financial condition, business and assets (including any requested amplification or explanation of any item in any Accounts, the Business Plan or other material provided by the Borrower hereunder) as the Banks may reasonably request from time to time;</w:t>
      </w:r>
    </w:p>
    <w:p>
      <w:pPr>
        <w:spacing w:after="0" w:line="141" w:lineRule="exact"/>
        <w:rPr>
          <w:rFonts w:ascii="Courier New" w:cs="Courier New" w:eastAsia="Courier New" w:hAnsi="Courier New"/>
          <w:sz w:val="12"/>
          <w:szCs w:val="12"/>
          <w:color w:val="auto"/>
        </w:rPr>
      </w:pPr>
    </w:p>
    <w:p>
      <w:pPr>
        <w:ind w:left="720" w:right="4419" w:hanging="360"/>
        <w:spacing w:after="0" w:line="251" w:lineRule="auto"/>
        <w:tabs>
          <w:tab w:leader="none" w:pos="794"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without derogating from clause 16.32 below, promptly, upon being notified of the same, details of the occurrence of a Change of Ownership or details of any proposed Change of Ownership of which it is aware;</w:t>
      </w:r>
    </w:p>
    <w:p>
      <w:pPr>
        <w:spacing w:after="0" w:line="139" w:lineRule="exact"/>
        <w:rPr>
          <w:rFonts w:ascii="Courier New" w:cs="Courier New" w:eastAsia="Courier New" w:hAnsi="Courier New"/>
          <w:sz w:val="12"/>
          <w:szCs w:val="12"/>
          <w:color w:val="auto"/>
        </w:rPr>
      </w:pPr>
    </w:p>
    <w:p>
      <w:pPr>
        <w:ind w:left="880" w:hanging="520"/>
        <w:spacing w:after="0"/>
        <w:tabs>
          <w:tab w:leader="none" w:pos="880"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promptly, on request, certificates signed by the CEO (or</w:t>
      </w:r>
    </w:p>
    <w:p>
      <w:pPr>
        <w:spacing w:after="0" w:line="5" w:lineRule="exact"/>
        <w:rPr>
          <w:rFonts w:ascii="Courier New" w:cs="Courier New" w:eastAsia="Courier New" w:hAnsi="Courier New"/>
          <w:sz w:val="12"/>
          <w:szCs w:val="12"/>
          <w:color w:val="auto"/>
        </w:rPr>
      </w:pPr>
    </w:p>
    <w:p>
      <w:pPr>
        <w:ind w:left="720" w:right="435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one of the co-CEO's) of the Borrower as to compliance by the Borrower with the Finance Documents, Security Documents and Material Contracts and as to the absence of any Default;</w:t>
      </w:r>
    </w:p>
    <w:p>
      <w:pPr>
        <w:spacing w:after="0" w:line="281" w:lineRule="exact"/>
        <w:rPr>
          <w:rFonts w:ascii="Courier New" w:cs="Courier New" w:eastAsia="Courier New" w:hAnsi="Courier New"/>
          <w:sz w:val="12"/>
          <w:szCs w:val="12"/>
          <w:color w:val="auto"/>
        </w:rPr>
      </w:pPr>
    </w:p>
    <w:p>
      <w:pPr>
        <w:ind w:left="2060" w:hanging="154"/>
        <w:spacing w:after="0"/>
        <w:tabs>
          <w:tab w:leader="none" w:pos="2060" w:val="left"/>
        </w:tabs>
        <w:numPr>
          <w:ilvl w:val="1"/>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104 -</w:t>
      </w:r>
    </w:p>
    <w:p>
      <w:pPr>
        <w:spacing w:after="0" w:line="200" w:lineRule="exact"/>
        <w:rPr>
          <w:rFonts w:ascii="Courier New" w:cs="Courier New" w:eastAsia="Courier New" w:hAnsi="Courier New"/>
          <w:sz w:val="12"/>
          <w:szCs w:val="12"/>
          <w:color w:val="auto"/>
        </w:rPr>
      </w:pPr>
    </w:p>
    <w:p>
      <w:pPr>
        <w:spacing w:after="0" w:line="353" w:lineRule="exact"/>
        <w:rPr>
          <w:rFonts w:ascii="Courier New" w:cs="Courier New" w:eastAsia="Courier New" w:hAnsi="Courier New"/>
          <w:sz w:val="12"/>
          <w:szCs w:val="12"/>
          <w:color w:val="auto"/>
        </w:rPr>
      </w:pPr>
    </w:p>
    <w:p>
      <w:pPr>
        <w:ind w:left="720" w:right="4359" w:hanging="360"/>
        <w:spacing w:after="0" w:line="253" w:lineRule="auto"/>
        <w:tabs>
          <w:tab w:leader="none" w:pos="720"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promptly, notice of any Default and the steps being taken to remedy same;</w:t>
      </w:r>
    </w:p>
    <w:p>
      <w:pPr>
        <w:spacing w:after="0" w:line="138" w:lineRule="exact"/>
        <w:rPr>
          <w:rFonts w:ascii="Courier New" w:cs="Courier New" w:eastAsia="Courier New" w:hAnsi="Courier New"/>
          <w:sz w:val="12"/>
          <w:szCs w:val="12"/>
          <w:color w:val="auto"/>
        </w:rPr>
      </w:pPr>
    </w:p>
    <w:p>
      <w:pPr>
        <w:ind w:left="720" w:hanging="360"/>
        <w:spacing w:after="0"/>
        <w:tabs>
          <w:tab w:leader="none" w:pos="720"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[INTENTIONALLY DELETED];</w:t>
      </w:r>
    </w:p>
    <w:p>
      <w:pPr>
        <w:spacing w:after="0" w:line="147" w:lineRule="exact"/>
        <w:rPr>
          <w:rFonts w:ascii="Courier New" w:cs="Courier New" w:eastAsia="Courier New" w:hAnsi="Courier New"/>
          <w:sz w:val="12"/>
          <w:szCs w:val="12"/>
          <w:color w:val="auto"/>
        </w:rPr>
      </w:pPr>
    </w:p>
    <w:p>
      <w:pPr>
        <w:ind w:left="720" w:right="4419" w:hanging="360"/>
        <w:spacing w:after="0" w:line="250" w:lineRule="auto"/>
        <w:tabs>
          <w:tab w:leader="none" w:pos="720"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promptly after the execution thereof, any Contract which it reasonably considers may constitute a Material Contract and the Borrower shall promptly take all steps required by the Banks to duly pledge and assign by way of charge all rights and interest of the Borrower under such Material Contracts in accordance with the Debenture;</w:t>
      </w:r>
    </w:p>
    <w:p>
      <w:pPr>
        <w:spacing w:after="0" w:line="141" w:lineRule="exact"/>
        <w:rPr>
          <w:rFonts w:ascii="Courier New" w:cs="Courier New" w:eastAsia="Courier New" w:hAnsi="Courier New"/>
          <w:sz w:val="12"/>
          <w:szCs w:val="12"/>
          <w:color w:val="auto"/>
        </w:rPr>
      </w:pPr>
    </w:p>
    <w:p>
      <w:pPr>
        <w:ind w:left="720" w:right="4359" w:hanging="360"/>
        <w:spacing w:after="0" w:line="250" w:lineRule="auto"/>
        <w:tabs>
          <w:tab w:leader="none" w:pos="794"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promptly, after receipt thereof, of any material communication from any Governmental Body with respect to the Project, as well as all other material notices and correspondence received by the Borrower under or in relation to the Project or any of the Material Contracts;</w:t>
      </w:r>
    </w:p>
    <w:p>
      <w:pPr>
        <w:spacing w:after="0" w:line="141" w:lineRule="exact"/>
        <w:rPr>
          <w:rFonts w:ascii="Courier New" w:cs="Courier New" w:eastAsia="Courier New" w:hAnsi="Courier New"/>
          <w:sz w:val="12"/>
          <w:szCs w:val="12"/>
          <w:color w:val="auto"/>
        </w:rPr>
      </w:pPr>
    </w:p>
    <w:p>
      <w:pPr>
        <w:ind w:left="880" w:hanging="520"/>
        <w:spacing w:after="0"/>
        <w:tabs>
          <w:tab w:leader="none" w:pos="880"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[INTENTIONALLY DELETED]</w:t>
      </w:r>
    </w:p>
    <w:p>
      <w:pPr>
        <w:spacing w:after="0" w:line="147" w:lineRule="exact"/>
        <w:rPr>
          <w:rFonts w:ascii="Courier New" w:cs="Courier New" w:eastAsia="Courier New" w:hAnsi="Courier New"/>
          <w:sz w:val="12"/>
          <w:szCs w:val="12"/>
          <w:color w:val="auto"/>
        </w:rPr>
      </w:pPr>
    </w:p>
    <w:p>
      <w:pPr>
        <w:ind w:left="800" w:hanging="440"/>
        <w:spacing w:after="0"/>
        <w:tabs>
          <w:tab w:leader="none" w:pos="800"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amounts of all deposits at each Bank; and</w:t>
      </w:r>
    </w:p>
    <w:p>
      <w:pPr>
        <w:spacing w:after="0" w:line="147" w:lineRule="exact"/>
        <w:rPr>
          <w:rFonts w:ascii="Courier New" w:cs="Courier New" w:eastAsia="Courier New" w:hAnsi="Courier New"/>
          <w:sz w:val="12"/>
          <w:szCs w:val="12"/>
          <w:color w:val="auto"/>
        </w:rPr>
      </w:pPr>
    </w:p>
    <w:p>
      <w:pPr>
        <w:ind w:left="720" w:hanging="360"/>
        <w:spacing w:after="0"/>
        <w:tabs>
          <w:tab w:leader="none" w:pos="720"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jc w:val="both"/>
        <w:ind w:left="360" w:right="4579" w:hanging="367"/>
        <w:spacing w:after="0" w:line="251" w:lineRule="auto"/>
        <w:rPr>
          <w:sz w:val="20"/>
          <w:szCs w:val="20"/>
          <w:color w:val="auto"/>
        </w:rPr>
      </w:pPr>
      <w:r>
        <w:rPr>
          <w:rFonts w:ascii="Courier New" w:cs="Courier New" w:eastAsia="Courier New" w:hAnsi="Courier New"/>
          <w:sz w:val="12"/>
          <w:szCs w:val="12"/>
          <w:color w:val="auto"/>
        </w:rPr>
        <w:t>16.1.4. As soon as practicable (and, in any event, within 45 (forty five) days after the end of each Quarter), the Borrower shall send to the Banks:</w:t>
      </w:r>
    </w:p>
    <w:p>
      <w:pPr>
        <w:spacing w:after="0" w:line="140" w:lineRule="exact"/>
        <w:rPr>
          <w:sz w:val="20"/>
          <w:szCs w:val="20"/>
          <w:color w:val="auto"/>
        </w:rPr>
      </w:pPr>
    </w:p>
    <w:p>
      <w:pPr>
        <w:ind w:left="720" w:right="4419" w:hanging="360"/>
        <w:spacing w:after="0" w:line="250" w:lineRule="auto"/>
        <w:tabs>
          <w:tab w:leader="none" w:pos="720" w:val="left"/>
        </w:tabs>
        <w:numPr>
          <w:ilvl w:val="0"/>
          <w:numId w:val="1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certificate signed by the Borrower's Chief Executive Officer (or one of the Co-Chief Executive Officers) and Chief Financial Officer certifying that the Borrower is in full compliance with all of the terms and conditions of the Finance Documents and if not so in compliance, specifying the relevant non-compliance and the steps, if any, being taken to remedy it;</w:t>
      </w:r>
    </w:p>
    <w:p>
      <w:pPr>
        <w:sectPr>
          <w:pgSz w:w="11900" w:h="16838" w:orient="portrait"/>
          <w:cols w:equalWidth="0" w:num="1">
            <w:col w:w="9499"/>
          </w:cols>
          <w:pgMar w:left="960" w:top="141" w:right="1440" w:bottom="0" w:gutter="0" w:footer="0" w:header="0"/>
        </w:sectPr>
      </w:pPr>
    </w:p>
    <w:bookmarkStart w:id="116" w:name="page117"/>
    <w:bookmarkEnd w:id="116"/>
    <w:p>
      <w:pPr>
        <w:ind w:left="1100" w:right="4359" w:hanging="360"/>
        <w:spacing w:after="0" w:line="250" w:lineRule="auto"/>
        <w:tabs>
          <w:tab w:leader="none" w:pos="1100" w:val="left"/>
        </w:tabs>
        <w:numPr>
          <w:ilvl w:val="0"/>
          <w:numId w:val="1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report certified by the CEO (or one of the Co-chief Executive Officers) and Chief Financial Officer of the Borrower detailing any Acquisition made or resolved to be made by the Borrower in an aggregate amount equal to or in excess of US $1,000,000 (one million) United States Dollars) during the preceding Quarter;</w:t>
      </w:r>
    </w:p>
    <w:p>
      <w:pPr>
        <w:spacing w:after="0" w:line="283" w:lineRule="exact"/>
        <w:rPr>
          <w:rFonts w:ascii="Courier New" w:cs="Courier New" w:eastAsia="Courier New" w:hAnsi="Courier New"/>
          <w:sz w:val="12"/>
          <w:szCs w:val="12"/>
          <w:color w:val="auto"/>
        </w:rPr>
      </w:pPr>
    </w:p>
    <w:p>
      <w:pPr>
        <w:ind w:left="2440" w:hanging="154"/>
        <w:spacing w:after="0"/>
        <w:tabs>
          <w:tab w:leader="none" w:pos="2440" w:val="left"/>
        </w:tabs>
        <w:numPr>
          <w:ilvl w:val="1"/>
          <w:numId w:val="1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105 -</w:t>
      </w:r>
    </w:p>
    <w:p>
      <w:pPr>
        <w:spacing w:after="0" w:line="200" w:lineRule="exact"/>
        <w:rPr>
          <w:rFonts w:ascii="Courier New" w:cs="Courier New" w:eastAsia="Courier New" w:hAnsi="Courier New"/>
          <w:sz w:val="12"/>
          <w:szCs w:val="12"/>
          <w:color w:val="auto"/>
        </w:rPr>
      </w:pPr>
    </w:p>
    <w:p>
      <w:pPr>
        <w:spacing w:after="0" w:line="353" w:lineRule="exact"/>
        <w:rPr>
          <w:rFonts w:ascii="Courier New" w:cs="Courier New" w:eastAsia="Courier New" w:hAnsi="Courier New"/>
          <w:sz w:val="12"/>
          <w:szCs w:val="12"/>
          <w:color w:val="auto"/>
        </w:rPr>
      </w:pPr>
    </w:p>
    <w:p>
      <w:pPr>
        <w:ind w:left="1100" w:right="4499" w:hanging="360"/>
        <w:spacing w:after="0" w:line="250" w:lineRule="auto"/>
        <w:tabs>
          <w:tab w:leader="none" w:pos="1100" w:val="left"/>
        </w:tabs>
        <w:numPr>
          <w:ilvl w:val="0"/>
          <w:numId w:val="1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resolution of any organ of the Borrower to make, or evidencing any intention to make, whether conditionally or unconditionally, preparations for the issuance of a prospectus and/or any offer to the public (whether or not any such offer requires the approval or publication of a prospectus), in any jurisdiction, relating to the sale or offer of any securities or debentures of the Borrower;</w:t>
      </w:r>
    </w:p>
    <w:p>
      <w:pPr>
        <w:spacing w:after="0" w:line="141" w:lineRule="exact"/>
        <w:rPr>
          <w:rFonts w:ascii="Courier New" w:cs="Courier New" w:eastAsia="Courier New" w:hAnsi="Courier New"/>
          <w:sz w:val="12"/>
          <w:szCs w:val="12"/>
          <w:color w:val="auto"/>
        </w:rPr>
      </w:pPr>
    </w:p>
    <w:p>
      <w:pPr>
        <w:ind w:left="1100" w:right="4499" w:hanging="360"/>
        <w:spacing w:after="0" w:line="250" w:lineRule="auto"/>
        <w:tabs>
          <w:tab w:leader="none" w:pos="1100" w:val="left"/>
        </w:tabs>
        <w:numPr>
          <w:ilvl w:val="0"/>
          <w:numId w:val="1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details of any loans (other than loans to employees in the ordinary course of the Borrower's business) or guarantees made by the Borrower, exceeding in each case US $1,000,000 (one million United States Dollars) or loans or guarantees exceeding US $2,500,001 (two million five hundred thousand and one United States Dollars) in aggregate;</w:t>
      </w:r>
    </w:p>
    <w:p>
      <w:pPr>
        <w:spacing w:after="0" w:line="141" w:lineRule="exact"/>
        <w:rPr>
          <w:rFonts w:ascii="Courier New" w:cs="Courier New" w:eastAsia="Courier New" w:hAnsi="Courier New"/>
          <w:sz w:val="12"/>
          <w:szCs w:val="12"/>
          <w:color w:val="auto"/>
        </w:rPr>
      </w:pPr>
    </w:p>
    <w:p>
      <w:pPr>
        <w:ind w:left="1100" w:right="4359" w:hanging="360"/>
        <w:spacing w:after="0" w:line="250" w:lineRule="auto"/>
        <w:tabs>
          <w:tab w:leader="none" w:pos="1100" w:val="left"/>
        </w:tabs>
        <w:numPr>
          <w:ilvl w:val="0"/>
          <w:numId w:val="1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disposal as referred to in clause 16.24 below, the Dollar amount (or, if denominated in a currency other than US Dollars, the Dollar equivalent) of the Net Proceeds of which equals or exceeds US $5,000,000 (five million United States Dollars) when aggregated with the Net Proceeds of all such other disposals in the Fiscal Year in which such Quarter occurs, equals or exceeds US $10,000,000 (ten million United States Dollars).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16.2. ACCOUNTS AND AUDITORS</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The Borrower will ensure that:</w:t>
      </w:r>
    </w:p>
    <w:p>
      <w:pPr>
        <w:spacing w:after="0" w:line="147"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16.2.1. the annual Accounts (including the consolidated annual Accounts) to be delivered to the Banks pursuant to clause 16.1 above are audited by the Auditors and that the quarterly Accounts are, unless otherwise indicated herein, reviewed by the Auditors (including the consolidated Accounts);</w:t>
      </w:r>
    </w:p>
    <w:p>
      <w:pPr>
        <w:spacing w:after="0" w:line="141"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16.2.2. the Borrower shall at all times have duly appointed Auditors;</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16.2.3. the Borrower will not change its financial year-end without</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the prior written consent of the Banks;</w:t>
      </w:r>
    </w:p>
    <w:p>
      <w:pPr>
        <w:spacing w:after="0" w:line="147" w:lineRule="exact"/>
        <w:rPr>
          <w:sz w:val="20"/>
          <w:szCs w:val="20"/>
          <w:color w:val="auto"/>
        </w:rPr>
      </w:pPr>
    </w:p>
    <w:p>
      <w:pPr>
        <w:ind w:left="740" w:right="4419" w:hanging="367"/>
        <w:spacing w:after="0" w:line="250" w:lineRule="auto"/>
        <w:rPr>
          <w:sz w:val="20"/>
          <w:szCs w:val="20"/>
          <w:color w:val="auto"/>
        </w:rPr>
      </w:pPr>
      <w:r>
        <w:rPr>
          <w:rFonts w:ascii="Courier New" w:cs="Courier New" w:eastAsia="Courier New" w:hAnsi="Courier New"/>
          <w:sz w:val="12"/>
          <w:szCs w:val="12"/>
          <w:color w:val="auto"/>
        </w:rPr>
        <w:t>16.2.4. all Accounts shall be prepared in accordance with GAAP (consistently applied) or shall indicate in notes to or accompanying such Accounts (including the consolidated financial statements) any material departures from GAAP or (without derogating from clause 16.2.5 below) changes in the accounting policy of the Borrower;</w:t>
      </w:r>
    </w:p>
    <w:p>
      <w:pPr>
        <w:spacing w:after="0" w:line="283"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- 106 -</w:t>
      </w:r>
    </w:p>
    <w:p>
      <w:pPr>
        <w:spacing w:after="0" w:line="200" w:lineRule="exact"/>
        <w:rPr>
          <w:sz w:val="20"/>
          <w:szCs w:val="20"/>
          <w:color w:val="auto"/>
        </w:rPr>
      </w:pPr>
    </w:p>
    <w:p>
      <w:pPr>
        <w:spacing w:after="0" w:line="353"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16.2.5. each set of Accounts delivered to the Banks is prepared in the respective formats attached as Schedule 1.1.2 hereto and is prepared on substantially the same basis as was used in the preparation of the Accounts previously delivered to the Banks, subject to changes required by GAAP;</w:t>
      </w:r>
    </w:p>
    <w:p>
      <w:pPr>
        <w:spacing w:after="0" w:line="141"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2"/>
          <w:szCs w:val="12"/>
          <w:color w:val="auto"/>
        </w:rPr>
        <w:t>16.2.6. in the event that any Accounts are delivered which are not</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prepared on a substantially consistent basis to Accounts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previously delivered hereunder, such Accounts are accompanied by</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an explanation of any changes to the accounting basis used in</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respect of the Business Plan; and</w:t>
      </w:r>
    </w:p>
    <w:p>
      <w:pPr>
        <w:spacing w:after="0" w:line="147" w:lineRule="exact"/>
        <w:rPr>
          <w:sz w:val="20"/>
          <w:szCs w:val="20"/>
          <w:color w:val="auto"/>
        </w:rPr>
      </w:pPr>
    </w:p>
    <w:p>
      <w:pPr>
        <w:ind w:left="740" w:right="4419" w:hanging="367"/>
        <w:spacing w:after="0" w:line="250" w:lineRule="auto"/>
        <w:rPr>
          <w:sz w:val="20"/>
          <w:szCs w:val="20"/>
          <w:color w:val="auto"/>
        </w:rPr>
      </w:pPr>
      <w:r>
        <w:rPr>
          <w:rFonts w:ascii="Courier New" w:cs="Courier New" w:eastAsia="Courier New" w:hAnsi="Courier New"/>
          <w:sz w:val="12"/>
          <w:szCs w:val="12"/>
          <w:color w:val="auto"/>
        </w:rPr>
        <w:t>16.2.7. all Accounts shall fairly present in all material respects (subject to adjustments which fall to be made at the end of the financial year in accordance with GAAP), the financial position and results of operations of its financial position and results of operations, as at the end of and for the Accounting Period to which they relate.</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16.3. PURPOSE</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16.4. NEGATIVE PLEDGE</w:t>
      </w:r>
    </w:p>
    <w:p>
      <w:pPr>
        <w:spacing w:after="0" w:line="147" w:lineRule="exact"/>
        <w:rPr>
          <w:sz w:val="20"/>
          <w:szCs w:val="20"/>
          <w:color w:val="auto"/>
        </w:rPr>
      </w:pPr>
    </w:p>
    <w:p>
      <w:pPr>
        <w:ind w:left="380" w:right="4359"/>
        <w:spacing w:after="0" w:line="251" w:lineRule="auto"/>
        <w:rPr>
          <w:sz w:val="20"/>
          <w:szCs w:val="20"/>
          <w:color w:val="auto"/>
        </w:rPr>
      </w:pPr>
      <w:r>
        <w:rPr>
          <w:rFonts w:ascii="Courier New" w:cs="Courier New" w:eastAsia="Courier New" w:hAnsi="Courier New"/>
          <w:sz w:val="12"/>
          <w:szCs w:val="12"/>
          <w:color w:val="auto"/>
        </w:rPr>
        <w:t>The Borrower shall not create or permit to subsist any Encumbrance on the whole or any part of its, or any of its Subsidiaries' present or future assets, business or undertaking, save for the Encumbrances under the Security Documents and for the other Permitted Encumbrances.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16.5. NO FINANCIAL INDEBTEDNESS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Save with the prior written consent of the Banks, the Borrower will not incur and will procure that the Group will not incur any Financial Indebtedness, save for Permitted Financial Indebtedness. Without limiting the generality of the aforegoing, the Borrower will not and will procure that its Subsidiaries will not make any loans or give any guarantees or incur other contingent Indebtedness, other than as referred to (and subject to the limits set out) in clause 1.1.115(e). The Borrower will deliver to the Banks, within 60 (sixty) days of the end of each Quarter during this Agreement, a certificate from the chief financial officer of the Borrower confirming compliance by the Borrower with the provisions of this clause 16.5. In addition, the Borrower shall not give any credit, save for customary credits in the Ordinary Course of Business constituting credit to customers or loans to employees.</w:t>
      </w:r>
    </w:p>
    <w:p>
      <w:pPr>
        <w:spacing w:after="0" w:line="283"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- 107 -</w:t>
      </w:r>
    </w:p>
    <w:p>
      <w:pPr>
        <w:sectPr>
          <w:pgSz w:w="11900" w:h="16838" w:orient="portrait"/>
          <w:cols w:equalWidth="0" w:num="1">
            <w:col w:w="9879"/>
          </w:cols>
          <w:pgMar w:left="580" w:top="141" w:right="1440" w:bottom="36" w:gutter="0" w:footer="0" w:header="0"/>
        </w:sectPr>
      </w:pPr>
    </w:p>
    <w:bookmarkStart w:id="117" w:name="page118"/>
    <w:bookmarkEnd w:id="117"/>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16.6. PARI PASSU RANKING</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The Borrower undertakes that its obligations under this Agreement rank and will at all times rank at least PARI PASSU in right and priority of payment and in priority of security (save by reason of and to the extent of the security afforded thereto by the Security Documents) with all its other present and future unsecured and unsubordinated obligations, other than obligations which are mandatorily preferred by law applying to companies generally.</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16.7. DISTRIBUTIONS</w:t>
      </w:r>
    </w:p>
    <w:p>
      <w:pPr>
        <w:spacing w:after="0" w:line="147" w:lineRule="exact"/>
        <w:rPr>
          <w:sz w:val="20"/>
          <w:szCs w:val="20"/>
          <w:color w:val="auto"/>
        </w:rPr>
      </w:pPr>
    </w:p>
    <w:p>
      <w:pPr>
        <w:ind w:left="380" w:right="4359"/>
        <w:spacing w:after="0" w:line="253" w:lineRule="auto"/>
        <w:rPr>
          <w:sz w:val="20"/>
          <w:szCs w:val="20"/>
          <w:color w:val="auto"/>
        </w:rPr>
      </w:pPr>
      <w:r>
        <w:rPr>
          <w:rFonts w:ascii="Courier New" w:cs="Courier New" w:eastAsia="Courier New" w:hAnsi="Courier New"/>
          <w:sz w:val="12"/>
          <w:szCs w:val="12"/>
          <w:color w:val="auto"/>
        </w:rPr>
        <w:t>The Borrower will not, prior to the date that all amounts payable by the Borrower under the Finance Documents shall have been paid in full:</w:t>
      </w:r>
    </w:p>
    <w:p>
      <w:pPr>
        <w:spacing w:after="0" w:line="138" w:lineRule="exact"/>
        <w:rPr>
          <w:sz w:val="20"/>
          <w:szCs w:val="20"/>
          <w:color w:val="auto"/>
        </w:rPr>
      </w:pPr>
    </w:p>
    <w:p>
      <w:pPr>
        <w:ind w:left="740" w:right="4419" w:hanging="367"/>
        <w:spacing w:after="0" w:line="251" w:lineRule="auto"/>
        <w:rPr>
          <w:sz w:val="20"/>
          <w:szCs w:val="20"/>
          <w:color w:val="auto"/>
        </w:rPr>
      </w:pPr>
      <w:r>
        <w:rPr>
          <w:rFonts w:ascii="Courier New" w:cs="Courier New" w:eastAsia="Courier New" w:hAnsi="Courier New"/>
          <w:sz w:val="12"/>
          <w:szCs w:val="12"/>
          <w:color w:val="auto"/>
        </w:rPr>
        <w:t>16.7.1. make or resolve to make any Distribution (other than payments with respect to Permitted Subordinated Debt specifically permitted by clause 16.7.2 below);</w:t>
      </w:r>
    </w:p>
    <w:p>
      <w:pPr>
        <w:spacing w:after="0" w:line="140"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16.7.2. make or resolve to make any repayment, prepayment or payment (in cash or in kind) of the principal of, or Interest (whether or not capitalised) or other amount on or in respect of the Permitted Subordinated Debt, save to the extent permitted under the approved terms thereof in accordance with clause 1.1.118 above (including, for the removal of doubt, all Permitted Subordinated Debt set forth on Schedule 15.13 hereto). For the removal of doubt, the Borrower shall not or make or resolve to make any other changes to or in respect of the Permitted Subordinated Debt without the prior written consent of the Banks;</w:t>
      </w:r>
    </w:p>
    <w:p>
      <w:pPr>
        <w:spacing w:after="0" w:line="141" w:lineRule="exact"/>
        <w:rPr>
          <w:sz w:val="20"/>
          <w:szCs w:val="20"/>
          <w:color w:val="auto"/>
        </w:rPr>
      </w:pPr>
    </w:p>
    <w:p>
      <w:pPr>
        <w:ind w:left="740" w:right="4359" w:hanging="367"/>
        <w:spacing w:after="0" w:line="251" w:lineRule="auto"/>
        <w:rPr>
          <w:sz w:val="20"/>
          <w:szCs w:val="20"/>
          <w:color w:val="auto"/>
        </w:rPr>
      </w:pPr>
      <w:r>
        <w:rPr>
          <w:rFonts w:ascii="Courier New" w:cs="Courier New" w:eastAsia="Courier New" w:hAnsi="Courier New"/>
          <w:sz w:val="12"/>
          <w:szCs w:val="12"/>
          <w:color w:val="auto"/>
        </w:rPr>
        <w:t>16.7.3. without derogating from clause 16.22 below, make or resolve to make any other payment or transfer of assets to or acquisition from any shareholder of the Borrower or Affiliate of any shareholder, save for:</w:t>
      </w:r>
    </w:p>
    <w:p>
      <w:pPr>
        <w:spacing w:after="0" w:line="281"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- 108 -</w:t>
      </w:r>
    </w:p>
    <w:p>
      <w:pPr>
        <w:spacing w:after="0" w:line="200" w:lineRule="exact"/>
        <w:rPr>
          <w:sz w:val="20"/>
          <w:szCs w:val="20"/>
          <w:color w:val="auto"/>
        </w:rPr>
      </w:pPr>
    </w:p>
    <w:p>
      <w:pPr>
        <w:spacing w:after="0" w:line="353" w:lineRule="exact"/>
        <w:rPr>
          <w:sz w:val="20"/>
          <w:szCs w:val="20"/>
          <w:color w:val="auto"/>
        </w:rPr>
      </w:pPr>
    </w:p>
    <w:p>
      <w:pPr>
        <w:ind w:left="1100" w:right="4359" w:hanging="360"/>
        <w:spacing w:after="0" w:line="253" w:lineRule="auto"/>
        <w:tabs>
          <w:tab w:leader="none" w:pos="1100" w:val="left"/>
        </w:tabs>
        <w:numPr>
          <w:ilvl w:val="0"/>
          <w:numId w:val="1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 to Toshiba of licence fees under the Toshiba Licence Agreement;</w:t>
      </w:r>
    </w:p>
    <w:p>
      <w:pPr>
        <w:spacing w:after="0" w:line="138" w:lineRule="exact"/>
        <w:rPr>
          <w:rFonts w:ascii="Courier New" w:cs="Courier New" w:eastAsia="Courier New" w:hAnsi="Courier New"/>
          <w:sz w:val="12"/>
          <w:szCs w:val="12"/>
          <w:color w:val="auto"/>
        </w:rPr>
      </w:pPr>
    </w:p>
    <w:p>
      <w:pPr>
        <w:ind w:left="1100" w:right="4719" w:hanging="360"/>
        <w:spacing w:after="0" w:line="251" w:lineRule="auto"/>
        <w:tabs>
          <w:tab w:leader="none" w:pos="1100" w:val="left"/>
        </w:tabs>
        <w:numPr>
          <w:ilvl w:val="0"/>
          <w:numId w:val="1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 to TIC of a management fee in an amount not to exceed US $500,000 (five hundred thousand United States Dollars) per annum;</w:t>
      </w:r>
    </w:p>
    <w:p>
      <w:pPr>
        <w:spacing w:after="0" w:line="139" w:lineRule="exact"/>
        <w:rPr>
          <w:rFonts w:ascii="Courier New" w:cs="Courier New" w:eastAsia="Courier New" w:hAnsi="Courier New"/>
          <w:sz w:val="12"/>
          <w:szCs w:val="12"/>
          <w:color w:val="auto"/>
        </w:rPr>
      </w:pPr>
    </w:p>
    <w:p>
      <w:pPr>
        <w:ind w:left="1100" w:right="4719" w:hanging="360"/>
        <w:spacing w:after="0" w:line="253" w:lineRule="auto"/>
        <w:tabs>
          <w:tab w:leader="none" w:pos="1174" w:val="left"/>
        </w:tabs>
        <w:numPr>
          <w:ilvl w:val="0"/>
          <w:numId w:val="1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 to directors of reasonable directors' fees and expenses;</w:t>
      </w:r>
    </w:p>
    <w:p>
      <w:pPr>
        <w:spacing w:after="0" w:line="138" w:lineRule="exact"/>
        <w:rPr>
          <w:rFonts w:ascii="Courier New" w:cs="Courier New" w:eastAsia="Courier New" w:hAnsi="Courier New"/>
          <w:sz w:val="12"/>
          <w:szCs w:val="12"/>
          <w:color w:val="auto"/>
        </w:rPr>
      </w:pPr>
    </w:p>
    <w:p>
      <w:pPr>
        <w:ind w:left="1100" w:right="4359" w:hanging="360"/>
        <w:spacing w:after="0" w:line="251" w:lineRule="auto"/>
        <w:tabs>
          <w:tab w:leader="none" w:pos="1100" w:val="left"/>
        </w:tabs>
        <w:numPr>
          <w:ilvl w:val="0"/>
          <w:numId w:val="1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payments or transfers contemplated under the Foundry Agreements with the Equity Wafer Partners listed in Schedule 1.1.101 hereto;</w:t>
      </w:r>
    </w:p>
    <w:p>
      <w:pPr>
        <w:spacing w:after="0" w:line="139" w:lineRule="exact"/>
        <w:rPr>
          <w:rFonts w:ascii="Courier New" w:cs="Courier New" w:eastAsia="Courier New" w:hAnsi="Courier New"/>
          <w:sz w:val="12"/>
          <w:szCs w:val="12"/>
          <w:color w:val="auto"/>
        </w:rPr>
      </w:pPr>
    </w:p>
    <w:p>
      <w:pPr>
        <w:ind w:left="1100" w:hanging="360"/>
        <w:spacing w:after="0"/>
        <w:tabs>
          <w:tab w:leader="none" w:pos="1100" w:val="left"/>
        </w:tabs>
        <w:numPr>
          <w:ilvl w:val="0"/>
          <w:numId w:val="1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payments permitted by clause 16.27.3.1 below;</w:t>
      </w:r>
    </w:p>
    <w:p>
      <w:pPr>
        <w:spacing w:after="0" w:line="147" w:lineRule="exact"/>
        <w:rPr>
          <w:rFonts w:ascii="Courier New" w:cs="Courier New" w:eastAsia="Courier New" w:hAnsi="Courier New"/>
          <w:sz w:val="12"/>
          <w:szCs w:val="12"/>
          <w:color w:val="auto"/>
        </w:rPr>
      </w:pPr>
    </w:p>
    <w:p>
      <w:pPr>
        <w:ind w:left="1100" w:right="4359" w:hanging="360"/>
        <w:spacing w:after="0" w:line="251" w:lineRule="auto"/>
        <w:tabs>
          <w:tab w:leader="none" w:pos="1100" w:val="left"/>
        </w:tabs>
        <w:numPr>
          <w:ilvl w:val="0"/>
          <w:numId w:val="1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payments in connection with the Borrower's indemnification obligation as contemplated by the undertaking from the Borrower to TIC dated November 11, 2003 with respect to what was known as the Safety Net Undertaking;</w:t>
      </w:r>
    </w:p>
    <w:p>
      <w:pPr>
        <w:spacing w:after="0" w:line="139" w:lineRule="exact"/>
        <w:rPr>
          <w:rFonts w:ascii="Courier New" w:cs="Courier New" w:eastAsia="Courier New" w:hAnsi="Courier New"/>
          <w:sz w:val="12"/>
          <w:szCs w:val="12"/>
          <w:color w:val="auto"/>
        </w:rPr>
      </w:pPr>
    </w:p>
    <w:p>
      <w:pPr>
        <w:jc w:val="center"/>
        <w:ind w:left="1100" w:right="4419" w:hanging="360"/>
        <w:spacing w:after="0" w:line="253" w:lineRule="auto"/>
        <w:tabs>
          <w:tab w:leader="none" w:pos="1174" w:val="left"/>
        </w:tabs>
        <w:numPr>
          <w:ilvl w:val="0"/>
          <w:numId w:val="1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payments to TIC in connection with the Equipment Purchase Agreement between the Borrower and TIC, dated May 17, 2006;</w:t>
      </w:r>
    </w:p>
    <w:p>
      <w:pPr>
        <w:spacing w:after="0" w:line="138" w:lineRule="exact"/>
        <w:rPr>
          <w:rFonts w:ascii="Courier New" w:cs="Courier New" w:eastAsia="Courier New" w:hAnsi="Courier New"/>
          <w:sz w:val="12"/>
          <w:szCs w:val="12"/>
          <w:color w:val="auto"/>
        </w:rPr>
      </w:pPr>
    </w:p>
    <w:p>
      <w:pPr>
        <w:ind w:left="1100" w:right="4359" w:hanging="360"/>
        <w:spacing w:after="0" w:line="253" w:lineRule="auto"/>
        <w:tabs>
          <w:tab w:leader="none" w:pos="1247" w:val="left"/>
        </w:tabs>
        <w:numPr>
          <w:ilvl w:val="0"/>
          <w:numId w:val="1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payments to SanDisk in connection with the Loan Agreement between the Borrower and SanDisk, dated August 10, 2006; and</w:t>
      </w:r>
    </w:p>
    <w:p>
      <w:pPr>
        <w:spacing w:after="0" w:line="138" w:lineRule="exact"/>
        <w:rPr>
          <w:rFonts w:ascii="Courier New" w:cs="Courier New" w:eastAsia="Courier New" w:hAnsi="Courier New"/>
          <w:sz w:val="12"/>
          <w:szCs w:val="12"/>
          <w:color w:val="auto"/>
        </w:rPr>
      </w:pPr>
    </w:p>
    <w:p>
      <w:pPr>
        <w:ind w:left="1100" w:right="4719" w:hanging="360"/>
        <w:spacing w:after="0" w:line="251" w:lineRule="auto"/>
        <w:tabs>
          <w:tab w:leader="none" w:pos="1100" w:val="left"/>
        </w:tabs>
        <w:numPr>
          <w:ilvl w:val="0"/>
          <w:numId w:val="1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payments or transfers to the Banks pursuant to: (a) the Finance Documents; (b) any other Permitted Financial Indebtedness; or (c) the Equity Documents.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16.8. INTELLECTUAL PROPERTY ASSETS</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The Borrower will:</w:t>
      </w:r>
    </w:p>
    <w:p>
      <w:pPr>
        <w:spacing w:after="0" w:line="147" w:lineRule="exact"/>
        <w:rPr>
          <w:sz w:val="20"/>
          <w:szCs w:val="20"/>
          <w:color w:val="auto"/>
        </w:rPr>
      </w:pPr>
    </w:p>
    <w:p>
      <w:pPr>
        <w:ind w:left="740" w:right="4419" w:hanging="367"/>
        <w:spacing w:after="0" w:line="250" w:lineRule="auto"/>
        <w:rPr>
          <w:sz w:val="20"/>
          <w:szCs w:val="20"/>
          <w:color w:val="auto"/>
        </w:rPr>
      </w:pPr>
      <w:r>
        <w:rPr>
          <w:rFonts w:ascii="Courier New" w:cs="Courier New" w:eastAsia="Courier New" w:hAnsi="Courier New"/>
          <w:sz w:val="12"/>
          <w:szCs w:val="12"/>
          <w:color w:val="auto"/>
        </w:rPr>
        <w:t>16.8.1. make such registrations and pay such fees and similar amounts as are necessary to keep those registered Intellectual Property Assets owned by the Borrower: (a) which are material to the conduct of the Project from time to time; or (b) over which the Banks have been granted fixed security pursuant to the Security Documents (if any), in force and to record its interest in those Intellectual Property Assets;</w:t>
      </w:r>
    </w:p>
    <w:p>
      <w:pPr>
        <w:spacing w:after="0" w:line="283"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- 109 -</w:t>
      </w:r>
    </w:p>
    <w:p>
      <w:pPr>
        <w:spacing w:after="0" w:line="200" w:lineRule="exact"/>
        <w:rPr>
          <w:sz w:val="20"/>
          <w:szCs w:val="20"/>
          <w:color w:val="auto"/>
        </w:rPr>
      </w:pPr>
    </w:p>
    <w:p>
      <w:pPr>
        <w:spacing w:after="0" w:line="353"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16.8.2. take such steps as are necessary and commercially reasonable (including the institution of Proceedings) to prevent third parties infringing those Intellectual Property Assets referred to in clause 16.8.1 above and (without prejudice to clause 16.8.1 above) take such other steps as are reasonably practicable to maintain and preserve its interests in those rights;</w:t>
      </w:r>
    </w:p>
    <w:p>
      <w:pPr>
        <w:spacing w:after="0" w:line="141" w:lineRule="exact"/>
        <w:rPr>
          <w:sz w:val="20"/>
          <w:szCs w:val="20"/>
          <w:color w:val="auto"/>
        </w:rPr>
      </w:pPr>
    </w:p>
    <w:p>
      <w:pPr>
        <w:ind w:left="740" w:right="4419" w:hanging="367"/>
        <w:spacing w:after="0" w:line="251" w:lineRule="auto"/>
        <w:rPr>
          <w:sz w:val="20"/>
          <w:szCs w:val="20"/>
          <w:color w:val="auto"/>
        </w:rPr>
      </w:pPr>
      <w:r>
        <w:rPr>
          <w:rFonts w:ascii="Courier New" w:cs="Courier New" w:eastAsia="Courier New" w:hAnsi="Courier New"/>
          <w:sz w:val="12"/>
          <w:szCs w:val="12"/>
          <w:color w:val="auto"/>
        </w:rPr>
        <w:t>16.8.3. promptly upon being required to do so by the Banks, comply with all proper instructions of the Banks which the Banks are entitled to give under the Security Documents in respect of its Intellectual Property Assets referred to in clause 16.8.2 above;</w:t>
      </w:r>
    </w:p>
    <w:p>
      <w:pPr>
        <w:spacing w:after="0" w:line="139" w:lineRule="exact"/>
        <w:rPr>
          <w:sz w:val="20"/>
          <w:szCs w:val="20"/>
          <w:color w:val="auto"/>
        </w:rPr>
      </w:pPr>
    </w:p>
    <w:p>
      <w:pPr>
        <w:ind w:left="740" w:right="4419" w:hanging="367"/>
        <w:spacing w:after="0" w:line="250" w:lineRule="auto"/>
        <w:rPr>
          <w:sz w:val="20"/>
          <w:szCs w:val="20"/>
          <w:color w:val="auto"/>
        </w:rPr>
      </w:pPr>
      <w:r>
        <w:rPr>
          <w:rFonts w:ascii="Courier New" w:cs="Courier New" w:eastAsia="Courier New" w:hAnsi="Courier New"/>
          <w:sz w:val="12"/>
          <w:szCs w:val="12"/>
          <w:color w:val="auto"/>
        </w:rPr>
        <w:t>16.8.4. not sell, transfer, lease, license on an exclusive basis or otherwise dispose of all or any part of its interest in any of the Intellectual Property Assets referred to in clause 16.8.1 above (whether in a single transaction or in a series of transactions whether related or not and whether voluntary or involuntary), save for any licence arrangements in respect of those rights entered into with any third party, where those licence arrangements are entered into on arms' length terms and in the Ordinary Course of Business and which do not adversely affect the interests of the Banks under the Finance Documents or the conduct of the Project; and</w:t>
      </w:r>
    </w:p>
    <w:p>
      <w:pPr>
        <w:spacing w:after="0" w:line="141"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16.8.5. not permit any registration of any of the Intellectual</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Property Assets referred to in clause 16.8.1 above to be</w:t>
      </w:r>
    </w:p>
    <w:p>
      <w:pPr>
        <w:sectPr>
          <w:pgSz w:w="11900" w:h="16862" w:orient="portrait"/>
          <w:cols w:equalWidth="0" w:num="1">
            <w:col w:w="9879"/>
          </w:cols>
          <w:pgMar w:left="580" w:top="283" w:right="1440" w:bottom="0" w:gutter="0" w:footer="0" w:header="0"/>
        </w:sectPr>
      </w:pPr>
    </w:p>
    <w:bookmarkStart w:id="118" w:name="page119"/>
    <w:bookmarkEnd w:id="118"/>
    <w:p>
      <w:pPr>
        <w:spacing w:after="0" w:line="13"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abandoned, cancelled or lapsed or to be liable to any claim of</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abandonment for non-use or otherwise, except in respect of</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Intellectual Property Assets, the non-registration of which shall</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not have a Material Adverse Effect.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16.9. ENVIRONMENTAL MATTERS</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The Borrower will:</w:t>
      </w:r>
    </w:p>
    <w:p>
      <w:pPr>
        <w:spacing w:after="0" w:line="147"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16.9.1. (i) obtain all Environmental Permits required for the operation of the business of the Borrower as contemplated under the Business Plan by not later than the date when such Environmental Permit is required to be obtained; (ii) comply with the terms and conditions of all Environmental Permits applicable to it; (iii) comply with all applicable Environmental Laws; (iv) use its best endeavours to prevent any Release of Materials of an Environmental Concern; and (v) remedy all Environment damage caused in connection with the Project, in each case where failure to do so would have a Material Adverse Effect; and</w:t>
      </w:r>
    </w:p>
    <w:p>
      <w:pPr>
        <w:spacing w:after="0" w:line="283"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- 110 -</w:t>
      </w:r>
    </w:p>
    <w:p>
      <w:pPr>
        <w:spacing w:after="0" w:line="200" w:lineRule="exact"/>
        <w:rPr>
          <w:sz w:val="20"/>
          <w:szCs w:val="20"/>
          <w:color w:val="auto"/>
        </w:rPr>
      </w:pPr>
    </w:p>
    <w:p>
      <w:pPr>
        <w:spacing w:after="0" w:line="353" w:lineRule="exact"/>
        <w:rPr>
          <w:sz w:val="20"/>
          <w:szCs w:val="20"/>
          <w:color w:val="auto"/>
        </w:rPr>
      </w:pPr>
    </w:p>
    <w:p>
      <w:pPr>
        <w:ind w:left="740" w:right="4499" w:hanging="367"/>
        <w:spacing w:after="0" w:line="251" w:lineRule="auto"/>
        <w:rPr>
          <w:sz w:val="20"/>
          <w:szCs w:val="20"/>
          <w:color w:val="auto"/>
        </w:rPr>
      </w:pPr>
      <w:r>
        <w:rPr>
          <w:rFonts w:ascii="Courier New" w:cs="Courier New" w:eastAsia="Courier New" w:hAnsi="Courier New"/>
          <w:sz w:val="12"/>
          <w:szCs w:val="12"/>
          <w:color w:val="auto"/>
        </w:rPr>
        <w:t>16.9.2. promptly upon receipt of the same, notify the Banks of any claim, notice or other communication served on it in respect of any alleged breach of or corrective or remedial obligation or liability under any Environmental Law.</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16.10. INSURANCE</w:t>
      </w:r>
    </w:p>
    <w:p>
      <w:pPr>
        <w:spacing w:after="0" w:line="147"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16.10.1. Until the date upon which all amounts payable by the Borrower under the Finance Documents shall have been paid in full, the Borrower will insure and keep insured all such properties and assets of the Borrower, with reputable insurance companies or underwriters approved by the Banks, to such extent, at such times and against such risks, as described in the schedule to the Insurance Report (including with respect to deductibles, exclusions and exceptions) (the Insurance Report to be revised only at the recommendation of the Insurance Advisor and subject to the consent of the Borrower and the Banks) and the Borrower will procure that all the Insurance Policies required under the Insurance Report as aforesaid shall, for so long as so required in accordance with the Insurance Report, be in full force and effect and legal, valid, binding and enforceable in accordance with their respective terms. Without limiting the generality of the aforegoing, the Borrower shall ensure that at all times the proceeds of all Insurance Policies in force payable in the event of loss of Fab 2 or of the Project shall be equal to at least 110% (one hundred and ten percent) of the Total Outstandings at such time.</w:t>
      </w:r>
    </w:p>
    <w:p>
      <w:pPr>
        <w:spacing w:after="0" w:line="141" w:lineRule="exact"/>
        <w:rPr>
          <w:sz w:val="20"/>
          <w:szCs w:val="20"/>
          <w:color w:val="auto"/>
        </w:rPr>
      </w:pPr>
    </w:p>
    <w:p>
      <w:pPr>
        <w:ind w:left="740" w:right="4359" w:hanging="367"/>
        <w:spacing w:after="0" w:line="251" w:lineRule="auto"/>
        <w:rPr>
          <w:sz w:val="20"/>
          <w:szCs w:val="20"/>
          <w:color w:val="auto"/>
        </w:rPr>
      </w:pPr>
      <w:r>
        <w:rPr>
          <w:rFonts w:ascii="Courier New" w:cs="Courier New" w:eastAsia="Courier New" w:hAnsi="Courier New"/>
          <w:sz w:val="12"/>
          <w:szCs w:val="12"/>
          <w:color w:val="auto"/>
        </w:rPr>
        <w:t>16.10.2. The Borrower will promptly after becoming aware of the relevant requirement, effect and maintain all insurances required by the terms of any applicable law or any Contract binding on it.</w:t>
      </w:r>
    </w:p>
    <w:p>
      <w:pPr>
        <w:spacing w:after="0" w:line="140"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16.10.3. The Borrower will ensure that it has such insurance coverage in respect of any risks or liabilities other than those specified in the Insurance Report as would from time to time generally and customarily be insured by a company carrying on a business similar to the Business.</w:t>
      </w:r>
    </w:p>
    <w:p>
      <w:pPr>
        <w:spacing w:after="0" w:line="283"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- 111 -</w:t>
      </w:r>
    </w:p>
    <w:p>
      <w:pPr>
        <w:spacing w:after="0" w:line="200" w:lineRule="exact"/>
        <w:rPr>
          <w:sz w:val="20"/>
          <w:szCs w:val="20"/>
          <w:color w:val="auto"/>
        </w:rPr>
      </w:pPr>
    </w:p>
    <w:p>
      <w:pPr>
        <w:spacing w:after="0" w:line="353"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16.10.4. Subject as hereinafter provided, the Borrower may, at its discretion at any time, effect such other insurances in addition to or supplementing those referred to in this clause 16.10 as it may think fit; provided that, such supplementary insurance shall not adversely affect any insured party's rights or ability to recover under the insurance referred to in this clause 16.10 and the Borrower shall notify the Banks at least annually of any material insurances effected since the previous such notification pursuant to this clause 16.10.</w:t>
      </w:r>
    </w:p>
    <w:p>
      <w:pPr>
        <w:spacing w:after="0" w:line="141"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2"/>
          <w:szCs w:val="12"/>
          <w:color w:val="auto"/>
        </w:rPr>
        <w:t>16.10.5. The Borrower shall pay all premiums on all Insurance Policies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when due and the Borrower shall maintain and comply with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provisions of the Insurance Policies and the Borrower shall</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ensure that the Insurance Policies do not become void or</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voidable. The Borrower will promptly supply to the Banks on</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request evidence reasonably satisfactory to the Banks of payment</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of all premiums and other amounts payable by it under and a</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certified copy of, each insurance policy taken out and maintained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by it pursuant to this clause 16.10, together with such other</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information as to the Insurance Policies taken out pursuant</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hereto (including regarding renewals thereof) as the Banks may</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reasonably request.</w:t>
      </w:r>
    </w:p>
    <w:p>
      <w:pPr>
        <w:spacing w:after="0" w:line="147" w:lineRule="exact"/>
        <w:rPr>
          <w:sz w:val="20"/>
          <w:szCs w:val="20"/>
          <w:color w:val="auto"/>
        </w:rPr>
      </w:pPr>
    </w:p>
    <w:p>
      <w:pPr>
        <w:ind w:left="740" w:right="4419" w:hanging="367"/>
        <w:spacing w:after="0" w:line="251" w:lineRule="auto"/>
        <w:rPr>
          <w:sz w:val="20"/>
          <w:szCs w:val="20"/>
          <w:color w:val="auto"/>
        </w:rPr>
      </w:pPr>
      <w:r>
        <w:rPr>
          <w:rFonts w:ascii="Courier New" w:cs="Courier New" w:eastAsia="Courier New" w:hAnsi="Courier New"/>
          <w:sz w:val="12"/>
          <w:szCs w:val="12"/>
          <w:color w:val="auto"/>
        </w:rPr>
        <w:t>16.10.6. The Borrower shall ensure that, in respect of each Insurance Policy taken out pursuant to clause 16.10.1 (except for third party insurances as referred to in the schedule to the Insurance Report):</w:t>
      </w:r>
    </w:p>
    <w:p>
      <w:pPr>
        <w:spacing w:after="0" w:line="139" w:lineRule="exact"/>
        <w:rPr>
          <w:sz w:val="20"/>
          <w:szCs w:val="20"/>
          <w:color w:val="auto"/>
        </w:rPr>
      </w:pPr>
    </w:p>
    <w:p>
      <w:pPr>
        <w:ind w:left="1100" w:right="4939" w:hanging="360"/>
        <w:spacing w:after="0" w:line="253" w:lineRule="auto"/>
        <w:tabs>
          <w:tab w:leader="none" w:pos="1100"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clause is endorsed upon such policy in the form of SCHEDULE 16.10.6(A) hereto;</w:t>
      </w:r>
    </w:p>
    <w:p>
      <w:pPr>
        <w:spacing w:after="0" w:line="138" w:lineRule="exact"/>
        <w:rPr>
          <w:rFonts w:ascii="Courier New" w:cs="Courier New" w:eastAsia="Courier New" w:hAnsi="Courier New"/>
          <w:sz w:val="12"/>
          <w:szCs w:val="12"/>
          <w:color w:val="auto"/>
        </w:rPr>
      </w:pPr>
    </w:p>
    <w:p>
      <w:pPr>
        <w:ind w:left="1100" w:right="4359" w:hanging="360"/>
        <w:spacing w:after="0" w:line="250" w:lineRule="auto"/>
        <w:tabs>
          <w:tab w:leader="none" w:pos="1100"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 undertaking is endorsed upon such policy by the insurer to notify the Banks promptly in writing if the premium or other moneys payable under such policy are not paid when due and to refrain from cancelling such policy by reason only of the non-payment of such moneys for a period of at least 120 (one hundred and twenty) days from the due date;</w:t>
      </w:r>
    </w:p>
    <w:p>
      <w:pPr>
        <w:spacing w:after="0" w:line="283" w:lineRule="exact"/>
        <w:rPr>
          <w:rFonts w:ascii="Courier New" w:cs="Courier New" w:eastAsia="Courier New" w:hAnsi="Courier New"/>
          <w:sz w:val="12"/>
          <w:szCs w:val="12"/>
          <w:color w:val="auto"/>
        </w:rPr>
      </w:pPr>
    </w:p>
    <w:p>
      <w:pPr>
        <w:ind w:left="2440" w:hanging="154"/>
        <w:spacing w:after="0"/>
        <w:tabs>
          <w:tab w:leader="none" w:pos="2440" w:val="left"/>
        </w:tabs>
        <w:numPr>
          <w:ilvl w:val="1"/>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112 -</w:t>
      </w:r>
    </w:p>
    <w:p>
      <w:pPr>
        <w:spacing w:after="0" w:line="200" w:lineRule="exact"/>
        <w:rPr>
          <w:rFonts w:ascii="Courier New" w:cs="Courier New" w:eastAsia="Courier New" w:hAnsi="Courier New"/>
          <w:sz w:val="12"/>
          <w:szCs w:val="12"/>
          <w:color w:val="auto"/>
        </w:rPr>
      </w:pPr>
    </w:p>
    <w:p>
      <w:pPr>
        <w:spacing w:after="0" w:line="353" w:lineRule="exact"/>
        <w:rPr>
          <w:rFonts w:ascii="Courier New" w:cs="Courier New" w:eastAsia="Courier New" w:hAnsi="Courier New"/>
          <w:sz w:val="12"/>
          <w:szCs w:val="12"/>
          <w:color w:val="auto"/>
        </w:rPr>
      </w:pPr>
    </w:p>
    <w:p>
      <w:pPr>
        <w:ind w:left="1100" w:right="4419" w:hanging="360"/>
        <w:spacing w:after="0" w:line="251" w:lineRule="auto"/>
        <w:tabs>
          <w:tab w:leader="none" w:pos="1100"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provision is endorsed upon such policy to the effect that the relevant insurance company waives any rights of contribution arising against any other insurance taken out</w:t>
      </w:r>
    </w:p>
    <w:p>
      <w:pPr>
        <w:sectPr>
          <w:pgSz w:w="11900" w:h="16851" w:orient="portrait"/>
          <w:cols w:equalWidth="0" w:num="1">
            <w:col w:w="9879"/>
          </w:cols>
          <w:pgMar w:left="580" w:top="141" w:right="1440" w:bottom="0" w:gutter="0" w:footer="0" w:header="0"/>
        </w:sectPr>
      </w:pPr>
    </w:p>
    <w:bookmarkStart w:id="119" w:name="page120"/>
    <w:bookmarkEnd w:id="119"/>
    <w:p>
      <w:pPr>
        <w:spacing w:after="0" w:line="24"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by the Banks in respect of payments made by it and any</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rights of subrogation arising in respect of the rights of</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the Banks under the Finance Documents;</w:t>
      </w:r>
    </w:p>
    <w:p>
      <w:pPr>
        <w:spacing w:after="0" w:line="147" w:lineRule="exact"/>
        <w:rPr>
          <w:sz w:val="20"/>
          <w:szCs w:val="20"/>
          <w:color w:val="auto"/>
        </w:rPr>
      </w:pPr>
    </w:p>
    <w:p>
      <w:pPr>
        <w:ind w:left="1100" w:right="4359" w:hanging="360"/>
        <w:spacing w:after="0" w:line="250" w:lineRule="auto"/>
        <w:tabs>
          <w:tab w:leader="none" w:pos="1100"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notice of assignment by way of charge in respect of all the Insurance Policies (other than under Insurance Policies in respect of liability of the Borrower to third parties or of liability of the Borrower for damage to property of third parties or of the type listed in SCHEDULE 16.10.6(D) attached hereto) is duly given to the relevant insurers in accordance with the Debenture and such insurers shall have given acknowledgments thereof, pursuant to which, INTER ALIA, all proceeds of the Insurance Policies are to be paid directly to the Banks by way of payment into the Project Account;</w:t>
      </w:r>
    </w:p>
    <w:p>
      <w:pPr>
        <w:spacing w:after="0" w:line="282" w:lineRule="exact"/>
        <w:rPr>
          <w:rFonts w:ascii="Courier New" w:cs="Courier New" w:eastAsia="Courier New" w:hAnsi="Courier New"/>
          <w:sz w:val="12"/>
          <w:szCs w:val="12"/>
          <w:color w:val="auto"/>
        </w:rPr>
      </w:pPr>
    </w:p>
    <w:p>
      <w:pPr>
        <w:ind w:left="1100" w:right="4419" w:hanging="360"/>
        <w:spacing w:after="0" w:line="250" w:lineRule="auto"/>
        <w:tabs>
          <w:tab w:leader="none" w:pos="1100"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Banks are joined as an additional insured (named insured) thereunder and the interests of the Banks are duly noted and endorsed upon all slips, cover notes, policies or other instruments of insurance issued or to be issued in connection therewith;</w:t>
      </w:r>
    </w:p>
    <w:p>
      <w:pPr>
        <w:spacing w:after="0" w:line="141" w:lineRule="exact"/>
        <w:rPr>
          <w:rFonts w:ascii="Courier New" w:cs="Courier New" w:eastAsia="Courier New" w:hAnsi="Courier New"/>
          <w:sz w:val="12"/>
          <w:szCs w:val="12"/>
          <w:color w:val="auto"/>
        </w:rPr>
      </w:pPr>
    </w:p>
    <w:p>
      <w:pPr>
        <w:ind w:left="1100" w:right="4939" w:hanging="360"/>
        <w:spacing w:after="0" w:line="253" w:lineRule="auto"/>
        <w:tabs>
          <w:tab w:leader="none" w:pos="1100"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insurers agree that the Banks are not liable for premiums or other policy obligations.</w:t>
      </w:r>
    </w:p>
    <w:p>
      <w:pPr>
        <w:spacing w:after="0" w:line="138" w:lineRule="exact"/>
        <w:rPr>
          <w:sz w:val="20"/>
          <w:szCs w:val="20"/>
          <w:color w:val="auto"/>
        </w:rPr>
      </w:pPr>
    </w:p>
    <w:p>
      <w:pPr>
        <w:ind w:left="740" w:right="4499" w:hanging="367"/>
        <w:spacing w:after="0" w:line="250" w:lineRule="auto"/>
        <w:rPr>
          <w:sz w:val="20"/>
          <w:szCs w:val="20"/>
          <w:color w:val="auto"/>
        </w:rPr>
      </w:pPr>
      <w:r>
        <w:rPr>
          <w:rFonts w:ascii="Courier New" w:cs="Courier New" w:eastAsia="Courier New" w:hAnsi="Courier New"/>
          <w:sz w:val="12"/>
          <w:szCs w:val="12"/>
          <w:color w:val="auto"/>
        </w:rPr>
        <w:t>16.10.7. The Borrower will ensure that (other than third party liability insurance (as referred to in the schedule to the Insurance Report)) all of the Insurance Policies required to be taken out and maintained by it pursuant to this clause 16.10 shall be contain provisions providing for payment in the manner described in clause 16.10.6(d) above.</w:t>
      </w:r>
    </w:p>
    <w:p>
      <w:pPr>
        <w:spacing w:after="0" w:line="141"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16.10.8. All moneys received or receivable under any insurances in respect of property or assets damaged or destroyed or otherwise shall be paid into the Project Account and may, unless required to be prepaid in accordance with clause 8.1.1 above, thereafter promptly be applied: (i) subject to (ii) below, in repairing, replacing, restoring or rebuilding the property or assets damaged or destroyed or applied in respect of the Project or (in the case of third party liability cover), in satisfaction of the third party liability in question; or (ii) on and after the occurrence of a Default and for so long as such Default is continuing, at the option of the Banks: (A) to prepay the Loans in accordance with clause 7 above; or (B) in repairing, replacing, restoring or rebuilding the property or assets damaged or destroyed or applied in respect of the Project as the Banks reasonably see fit as permitted pursuant to this Agreement or (in the case of third party liability cover) in satisfaction of the third party liability in question.</w:t>
      </w:r>
    </w:p>
    <w:p>
      <w:pPr>
        <w:spacing w:after="0" w:line="283"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- 113 -</w:t>
      </w:r>
    </w:p>
    <w:p>
      <w:pPr>
        <w:spacing w:after="0" w:line="200" w:lineRule="exact"/>
        <w:rPr>
          <w:sz w:val="20"/>
          <w:szCs w:val="20"/>
          <w:color w:val="auto"/>
        </w:rPr>
      </w:pPr>
    </w:p>
    <w:p>
      <w:pPr>
        <w:spacing w:after="0" w:line="353"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16.10.9. The Borrower shall promptly notify the Banks of any insurance claim where the amount of such claim exceeds US $2,500,000 (two million five hundred thousand United States Dollars) (or its equivalent, on the date on which the claim is made, in the currency in which such claim is made) and of any insurance claims which, in the aggregate, exceed US $5,000,000 (five million United States Dollars) (or their respective equivalents, as aforesaid).</w:t>
      </w: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16.11. MERGERS AND AMALGAMATIONS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The Borrower will not, and will procure that its Subsidiaries will not, enter into or resolve to approve any merger, consolidation, amalgamation or scheme of reconstruction or in any way transfer its or their respective businesses or part thereof, save with the prior written consent of the Banks.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16.12. CONSENTS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The Borrower will obtain every Consent required for the Project or Fab 2 or to perform its obligations under this Agreement, under any other Finance Document and under any Material Contract and ensure that: (a) none of the Consents is revoked, cancelled, suspended, withdrawn, terminated, expires or is not renewed or otherwise ceases to be in full force and effect; and (b) no Consent is modified and that it does not commit any breach of the terms or conditions of any Consent (save for a breach which cannot be a cause for revocation of such Consent or for variation thereof materially adverse to the Borrower). The Borrower will promptly furnish to the Banks certified copies of all Consents.</w:t>
      </w: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16.13. MATERIAL CONTRACTS</w:t>
      </w:r>
    </w:p>
    <w:p>
      <w:pPr>
        <w:spacing w:after="0" w:line="147"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16.13.1. The Borrower shall comply with the terms of each of the Material Contracts, save for any non-compliance which: (i) is not material; and (ii) cannot constitute (including with the passage of time or the giving of notice) a cause of action permitting cancellation of any such Material Contract or any variation thereof materially adverse to the Borrower).</w:t>
      </w:r>
    </w:p>
    <w:p>
      <w:pPr>
        <w:spacing w:after="0" w:line="283"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- 114 -</w:t>
      </w:r>
    </w:p>
    <w:p>
      <w:pPr>
        <w:spacing w:after="0" w:line="200" w:lineRule="exact"/>
        <w:rPr>
          <w:sz w:val="20"/>
          <w:szCs w:val="20"/>
          <w:color w:val="auto"/>
        </w:rPr>
      </w:pPr>
    </w:p>
    <w:p>
      <w:pPr>
        <w:spacing w:after="0" w:line="353" w:lineRule="exact"/>
        <w:rPr>
          <w:sz w:val="20"/>
          <w:szCs w:val="20"/>
          <w:color w:val="auto"/>
        </w:rPr>
      </w:pPr>
    </w:p>
    <w:p>
      <w:pPr>
        <w:ind w:left="740" w:right="4419" w:hanging="367"/>
        <w:spacing w:after="0" w:line="250" w:lineRule="auto"/>
        <w:rPr>
          <w:sz w:val="20"/>
          <w:szCs w:val="20"/>
          <w:color w:val="auto"/>
        </w:rPr>
      </w:pPr>
      <w:r>
        <w:rPr>
          <w:rFonts w:ascii="Courier New" w:cs="Courier New" w:eastAsia="Courier New" w:hAnsi="Courier New"/>
          <w:sz w:val="12"/>
          <w:szCs w:val="12"/>
          <w:color w:val="auto"/>
        </w:rPr>
        <w:t>16.13.2. The Borrower shall not, without the prior written consent of the Banks (the Banks to inform the Borrower within 20 (twenty) Business Days of having been requested in writing, such request to be accompanied by all relevant information relating thereto), amend, cancel, terminate, suspend, supplement, supersede, or waive any term of, a Material Contract, save, in the case where such action is not materially adverse to the interests of the Borrower or the Banks.</w:t>
      </w:r>
    </w:p>
    <w:p>
      <w:pPr>
        <w:spacing w:after="0" w:line="141"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2"/>
          <w:szCs w:val="12"/>
          <w:color w:val="auto"/>
        </w:rPr>
        <w:t>16.13.3. The Borrower shall take all reasonable action necessary to</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perfect, preserve and enforce all of its rights under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Material Contracts, save where failure to take such action would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not be materially adverse to the Borrower.</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16.13.4. [INTENTIONALLY DELETED]</w:t>
      </w:r>
    </w:p>
    <w:p>
      <w:pPr>
        <w:sectPr>
          <w:pgSz w:w="11900" w:h="16862" w:orient="portrait"/>
          <w:cols w:equalWidth="0" w:num="1">
            <w:col w:w="9879"/>
          </w:cols>
          <w:pgMar w:left="580" w:top="141" w:right="1440" w:bottom="0" w:gutter="0" w:footer="0" w:header="0"/>
        </w:sectPr>
      </w:pPr>
    </w:p>
    <w:bookmarkStart w:id="120" w:name="page121"/>
    <w:bookmarkEnd w:id="120"/>
    <w:p>
      <w:pPr>
        <w:spacing w:after="0" w:line="31" w:lineRule="exact"/>
        <w:rPr>
          <w:sz w:val="20"/>
          <w:szCs w:val="20"/>
          <w:color w:val="auto"/>
        </w:rPr>
      </w:pPr>
    </w:p>
    <w:p>
      <w:pPr>
        <w:ind w:left="740" w:right="4499" w:hanging="367"/>
        <w:spacing w:after="0" w:line="250" w:lineRule="auto"/>
        <w:rPr>
          <w:sz w:val="20"/>
          <w:szCs w:val="20"/>
          <w:color w:val="auto"/>
        </w:rPr>
      </w:pPr>
      <w:r>
        <w:rPr>
          <w:rFonts w:ascii="Courier New" w:cs="Courier New" w:eastAsia="Courier New" w:hAnsi="Courier New"/>
          <w:sz w:val="12"/>
          <w:szCs w:val="12"/>
          <w:color w:val="auto"/>
        </w:rPr>
        <w:t>16.13.5. The Borrower shall use its best efforts to procure that all Material Contracts entered into after the date hereof are duly pledged to the Banks by way of first-ranking fixed charge (assignment by way of charge) under the Debenture and otherwise perfected in accordance with its terms.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16.14. AUDITORS</w:t>
      </w:r>
    </w:p>
    <w:p>
      <w:pPr>
        <w:spacing w:after="0" w:line="147" w:lineRule="exact"/>
        <w:rPr>
          <w:sz w:val="20"/>
          <w:szCs w:val="20"/>
          <w:color w:val="auto"/>
        </w:rPr>
      </w:pPr>
    </w:p>
    <w:p>
      <w:pPr>
        <w:ind w:left="740" w:right="4419" w:hanging="367"/>
        <w:spacing w:after="0" w:line="250" w:lineRule="auto"/>
        <w:rPr>
          <w:sz w:val="20"/>
          <w:szCs w:val="20"/>
          <w:color w:val="auto"/>
        </w:rPr>
      </w:pPr>
      <w:r>
        <w:rPr>
          <w:rFonts w:ascii="Courier New" w:cs="Courier New" w:eastAsia="Courier New" w:hAnsi="Courier New"/>
          <w:sz w:val="12"/>
          <w:szCs w:val="12"/>
          <w:color w:val="auto"/>
        </w:rPr>
        <w:t>16.14.1. If the Borrower wishes to change its Auditors it will notify the Banks as to the reasons for any such proposed change and if the Banks so request, will instruct the audit partner of each of the outgoing firm of Auditors and the replacement firm of Auditors to discuss the financial position of the Borrower with the Banks.</w:t>
      </w:r>
    </w:p>
    <w:p>
      <w:pPr>
        <w:spacing w:after="0" w:line="141" w:lineRule="exact"/>
        <w:rPr>
          <w:sz w:val="20"/>
          <w:szCs w:val="20"/>
          <w:color w:val="auto"/>
        </w:rPr>
      </w:pPr>
    </w:p>
    <w:p>
      <w:pPr>
        <w:ind w:left="740" w:right="4499" w:hanging="367"/>
        <w:spacing w:after="0" w:line="251" w:lineRule="auto"/>
        <w:rPr>
          <w:sz w:val="20"/>
          <w:szCs w:val="20"/>
          <w:color w:val="auto"/>
        </w:rPr>
      </w:pPr>
      <w:r>
        <w:rPr>
          <w:rFonts w:ascii="Courier New" w:cs="Courier New" w:eastAsia="Courier New" w:hAnsi="Courier New"/>
          <w:sz w:val="12"/>
          <w:szCs w:val="12"/>
          <w:color w:val="auto"/>
        </w:rPr>
        <w:t>16.14.2. The Borrower will authorise the Auditors to discuss the Borrower's financial position with the Banks (and with the Bank Adviser) on the Banks' reasonable request and after notice is provided to the Borrower, at the expense of the Borrower.</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16.15. ACQUISITIONS</w:t>
      </w:r>
    </w:p>
    <w:p>
      <w:pPr>
        <w:spacing w:after="0" w:line="147" w:lineRule="exact"/>
        <w:rPr>
          <w:sz w:val="20"/>
          <w:szCs w:val="20"/>
          <w:color w:val="auto"/>
        </w:rPr>
      </w:pPr>
    </w:p>
    <w:p>
      <w:pPr>
        <w:ind w:left="740" w:right="4419" w:hanging="367"/>
        <w:spacing w:after="0" w:line="250" w:lineRule="auto"/>
        <w:rPr>
          <w:sz w:val="20"/>
          <w:szCs w:val="20"/>
          <w:color w:val="auto"/>
        </w:rPr>
      </w:pPr>
      <w:r>
        <w:rPr>
          <w:rFonts w:ascii="Courier New" w:cs="Courier New" w:eastAsia="Courier New" w:hAnsi="Courier New"/>
          <w:sz w:val="12"/>
          <w:szCs w:val="12"/>
          <w:color w:val="auto"/>
        </w:rPr>
        <w:t>16.15.1. The Borrower shall not, without the prior written consent of the Banks, make any Acquisition (including any investment of any kind in any Subsidiary or other Affiliate), unless: (a) the aggregate amount of the investment by the Borrower in all Acquisitions during the period of this Agreement does not exceed US $5,000,000 (five million United States Dollars); and (b) the Borrower shall not incur any Indebtedness (contingent or otherwise) in connection with such Acquisition, save for the amount invested as permitted under paragraph (a) above.</w:t>
      </w:r>
    </w:p>
    <w:p>
      <w:pPr>
        <w:spacing w:after="0" w:line="283"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- 115 -</w:t>
      </w:r>
    </w:p>
    <w:p>
      <w:pPr>
        <w:spacing w:after="0" w:line="200" w:lineRule="exact"/>
        <w:rPr>
          <w:sz w:val="20"/>
          <w:szCs w:val="20"/>
          <w:color w:val="auto"/>
        </w:rPr>
      </w:pPr>
    </w:p>
    <w:p>
      <w:pPr>
        <w:spacing w:after="0" w:line="353"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16.15.2. The Borrower's ability to make any Acquisition pursuant to clause 16.15.1 above will be conditional upon the Borrower using its best efforts to provide that such Acquisition is first capable of being pledged in favour of the Banks by way of a first pledge and charge under the Debenture or any other charge, in a form satisfactory to the Banks.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16.16. ACCESS</w:t>
      </w:r>
    </w:p>
    <w:p>
      <w:pPr>
        <w:spacing w:after="0" w:line="147" w:lineRule="exact"/>
        <w:rPr>
          <w:sz w:val="20"/>
          <w:szCs w:val="20"/>
          <w:color w:val="auto"/>
        </w:rPr>
      </w:pPr>
    </w:p>
    <w:p>
      <w:pPr>
        <w:ind w:left="740" w:right="4419" w:hanging="367"/>
        <w:spacing w:after="0" w:line="250" w:lineRule="auto"/>
        <w:rPr>
          <w:sz w:val="20"/>
          <w:szCs w:val="20"/>
          <w:color w:val="auto"/>
        </w:rPr>
      </w:pPr>
      <w:r>
        <w:rPr>
          <w:rFonts w:ascii="Courier New" w:cs="Courier New" w:eastAsia="Courier New" w:hAnsi="Courier New"/>
          <w:sz w:val="12"/>
          <w:szCs w:val="12"/>
          <w:color w:val="auto"/>
        </w:rPr>
        <w:t>16.16.1. The Borrower shall, subject to prior coordination with the Borrower of the time, permit any professional adviser (including the Bank Adviser) to the Banks or representative of the Banks to have access to the Borrower's corporate, financial and operational books, records, accounts, documents, computer programmes, data or other information in the possession of or available to it, subject to such adviser executing a confidentiality undertaking in customary form reasonably acceptable to the Banks and the Borrower and to take such copies as may be considered appropriate by such representative or professional adviser and to discuss the affairs, finances and Accounts of the Borrower with the directors, officers and Auditors of the Borrower, all at such reasonable times after giving written notice and as often as the Banks may from time to time request. For the removal of doubt, the Consulting Engineer, the Bank Adviser and such other professional advisors shall be entitled to reveal to the Banks all confidential information regarding the Borrower to which it has access.</w:t>
      </w:r>
    </w:p>
    <w:p>
      <w:pPr>
        <w:spacing w:after="0" w:line="141"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16.16.2. The Borrower will procure that the Consulting Engineer and any other persons designated in writing by the Banks shall have full access to all sites on which activities or works relating to Fab 2 or for the performance of the Project are carried out from time to time, to inspect the Project and the progress thereof at all times, to receive reports regarding receipt of raw materials, equipment and progress, to receive copies of all technical correspondence, records and documentation relating to the Project, to attend all testing and otherwise to have access to all other aspects of the Project.</w:t>
      </w:r>
    </w:p>
    <w:p>
      <w:pPr>
        <w:spacing w:after="0" w:line="283"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- 116 -</w:t>
      </w:r>
    </w:p>
    <w:p>
      <w:pPr>
        <w:spacing w:after="0" w:line="200" w:lineRule="exact"/>
        <w:rPr>
          <w:sz w:val="20"/>
          <w:szCs w:val="20"/>
          <w:color w:val="auto"/>
        </w:rPr>
      </w:pPr>
    </w:p>
    <w:p>
      <w:pPr>
        <w:spacing w:after="0" w:line="353"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16.16.3. For the avoidance of doubt, no information or access provided to any of the Banks' professional advisors, including, the adviser to the Banks on financial and accounting matters ("THE BANK ADVISER"), pursuant to this Agreement shall release the Borrower from its obligations to make and provide, and to be fully responsible for, all reports and notices as shall be required under this Agreement, or in any way place any responsibility on the Banks with respect to the Borrower or to any third parties with respect to such information and access, including, any claim that any knowledge obtained by the Banks' professional advisors (including the Bank Advisor), constitutes any waiver of any nature or acceptance by the Banks of any such matter or matters as to which the Banks' professional advisors (including the Bank Advisor) obtain knowledge.</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16.17. CAPITAL EXPENDITURE</w:t>
      </w:r>
    </w:p>
    <w:p>
      <w:pPr>
        <w:spacing w:after="0" w:line="147" w:lineRule="exact"/>
        <w:rPr>
          <w:sz w:val="20"/>
          <w:szCs w:val="20"/>
          <w:color w:val="auto"/>
        </w:rPr>
      </w:pPr>
    </w:p>
    <w:p>
      <w:pPr>
        <w:ind w:left="740" w:right="4359" w:hanging="367"/>
        <w:spacing w:after="0" w:line="251" w:lineRule="auto"/>
        <w:rPr>
          <w:sz w:val="20"/>
          <w:szCs w:val="20"/>
          <w:color w:val="auto"/>
        </w:rPr>
      </w:pPr>
      <w:r>
        <w:rPr>
          <w:rFonts w:ascii="Courier New" w:cs="Courier New" w:eastAsia="Courier New" w:hAnsi="Courier New"/>
          <w:sz w:val="12"/>
          <w:szCs w:val="12"/>
          <w:color w:val="auto"/>
        </w:rPr>
        <w:t>16.17.1. The Borrower will not incur any capital expenditure, save for the specified capital costs in accordance with the Business Plan, including for Fab 1 and Fab 2 and Acquisitions which are permitted hereby.</w:t>
      </w:r>
    </w:p>
    <w:p>
      <w:pPr>
        <w:spacing w:after="0" w:line="139"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16.17.2. Without limiting the generality of the aforegoing, the Borrower shall procure that all investments (including in Paid-in Equity, by way of capital notes, and the Investment Centre Fab 2 Grants) and all income of whatsoever nature received, is applied in accordance with the Business Plan.</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16.18. ORGANISATIONAL DOCUMENTS</w:t>
      </w:r>
    </w:p>
    <w:p>
      <w:pPr>
        <w:spacing w:after="0" w:line="147" w:lineRule="exact"/>
        <w:rPr>
          <w:sz w:val="20"/>
          <w:szCs w:val="20"/>
          <w:color w:val="auto"/>
        </w:rPr>
      </w:pPr>
    </w:p>
    <w:p>
      <w:pPr>
        <w:ind w:left="380" w:right="4419"/>
        <w:spacing w:after="0" w:line="251" w:lineRule="auto"/>
        <w:rPr>
          <w:sz w:val="20"/>
          <w:szCs w:val="20"/>
          <w:color w:val="auto"/>
        </w:rPr>
      </w:pPr>
      <w:r>
        <w:rPr>
          <w:rFonts w:ascii="Courier New" w:cs="Courier New" w:eastAsia="Courier New" w:hAnsi="Courier New"/>
          <w:sz w:val="12"/>
          <w:szCs w:val="12"/>
          <w:color w:val="auto"/>
        </w:rPr>
        <w:t>The Borrower shall not amend its Articles of Association or other Organisational Documents in any respect materially adverse to the interests of the Banks under the Finance Documents, without the prior</w:t>
      </w:r>
    </w:p>
    <w:p>
      <w:pPr>
        <w:sectPr>
          <w:pgSz w:w="11900" w:h="16870" w:orient="portrait"/>
          <w:cols w:equalWidth="0" w:num="1">
            <w:col w:w="9879"/>
          </w:cols>
          <w:pgMar w:left="580" w:top="283" w:right="1440" w:bottom="0" w:gutter="0" w:footer="0" w:header="0"/>
        </w:sectPr>
      </w:pPr>
    </w:p>
    <w:bookmarkStart w:id="121" w:name="page122"/>
    <w:bookmarkEnd w:id="121"/>
    <w:p>
      <w:pPr>
        <w:spacing w:after="0" w:line="12" w:lineRule="exact"/>
        <w:rPr>
          <w:sz w:val="20"/>
          <w:szCs w:val="20"/>
          <w:color w:val="auto"/>
        </w:rPr>
      </w:pPr>
    </w:p>
    <w:p>
      <w:pPr>
        <w:ind w:left="380" w:right="4499"/>
        <w:spacing w:after="0" w:line="251" w:lineRule="auto"/>
        <w:rPr>
          <w:sz w:val="20"/>
          <w:szCs w:val="20"/>
          <w:color w:val="auto"/>
        </w:rPr>
      </w:pPr>
      <w:r>
        <w:rPr>
          <w:rFonts w:ascii="Courier New" w:cs="Courier New" w:eastAsia="Courier New" w:hAnsi="Courier New"/>
          <w:sz w:val="12"/>
          <w:szCs w:val="12"/>
          <w:color w:val="auto"/>
        </w:rPr>
        <w:t>written consent of the Banks. For the purposes of this clause 16.18, the term "FINANCE DOCUMENTS" shall be deemed not to include any shares, Warrants and capital notes issued by the Borrower to the Banks.</w:t>
      </w:r>
    </w:p>
    <w:p>
      <w:pPr>
        <w:spacing w:after="0" w:line="281"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- 117 -</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16.19. PROJECT</w:t>
      </w:r>
    </w:p>
    <w:p>
      <w:pPr>
        <w:spacing w:after="0" w:line="147"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16.19.1. The Borrower will not: (i) delegate the management of the Project to any other person; (ii) abandon all or any part of the Project, save with the consent of the Banks; or (ii) maintain any bank account in connection with the Project (or any payments or receipts in relation thereto), save for the Charged Accounts and for accounts as permitted pursuant to clauses 16.31.3(i) and (ii) below.</w:t>
      </w:r>
    </w:p>
    <w:p>
      <w:pPr>
        <w:spacing w:after="0" w:line="141" w:lineRule="exact"/>
        <w:rPr>
          <w:sz w:val="20"/>
          <w:szCs w:val="20"/>
          <w:color w:val="auto"/>
        </w:rPr>
      </w:pPr>
    </w:p>
    <w:p>
      <w:pPr>
        <w:jc w:val="right"/>
        <w:ind w:left="380" w:right="4419"/>
        <w:spacing w:after="0" w:line="253" w:lineRule="auto"/>
        <w:rPr>
          <w:sz w:val="20"/>
          <w:szCs w:val="20"/>
          <w:color w:val="auto"/>
        </w:rPr>
      </w:pPr>
      <w:r>
        <w:rPr>
          <w:rFonts w:ascii="Courier New" w:cs="Courier New" w:eastAsia="Courier New" w:hAnsi="Courier New"/>
          <w:sz w:val="12"/>
          <w:szCs w:val="12"/>
          <w:color w:val="auto"/>
        </w:rPr>
        <w:t>16.19.2. The Borrower will use all reasonable efforts to procure that the Project is implemented in accordance with the Business Plan.</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16.20. BUSINESS PLAN</w:t>
      </w:r>
    </w:p>
    <w:p>
      <w:pPr>
        <w:spacing w:after="0" w:line="147" w:lineRule="exact"/>
        <w:rPr>
          <w:sz w:val="20"/>
          <w:szCs w:val="20"/>
          <w:color w:val="auto"/>
        </w:rPr>
      </w:pPr>
    </w:p>
    <w:p>
      <w:pPr>
        <w:ind w:left="740" w:right="4419" w:hanging="367"/>
        <w:spacing w:after="0" w:line="250" w:lineRule="auto"/>
        <w:rPr>
          <w:sz w:val="20"/>
          <w:szCs w:val="20"/>
          <w:color w:val="auto"/>
        </w:rPr>
      </w:pPr>
      <w:r>
        <w:rPr>
          <w:rFonts w:ascii="Courier New" w:cs="Courier New" w:eastAsia="Courier New" w:hAnsi="Courier New"/>
          <w:sz w:val="12"/>
          <w:szCs w:val="12"/>
          <w:color w:val="auto"/>
        </w:rPr>
        <w:t>16.20.1. The Borrower will develop the Project in accordance with the Business Plan and otherwise carry on its business in accordance with the Business Plan and will not, save with the prior written consent of the Banks, alter the Business Plan in a way which would:</w:t>
      </w:r>
    </w:p>
    <w:p>
      <w:pPr>
        <w:spacing w:after="0" w:line="141" w:lineRule="exact"/>
        <w:rPr>
          <w:sz w:val="20"/>
          <w:szCs w:val="20"/>
          <w:color w:val="auto"/>
        </w:rPr>
      </w:pPr>
    </w:p>
    <w:p>
      <w:pPr>
        <w:jc w:val="both"/>
        <w:ind w:left="1100" w:right="4579" w:hanging="360"/>
        <w:spacing w:after="0" w:line="251" w:lineRule="auto"/>
        <w:tabs>
          <w:tab w:leader="none" w:pos="1100" w:val="left"/>
        </w:tabs>
        <w:numPr>
          <w:ilvl w:val="0"/>
          <w:numId w:val="1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 the schedule for the installation of equipment in, and the completion of, Fab 2 as set forth in the Business Plan;</w:t>
      </w:r>
    </w:p>
    <w:p>
      <w:pPr>
        <w:spacing w:after="0" w:line="139" w:lineRule="exact"/>
        <w:rPr>
          <w:rFonts w:ascii="Courier New" w:cs="Courier New" w:eastAsia="Courier New" w:hAnsi="Courier New"/>
          <w:sz w:val="12"/>
          <w:szCs w:val="12"/>
          <w:color w:val="auto"/>
        </w:rPr>
      </w:pPr>
    </w:p>
    <w:p>
      <w:pPr>
        <w:ind w:left="1100" w:right="4419" w:hanging="360"/>
        <w:spacing w:after="0" w:line="251" w:lineRule="auto"/>
        <w:tabs>
          <w:tab w:leader="none" w:pos="1100" w:val="left"/>
        </w:tabs>
        <w:numPr>
          <w:ilvl w:val="0"/>
          <w:numId w:val="1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 the plan for financing the Project as set forth in the Business Plan, other than (subject to the conditions of this Agreement relating to raising of capital) with respect to capital raising transactions for the Borrower;</w:t>
      </w:r>
    </w:p>
    <w:p>
      <w:pPr>
        <w:spacing w:after="0" w:line="139" w:lineRule="exact"/>
        <w:rPr>
          <w:rFonts w:ascii="Courier New" w:cs="Courier New" w:eastAsia="Courier New" w:hAnsi="Courier New"/>
          <w:sz w:val="12"/>
          <w:szCs w:val="12"/>
          <w:color w:val="auto"/>
        </w:rPr>
      </w:pPr>
    </w:p>
    <w:p>
      <w:pPr>
        <w:ind w:left="1100" w:right="4579" w:hanging="360"/>
        <w:spacing w:after="0" w:line="253" w:lineRule="auto"/>
        <w:tabs>
          <w:tab w:leader="none" w:pos="1100" w:val="left"/>
        </w:tabs>
        <w:numPr>
          <w:ilvl w:val="0"/>
          <w:numId w:val="1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increase the cost of the Project beyond that set forth in the Business Plan;</w:t>
      </w:r>
    </w:p>
    <w:p>
      <w:pPr>
        <w:spacing w:after="0" w:line="138" w:lineRule="exact"/>
        <w:rPr>
          <w:rFonts w:ascii="Courier New" w:cs="Courier New" w:eastAsia="Courier New" w:hAnsi="Courier New"/>
          <w:sz w:val="12"/>
          <w:szCs w:val="12"/>
          <w:color w:val="auto"/>
        </w:rPr>
      </w:pPr>
    </w:p>
    <w:p>
      <w:pPr>
        <w:ind w:left="1100" w:right="4419" w:hanging="360"/>
        <w:spacing w:after="0" w:line="253" w:lineRule="auto"/>
        <w:tabs>
          <w:tab w:leader="none" w:pos="1100" w:val="left"/>
        </w:tabs>
        <w:numPr>
          <w:ilvl w:val="0"/>
          <w:numId w:val="1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 the production capacity of Fab 2 as set forth in the Business Plan; or</w:t>
      </w:r>
    </w:p>
    <w:p>
      <w:pPr>
        <w:spacing w:after="0" w:line="138" w:lineRule="exact"/>
        <w:rPr>
          <w:rFonts w:ascii="Courier New" w:cs="Courier New" w:eastAsia="Courier New" w:hAnsi="Courier New"/>
          <w:sz w:val="12"/>
          <w:szCs w:val="12"/>
          <w:color w:val="auto"/>
        </w:rPr>
      </w:pPr>
    </w:p>
    <w:p>
      <w:pPr>
        <w:ind w:left="1100" w:right="4499" w:hanging="360"/>
        <w:spacing w:after="0" w:line="253" w:lineRule="auto"/>
        <w:tabs>
          <w:tab w:leader="none" w:pos="1100" w:val="left"/>
        </w:tabs>
        <w:numPr>
          <w:ilvl w:val="0"/>
          <w:numId w:val="1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any other way which, in the opinion of the Banks, is material for the protection of the interests of the Banks.</w:t>
      </w:r>
    </w:p>
    <w:p>
      <w:pPr>
        <w:spacing w:after="0" w:line="138"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The Borrower shall give the Banks adequate prior notice of any</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proposed variation of the Business Plan.</w:t>
      </w:r>
    </w:p>
    <w:p>
      <w:pPr>
        <w:spacing w:after="0" w:line="289"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- 118 -</w:t>
      </w:r>
    </w:p>
    <w:p>
      <w:pPr>
        <w:spacing w:after="0" w:line="200" w:lineRule="exact"/>
        <w:rPr>
          <w:sz w:val="20"/>
          <w:szCs w:val="20"/>
          <w:color w:val="auto"/>
        </w:rPr>
      </w:pPr>
    </w:p>
    <w:p>
      <w:pPr>
        <w:spacing w:after="0" w:line="353"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16.20.2. The Borrower shall not make any change to the Business Plan, save with the prior written consent of the Banks. Any such change consented to as aforesaid shall amend all those provisions and Schedules contained herein which are affected by such change in order only to take account of such change provided that all such consequential changes as aforesaid have been agreed to by the Banks in writing and in advance.</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16.21. HEDGING</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The Borrower shall not enter into any Hedging Transaction, other than Permitted Hedging Transactions. "PERMITTED HEDGING TRANSACTIONS" shall mean: (i) forward transactions, swap transactions, future transactions or other similar types of transactions; or (ii) other Hedging Transactions in which the maximum financial exposure is reasonable and the exact amount thereof may be calculated pursuant to the Hedging Transaction agreement at the time such agreement is entered into, provided, in the case of both (i) and (ii), such Hedging Transaction is made with one of the Banks in respect of interest rates or currencies exposures with respect to the Group and, provided further that, the Borrower shall not: (a) enter into any Permitted Hedging Transactions for any speculative purpose; and (b) enter into any Permitted Hedging Transactions, save with the prior written consent of the Banks.</w:t>
      </w: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16.22. TRANSACTIONS WITH RELATED PERSONS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Except with the prior written consent of the Banks, the Borrower will not, directly or indirectly, purchase, acquire or lease any property from, or sell transfer or lease any property to, or otherwise have any dealings or enter into any transaction after the date of this Agreement with, any interested person (BAAL INYAN), Affiliate or any Subsidiary of the Borrower or with any Lead Investor or Affiliate of a Lead Investor, except on terms no more favourable to such other person than would apply in the case of arm's length Contracts entered into in the Ordinary Course of Business, except for transactions which are not material.</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16.23. SALE AND LEASEBACK</w:t>
      </w:r>
    </w:p>
    <w:p>
      <w:pPr>
        <w:spacing w:after="0" w:line="147" w:lineRule="exact"/>
        <w:rPr>
          <w:sz w:val="20"/>
          <w:szCs w:val="20"/>
          <w:color w:val="auto"/>
        </w:rPr>
      </w:pPr>
    </w:p>
    <w:p>
      <w:pPr>
        <w:ind w:left="380" w:right="4419"/>
        <w:spacing w:after="0" w:line="250" w:lineRule="auto"/>
        <w:rPr>
          <w:sz w:val="20"/>
          <w:szCs w:val="20"/>
          <w:color w:val="auto"/>
        </w:rPr>
      </w:pPr>
      <w:r>
        <w:rPr>
          <w:rFonts w:ascii="Courier New" w:cs="Courier New" w:eastAsia="Courier New" w:hAnsi="Courier New"/>
          <w:sz w:val="12"/>
          <w:szCs w:val="12"/>
          <w:color w:val="auto"/>
        </w:rPr>
        <w:t>The Borrower will not sell, transfer or otherwise dispose of any of its assets or any interest therein on terms whereby such asset is or may be leased to or re-acquired or acquired by the Borrower or any member of the Group in circumstances where the transaction is entered into primarily as a method of raising finance or of financing the acquisition of an asset.</w:t>
      </w:r>
    </w:p>
    <w:p>
      <w:pPr>
        <w:spacing w:after="0" w:line="283"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- 119 -</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16.24. DISPOSALS</w:t>
      </w:r>
    </w:p>
    <w:p>
      <w:pPr>
        <w:spacing w:after="0" w:line="147" w:lineRule="exact"/>
        <w:rPr>
          <w:sz w:val="20"/>
          <w:szCs w:val="20"/>
          <w:color w:val="auto"/>
        </w:rPr>
      </w:pPr>
    </w:p>
    <w:p>
      <w:pPr>
        <w:ind w:left="380" w:right="4359"/>
        <w:spacing w:after="0" w:line="251" w:lineRule="auto"/>
        <w:rPr>
          <w:sz w:val="20"/>
          <w:szCs w:val="20"/>
          <w:color w:val="auto"/>
        </w:rPr>
      </w:pPr>
      <w:r>
        <w:rPr>
          <w:rFonts w:ascii="Courier New" w:cs="Courier New" w:eastAsia="Courier New" w:hAnsi="Courier New"/>
          <w:sz w:val="12"/>
          <w:szCs w:val="12"/>
          <w:color w:val="auto"/>
        </w:rPr>
        <w:t>The Borrower will not and will procure that none of its Subsidiaries will, either in a single transaction or in a series of transactions whether related or not and whether voluntarily or involuntarily, sell,</w:t>
      </w:r>
    </w:p>
    <w:p>
      <w:pPr>
        <w:sectPr>
          <w:pgSz w:w="11900" w:h="16851" w:orient="portrait"/>
          <w:cols w:equalWidth="0" w:num="1">
            <w:col w:w="9879"/>
          </w:cols>
          <w:pgMar w:left="580" w:top="141" w:right="1440" w:bottom="0" w:gutter="0" w:footer="0" w:header="0"/>
        </w:sectPr>
      </w:pPr>
    </w:p>
    <w:bookmarkStart w:id="122" w:name="page123"/>
    <w:bookmarkEnd w:id="122"/>
    <w:p>
      <w:pPr>
        <w:spacing w:after="0" w:line="24" w:lineRule="exact"/>
        <w:rPr>
          <w:sz w:val="20"/>
          <w:szCs w:val="20"/>
          <w:color w:val="auto"/>
        </w:rPr>
      </w:pPr>
    </w:p>
    <w:p>
      <w:pPr>
        <w:ind w:left="380" w:right="4359"/>
        <w:spacing w:after="0" w:line="253" w:lineRule="auto"/>
        <w:rPr>
          <w:sz w:val="20"/>
          <w:szCs w:val="20"/>
          <w:color w:val="auto"/>
        </w:rPr>
      </w:pPr>
      <w:r>
        <w:rPr>
          <w:rFonts w:ascii="Courier New" w:cs="Courier New" w:eastAsia="Courier New" w:hAnsi="Courier New"/>
          <w:sz w:val="12"/>
          <w:szCs w:val="12"/>
          <w:color w:val="auto"/>
        </w:rPr>
        <w:t>transfer, lease or otherwise dispose of all or any part of or interest in its respective assets or undertaking to any person, save for:</w:t>
      </w:r>
    </w:p>
    <w:p>
      <w:pPr>
        <w:spacing w:after="0" w:line="138"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16.24.1. disposals in the Ordinary Course of Business;</w:t>
      </w:r>
    </w:p>
    <w:p>
      <w:pPr>
        <w:spacing w:after="0" w:line="147" w:lineRule="exact"/>
        <w:rPr>
          <w:sz w:val="20"/>
          <w:szCs w:val="20"/>
          <w:color w:val="auto"/>
        </w:rPr>
      </w:pPr>
    </w:p>
    <w:p>
      <w:pPr>
        <w:ind w:left="740" w:right="4359" w:hanging="367"/>
        <w:spacing w:after="0" w:line="251" w:lineRule="auto"/>
        <w:rPr>
          <w:sz w:val="20"/>
          <w:szCs w:val="20"/>
          <w:color w:val="auto"/>
        </w:rPr>
      </w:pPr>
      <w:r>
        <w:rPr>
          <w:rFonts w:ascii="Courier New" w:cs="Courier New" w:eastAsia="Courier New" w:hAnsi="Courier New"/>
          <w:sz w:val="12"/>
          <w:szCs w:val="12"/>
          <w:color w:val="auto"/>
        </w:rPr>
        <w:t>16.24.2. disposals of assets in exchange for or for investment in other assets performing substantially the same function which are comparable or superior as to type, value and quality;</w:t>
      </w:r>
    </w:p>
    <w:p>
      <w:pPr>
        <w:spacing w:after="0" w:line="140" w:lineRule="exact"/>
        <w:rPr>
          <w:sz w:val="20"/>
          <w:szCs w:val="20"/>
          <w:color w:val="auto"/>
        </w:rPr>
      </w:pPr>
    </w:p>
    <w:p>
      <w:pPr>
        <w:ind w:left="380"/>
        <w:spacing w:after="0"/>
        <w:tabs>
          <w:tab w:leader="none" w:pos="1080" w:val="left"/>
          <w:tab w:leader="none" w:pos="1460" w:val="left"/>
        </w:tabs>
        <w:rPr>
          <w:sz w:val="20"/>
          <w:szCs w:val="20"/>
          <w:color w:val="auto"/>
        </w:rPr>
      </w:pPr>
      <w:r>
        <w:rPr>
          <w:rFonts w:ascii="Courier New" w:cs="Courier New" w:eastAsia="Courier New" w:hAnsi="Courier New"/>
          <w:sz w:val="12"/>
          <w:szCs w:val="12"/>
          <w:color w:val="auto"/>
        </w:rPr>
        <w:t>16.24.3.</w:t>
        <w:tab/>
        <w:t>(i)</w:t>
        <w:tab/>
        <w:t>disposals of shares of a Subsidiary on arm's length</w:t>
      </w:r>
    </w:p>
    <w:p>
      <w:pPr>
        <w:spacing w:after="0" w:line="6" w:lineRule="exact"/>
        <w:rPr>
          <w:sz w:val="20"/>
          <w:szCs w:val="20"/>
          <w:color w:val="auto"/>
        </w:rPr>
      </w:pPr>
    </w:p>
    <w:p>
      <w:pPr>
        <w:ind w:left="1480"/>
        <w:spacing w:after="0"/>
        <w:rPr>
          <w:sz w:val="20"/>
          <w:szCs w:val="20"/>
          <w:color w:val="auto"/>
        </w:rPr>
      </w:pPr>
      <w:r>
        <w:rPr>
          <w:rFonts w:ascii="Courier New" w:cs="Courier New" w:eastAsia="Courier New" w:hAnsi="Courier New"/>
          <w:sz w:val="12"/>
          <w:szCs w:val="12"/>
          <w:color w:val="auto"/>
        </w:rPr>
        <w:t>terms where the business of that Subsidiary is not</w:t>
      </w:r>
    </w:p>
    <w:p>
      <w:pPr>
        <w:spacing w:after="0" w:line="6" w:lineRule="exact"/>
        <w:rPr>
          <w:sz w:val="20"/>
          <w:szCs w:val="20"/>
          <w:color w:val="auto"/>
        </w:rPr>
      </w:pPr>
    </w:p>
    <w:p>
      <w:pPr>
        <w:ind w:left="1480"/>
        <w:spacing w:after="0"/>
        <w:rPr>
          <w:sz w:val="20"/>
          <w:szCs w:val="20"/>
          <w:color w:val="auto"/>
        </w:rPr>
      </w:pPr>
      <w:r>
        <w:rPr>
          <w:rFonts w:ascii="Courier New" w:cs="Courier New" w:eastAsia="Courier New" w:hAnsi="Courier New"/>
          <w:sz w:val="12"/>
          <w:szCs w:val="12"/>
          <w:color w:val="auto"/>
        </w:rPr>
        <w:t>required for the efficient operation of the Business</w:t>
      </w:r>
    </w:p>
    <w:p>
      <w:pPr>
        <w:spacing w:after="0" w:line="6" w:lineRule="exact"/>
        <w:rPr>
          <w:sz w:val="20"/>
          <w:szCs w:val="20"/>
          <w:color w:val="auto"/>
        </w:rPr>
      </w:pPr>
    </w:p>
    <w:p>
      <w:pPr>
        <w:ind w:left="1480"/>
        <w:spacing w:after="0"/>
        <w:rPr>
          <w:sz w:val="20"/>
          <w:szCs w:val="20"/>
          <w:color w:val="auto"/>
        </w:rPr>
      </w:pPr>
      <w:r>
        <w:rPr>
          <w:rFonts w:ascii="Courier New" w:cs="Courier New" w:eastAsia="Courier New" w:hAnsi="Courier New"/>
          <w:sz w:val="12"/>
          <w:szCs w:val="12"/>
          <w:color w:val="auto"/>
        </w:rPr>
        <w:t>and such business has been, or is in the process of</w:t>
      </w:r>
    </w:p>
    <w:p>
      <w:pPr>
        <w:spacing w:after="0" w:line="6" w:lineRule="exact"/>
        <w:rPr>
          <w:sz w:val="20"/>
          <w:szCs w:val="20"/>
          <w:color w:val="auto"/>
        </w:rPr>
      </w:pPr>
    </w:p>
    <w:p>
      <w:pPr>
        <w:ind w:left="1480"/>
        <w:spacing w:after="0"/>
        <w:rPr>
          <w:sz w:val="20"/>
          <w:szCs w:val="20"/>
          <w:color w:val="auto"/>
        </w:rPr>
      </w:pPr>
      <w:r>
        <w:rPr>
          <w:rFonts w:ascii="Courier New" w:cs="Courier New" w:eastAsia="Courier New" w:hAnsi="Courier New"/>
          <w:sz w:val="12"/>
          <w:szCs w:val="12"/>
          <w:color w:val="auto"/>
        </w:rPr>
        <w:t>being, terminated;</w:t>
      </w:r>
    </w:p>
    <w:p>
      <w:pPr>
        <w:spacing w:after="0" w:line="147" w:lineRule="exact"/>
        <w:rPr>
          <w:sz w:val="20"/>
          <w:szCs w:val="20"/>
          <w:color w:val="auto"/>
        </w:rPr>
      </w:pPr>
    </w:p>
    <w:p>
      <w:pPr>
        <w:ind w:left="1480" w:right="4499" w:hanging="372"/>
        <w:spacing w:after="0" w:line="250" w:lineRule="auto"/>
        <w:tabs>
          <w:tab w:leader="none" w:pos="1480" w:val="left"/>
        </w:tabs>
        <w:numPr>
          <w:ilvl w:val="0"/>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disposals of surplus, obsolete or redundant plant and equipment or other assets or of land or buildings in connection with the termination of any business or operation not required for the efficient operation of the Business, in each case on arm's length terms; or</w:t>
      </w:r>
    </w:p>
    <w:p>
      <w:pPr>
        <w:spacing w:after="0" w:line="141"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16.24.4. any other disposal with the prior written consent of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Banks.</w:t>
      </w:r>
    </w:p>
    <w:p>
      <w:pPr>
        <w:spacing w:after="0" w:line="147" w:lineRule="exact"/>
        <w:rPr>
          <w:sz w:val="20"/>
          <w:szCs w:val="20"/>
          <w:color w:val="auto"/>
        </w:rPr>
      </w:pPr>
    </w:p>
    <w:p>
      <w:pPr>
        <w:ind w:left="380" w:right="4359"/>
        <w:spacing w:after="0" w:line="249" w:lineRule="auto"/>
        <w:rPr>
          <w:sz w:val="20"/>
          <w:szCs w:val="20"/>
          <w:color w:val="auto"/>
        </w:rPr>
      </w:pPr>
      <w:r>
        <w:rPr>
          <w:rFonts w:ascii="Courier New" w:cs="Courier New" w:eastAsia="Courier New" w:hAnsi="Courier New"/>
          <w:sz w:val="12"/>
          <w:szCs w:val="12"/>
          <w:color w:val="auto"/>
        </w:rPr>
        <w:t>Nothing in this clause 16.24, however, will permit the disposal of and the Borrower shall not dispose of: (i) any assets which are, or are intended to be, the subject of fixed security created by any Security Document except in accordance with the relevant Security Document; or</w:t>
      </w:r>
    </w:p>
    <w:p>
      <w:pPr>
        <w:spacing w:after="0" w:line="2" w:lineRule="exact"/>
        <w:rPr>
          <w:sz w:val="20"/>
          <w:szCs w:val="20"/>
          <w:color w:val="auto"/>
        </w:rPr>
      </w:pPr>
    </w:p>
    <w:p>
      <w:pPr>
        <w:ind w:left="380" w:right="4359" w:hanging="8"/>
        <w:spacing w:after="0" w:line="250" w:lineRule="auto"/>
        <w:tabs>
          <w:tab w:leader="none" w:pos="748" w:val="left"/>
        </w:tabs>
        <w:numPr>
          <w:ilvl w:val="0"/>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assets (including rights under Material Contracts) which, in accordance with clause 1.1.36(c)(i) or (ii) above are not charged in favour of the Banks under the Debenture. In the event that the Borrower shall wish to dispose of assets as referred to in clause 16.24.2 or 16.24.3(ii) above, it shall request for the Banks to release such assets from any fixed security under the relevant Security Document and, provided no Default or Event of Default has occurred, the Banks shall consent to such release, provided further that, with respect to the assets referred to in clause 16.24.2 above, such replacement assets are all duly pledged by fixed charge under the relevant Security Document. Notwithstanding any other provision herein, the Borrower shall be entitled to dispose of any shares or other securities or other similar rights of the Borrower in or in connection with Azalea Microelectronics Corporation, without the prior written consent of the Banks provided that the proceeds of any such disposal are invested in the Project in accordance with the Business Plan.</w:t>
      </w:r>
    </w:p>
    <w:p>
      <w:pPr>
        <w:spacing w:after="0" w:line="200" w:lineRule="exact"/>
        <w:rPr>
          <w:rFonts w:ascii="Courier New" w:cs="Courier New" w:eastAsia="Courier New" w:hAnsi="Courier New"/>
          <w:sz w:val="12"/>
          <w:szCs w:val="12"/>
          <w:color w:val="auto"/>
        </w:rPr>
      </w:pPr>
    </w:p>
    <w:p>
      <w:pPr>
        <w:spacing w:after="0" w:line="224" w:lineRule="exact"/>
        <w:rPr>
          <w:rFonts w:ascii="Courier New" w:cs="Courier New" w:eastAsia="Courier New" w:hAnsi="Courier New"/>
          <w:sz w:val="12"/>
          <w:szCs w:val="12"/>
          <w:color w:val="auto"/>
        </w:rPr>
      </w:pPr>
    </w:p>
    <w:p>
      <w:pPr>
        <w:ind w:left="2440" w:hanging="154"/>
        <w:spacing w:after="0"/>
        <w:tabs>
          <w:tab w:leader="none" w:pos="2440" w:val="left"/>
        </w:tabs>
        <w:numPr>
          <w:ilvl w:val="1"/>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120 -</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16.25. NOTIFICATION OF DEFAULT</w:t>
      </w:r>
    </w:p>
    <w:p>
      <w:pPr>
        <w:spacing w:after="0" w:line="147" w:lineRule="exact"/>
        <w:rPr>
          <w:sz w:val="20"/>
          <w:szCs w:val="20"/>
          <w:color w:val="auto"/>
        </w:rPr>
      </w:pPr>
    </w:p>
    <w:p>
      <w:pPr>
        <w:ind w:left="380" w:right="4359"/>
        <w:spacing w:after="0" w:line="252" w:lineRule="auto"/>
        <w:rPr>
          <w:sz w:val="20"/>
          <w:szCs w:val="20"/>
          <w:color w:val="auto"/>
        </w:rPr>
      </w:pPr>
      <w:r>
        <w:rPr>
          <w:rFonts w:ascii="Courier New" w:cs="Courier New" w:eastAsia="Courier New" w:hAnsi="Courier New"/>
          <w:sz w:val="12"/>
          <w:szCs w:val="12"/>
          <w:color w:val="auto"/>
        </w:rPr>
        <w:t>The Borrower shall notify the Banks of any Default or Event of Default of which it is aware (and the steps, if any, being taken to remedy such Default or Event of Default) promptly upon becoming aware thereof.</w:t>
      </w: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16.26. COMPLIANCE WITH LAWS</w:t>
      </w:r>
    </w:p>
    <w:p>
      <w:pPr>
        <w:spacing w:after="0" w:line="147" w:lineRule="exact"/>
        <w:rPr>
          <w:sz w:val="20"/>
          <w:szCs w:val="20"/>
          <w:color w:val="auto"/>
        </w:rPr>
      </w:pPr>
    </w:p>
    <w:p>
      <w:pPr>
        <w:ind w:left="380" w:right="4359"/>
        <w:spacing w:after="0" w:line="251" w:lineRule="auto"/>
        <w:rPr>
          <w:sz w:val="20"/>
          <w:szCs w:val="20"/>
          <w:color w:val="auto"/>
        </w:rPr>
      </w:pPr>
      <w:r>
        <w:rPr>
          <w:rFonts w:ascii="Courier New" w:cs="Courier New" w:eastAsia="Courier New" w:hAnsi="Courier New"/>
          <w:sz w:val="12"/>
          <w:szCs w:val="12"/>
          <w:color w:val="auto"/>
        </w:rPr>
        <w:t>The Borrower will, and will procure that each of its Subsidiaries will, comply in all respects material to the Banks with all applicable laws and Orders.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16.27. INVESTMENTS IN THE BORROWER</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16.27.1. [INTENTIONALLY DELETED]</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16.27.2. [INTENTIONALLY DELETED]</w:t>
      </w:r>
    </w:p>
    <w:p>
      <w:pPr>
        <w:spacing w:after="0" w:line="289"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- 121 -</w:t>
      </w:r>
    </w:p>
    <w:p>
      <w:pPr>
        <w:spacing w:after="0" w:line="200" w:lineRule="exact"/>
        <w:rPr>
          <w:sz w:val="20"/>
          <w:szCs w:val="20"/>
          <w:color w:val="auto"/>
        </w:rPr>
      </w:pPr>
    </w:p>
    <w:p>
      <w:pPr>
        <w:spacing w:after="0" w:line="211"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16.27.3.</w:t>
      </w:r>
    </w:p>
    <w:p>
      <w:pPr>
        <w:spacing w:after="0" w:line="147"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16.27.3.1. The Borrower shall cause all those Qualifying Wafer</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Prepayment Contracts listed in SCHEDULE 16.27 hereto to be</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amended to the effect (and all Qualifying Wafer Prepayment</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Contracts which the Borrower shall enter into after November</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11, 2003 shall provide) that no prepayments made to the</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Borrower with respect to the purchase of wafers may be</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reimbursed or refunded to, or utilised by, or credited in</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favour of, the wafer customer and/or designer party to the</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Qualifying Wafer Prepayment Contract providing such</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prepayment, except with respect to: (a) the utilisation of</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such prepayments towards the purchase price of wafers which</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were ordered prior to November 11, 2003 and which were or</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will be manufactured and delivered by the Borrower for such</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wafer customer and/or designer in an aggregate amount not to</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exceed US $1,100,000 (one million one hundred thousand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United States Dollars); (b) the utilisation of such</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prepayments towards the purchase price of wafers</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manufactured and delivered by the Borrower to such wafer</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customer and/or designer after December 31, 2006; and (c)</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the utilisation of such prepayments to purchase shares of</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the Borrower. The Borrower shall be entitled to pay</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quarterly, in arrears, to the counterparty to any Qualifying</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Wafer Prepayment Contract listed in Schedule 16.27 hereto</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which is amended in accordance with the aforegoing in this</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clause 16.27.3.1, Interest in respect of the amount of any</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prepayment to a counterparty which is a party as aforesaid,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in respect of the period commencing on the date stipulated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for utilisation thereof pursuant to such Qualifying Wafer</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Prepayment Contract prior to such amendment as aforesaid in</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this clause 16.27.3.1 and ending on January 1, 2007, such</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Interest to be at a rate not higher than that payable by the</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Borrower to the Banks pursuant to clause 9.1.1 above</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(provided that for the purposes of this clause 16.27.3.1</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with respect only to Qualifying Wafer Prepayment Contracts</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in full force and effect on the Amendment Closing Date and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providing for Interest payable at the rate of US LIBOR plus</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2.5% (two point five percent) per annum, clause 9.1.1(b)</w:t>
      </w:r>
    </w:p>
    <w:p>
      <w:pPr>
        <w:sectPr>
          <w:pgSz w:w="11900" w:h="16862" w:orient="portrait"/>
          <w:cols w:equalWidth="0" w:num="1">
            <w:col w:w="9879"/>
          </w:cols>
          <w:pgMar w:left="580" w:top="141" w:right="1440" w:bottom="0" w:gutter="0" w:footer="0" w:header="0"/>
        </w:sectPr>
      </w:pPr>
    </w:p>
    <w:bookmarkStart w:id="123" w:name="page124"/>
    <w:bookmarkEnd w:id="123"/>
    <w:p>
      <w:pPr>
        <w:ind w:left="1100"/>
        <w:spacing w:after="0"/>
        <w:rPr>
          <w:sz w:val="20"/>
          <w:szCs w:val="20"/>
          <w:color w:val="auto"/>
        </w:rPr>
      </w:pPr>
      <w:r>
        <w:rPr>
          <w:rFonts w:ascii="Courier New" w:cs="Courier New" w:eastAsia="Courier New" w:hAnsi="Courier New"/>
          <w:sz w:val="12"/>
          <w:szCs w:val="12"/>
          <w:color w:val="auto"/>
        </w:rPr>
        <w:t>shall be deemed to read "2.5% (two point five percent) per</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annum)", through December 31, 2007 and the Borrower shall be</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further entitled to pay to any such counterparty under any</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such Qualifying Wafer Prepayment Contract the principal of</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such prepayment in cash after June 30, 2007; provided that,</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at the date of payment of any such Interest or principal as</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aforesaid, the Banks shall not have declared an Event of</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Default to have occurred or to have made any other</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declarations under clause 17.21 below. For the avoidance of</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doubt, no Interest shall be payable on any Qualifying Wafer</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Prepayment Contract as aforesaid beyond the period ending on</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December 31, 2007.</w:t>
      </w:r>
    </w:p>
    <w:p>
      <w:pPr>
        <w:spacing w:after="0" w:line="147"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16.27.3.2. [INTENTIONALLY DELETED]</w:t>
      </w:r>
    </w:p>
    <w:p>
      <w:pPr>
        <w:spacing w:after="0" w:line="289"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- 122 -</w:t>
      </w:r>
    </w:p>
    <w:p>
      <w:pPr>
        <w:spacing w:after="0" w:line="200" w:lineRule="exact"/>
        <w:rPr>
          <w:sz w:val="20"/>
          <w:szCs w:val="20"/>
          <w:color w:val="auto"/>
        </w:rPr>
      </w:pPr>
    </w:p>
    <w:p>
      <w:pPr>
        <w:spacing w:after="0" w:line="353"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16.27.3.3. The Borrower shall endeavour to procure that, by no</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later than December 31, 2006, the Investment Centre shall</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approve the Borrower's eligibility to receive new Fab 2</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Grants in an amount equal to US $80,000,000 (eighty million</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United States Dollars) in respect of investments made or to</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be made in Fab 2 after December 31, 2005. In the event that</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the Borrower shall not succeed in obtaining the approval of</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the Investment Centre as aforesaid, or shall receive such</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approval but the grants in respect of investments made in</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Fab 2 shall not be made in accordance with the terms of such</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approval, then the Borrower shall, with respect to, and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within 90 (ninety) days following the making of, each</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cumulative investment in Fab 2 of US $100,000,000 (one</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hundred million United States Dollars) up to cumulative</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investments in Fab 2 of US $400,000,000 (four hundred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million United States Dollars) (and each time such</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cumulative investments are made, up to cumulative</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investments in Fab 2 of US $400,000,000 (four hundred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million United States Dollars)) in respect of which</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investment grants would have been receivable had the said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Investment Centre Fab 2 Grants been approved, procure the</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receipt by it of Paid-in Equity and/or wafer prepayments</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under Qualifying Wafer Prepayment Contracts entered into</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after the Amendment Closing Date and/or payments in exchange</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for equity equivalent capital notes in the form issued to</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TIC on or about the Amendment Closing Date, in an amount of</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US $20,000,000 (twenty million United States Dollars). For</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the purposes of the aforegoing: (a) all Paid-in Equity</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(including, for the removal of doubt, as referred to in</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clause 1.1.112(iii) above or pursuant to the exercise of</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options or warrants received after May 17, 2006 (excluding,</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for the removal of doubt: (i) the investment by TIC of US</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$100,000,000 (one hundred million United States Dollars) in</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equity equivalent capital notes to be made on or about the</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Amendment Closing Date; (ii) the conversion by the Banks of</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their Loans into equity equivalent capital notes; (iii) the</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issue to the Banks of shares or equity equivalent capital</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notes pursuant to clause 9.4 above; and (iv) the conversion</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of any equity equivalent capital notes, in whole or in part,</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into shares) shall be taken into account as if invested on</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account of the Borrower's aforesaid obligation; (b) only</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investments in Fab 2 made since January 1, 2006 and which</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are in excess of an aggregate investment of US $130,000,000</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(one hundred and thirty million United States Dollars) in</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respect of which investment grants would have been</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receivable had the said Investment Centre Fab 2 Grants been</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approved as of January 1, 2006, shall be taken into account;</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and (c) only wafer prepayments received after the Amendment</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Closing Date up to an aggregate amount of US $30,000,000</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(thirty million United States Dollars) shall be taken into</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account for purposes of determining compliance with this</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clause 16.27.3.3.</w:t>
      </w:r>
    </w:p>
    <w:p>
      <w:pPr>
        <w:spacing w:after="0" w:line="289"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- 123 -</w:t>
      </w:r>
    </w:p>
    <w:p>
      <w:pPr>
        <w:spacing w:after="0" w:line="200" w:lineRule="exact"/>
        <w:rPr>
          <w:sz w:val="20"/>
          <w:szCs w:val="20"/>
          <w:color w:val="auto"/>
        </w:rPr>
      </w:pPr>
    </w:p>
    <w:p>
      <w:pPr>
        <w:spacing w:after="0" w:line="353"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16.27.4. [INTENTIONALLY DELETED]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16.28. TAXATION</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The Borrower shall file or cause to be filed all Tax returns required to be filed in the jurisdiction in which it is situated or carries on business or otherwise subject to pay Tax and will promptly pay all Taxes which are due and payable on such returns or any assessment made against it except for non-payment, or a claim for payment, non-payment of which would in each such case not have a Material Adverse Effect.</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16.29. FINANCIAL UNDERTAKINGS</w:t>
      </w:r>
    </w:p>
    <w:p>
      <w:pPr>
        <w:spacing w:after="0" w:line="147" w:lineRule="exact"/>
        <w:rPr>
          <w:sz w:val="20"/>
          <w:szCs w:val="20"/>
          <w:color w:val="auto"/>
        </w:rPr>
      </w:pPr>
    </w:p>
    <w:p>
      <w:pPr>
        <w:jc w:val="both"/>
        <w:ind w:left="380" w:right="4499"/>
        <w:spacing w:after="0" w:line="250" w:lineRule="auto"/>
        <w:rPr>
          <w:sz w:val="20"/>
          <w:szCs w:val="20"/>
          <w:color w:val="auto"/>
        </w:rPr>
      </w:pPr>
      <w:r>
        <w:rPr>
          <w:rFonts w:ascii="Courier New" w:cs="Courier New" w:eastAsia="Courier New" w:hAnsi="Courier New"/>
          <w:sz w:val="12"/>
          <w:szCs w:val="12"/>
          <w:color w:val="auto"/>
        </w:rPr>
        <w:t>The Borrower will procure that: (a) with respect to clauses 16.29.1 and 16.29.3-16.29.11 below, at all times during the period of this Agreement; and (b) with respect to clause 16.29.2, with effect from December 31, 2006 (including for the Quarter ending on December 31, 2006), at all times during this Agreement; the Borrower shall comply with the Financial Undertakings set out below:</w:t>
      </w:r>
    </w:p>
    <w:p>
      <w:pPr>
        <w:spacing w:after="0" w:line="141" w:lineRule="exact"/>
        <w:rPr>
          <w:sz w:val="20"/>
          <w:szCs w:val="20"/>
          <w:color w:val="auto"/>
        </w:rPr>
      </w:pPr>
    </w:p>
    <w:p>
      <w:pPr>
        <w:ind w:left="740" w:right="4359" w:hanging="367"/>
        <w:spacing w:after="0" w:line="251" w:lineRule="auto"/>
        <w:rPr>
          <w:sz w:val="20"/>
          <w:szCs w:val="20"/>
          <w:color w:val="auto"/>
        </w:rPr>
      </w:pPr>
      <w:r>
        <w:rPr>
          <w:rFonts w:ascii="Courier New" w:cs="Courier New" w:eastAsia="Courier New" w:hAnsi="Courier New"/>
          <w:sz w:val="12"/>
          <w:szCs w:val="12"/>
          <w:color w:val="auto"/>
        </w:rPr>
        <w:t>16.29.1. the ratio of: (a) Equity to (b) Total Assets of the Borrower, as determined pursuant to the Borrower's consolidated quarterly and annual Accounts, shall at no time be less than the applicable ratio set out in SCHEDULE 16.29;</w:t>
      </w:r>
    </w:p>
    <w:p>
      <w:pPr>
        <w:spacing w:after="0" w:line="139" w:lineRule="exact"/>
        <w:rPr>
          <w:sz w:val="20"/>
          <w:szCs w:val="20"/>
          <w:color w:val="auto"/>
        </w:rPr>
      </w:pPr>
    </w:p>
    <w:p>
      <w:pPr>
        <w:ind w:left="740" w:right="4419" w:hanging="367"/>
        <w:spacing w:after="0" w:line="251" w:lineRule="auto"/>
        <w:rPr>
          <w:sz w:val="20"/>
          <w:szCs w:val="20"/>
          <w:color w:val="auto"/>
        </w:rPr>
      </w:pPr>
      <w:r>
        <w:rPr>
          <w:rFonts w:ascii="Courier New" w:cs="Courier New" w:eastAsia="Courier New" w:hAnsi="Courier New"/>
          <w:sz w:val="12"/>
          <w:szCs w:val="12"/>
          <w:color w:val="auto"/>
        </w:rPr>
        <w:t>16.29.2. for any Quarter commencing from the Quarter ending on December 31, 2006, LLCR for such Quarter for the Borrower shall not be less than the applicable ratio set out in Schedule 16.29;</w:t>
      </w:r>
    </w:p>
    <w:p>
      <w:pPr>
        <w:spacing w:after="0" w:line="140" w:lineRule="exact"/>
        <w:rPr>
          <w:sz w:val="20"/>
          <w:szCs w:val="20"/>
          <w:color w:val="auto"/>
        </w:rPr>
      </w:pPr>
    </w:p>
    <w:p>
      <w:pPr>
        <w:ind w:left="740" w:right="4419" w:hanging="367"/>
        <w:spacing w:after="0" w:line="251" w:lineRule="auto"/>
        <w:rPr>
          <w:sz w:val="20"/>
          <w:szCs w:val="20"/>
          <w:color w:val="auto"/>
        </w:rPr>
      </w:pPr>
      <w:r>
        <w:rPr>
          <w:rFonts w:ascii="Courier New" w:cs="Courier New" w:eastAsia="Courier New" w:hAnsi="Courier New"/>
          <w:sz w:val="12"/>
          <w:szCs w:val="12"/>
          <w:color w:val="auto"/>
        </w:rPr>
        <w:t>16.29.3. for any Quarter, the ratio of: (a) EBITDA to (b) Debt Service, all for such Quarter, shall not be less than the percentage for such Quarter as set out in Schedule 16.29 hereto;</w:t>
      </w:r>
    </w:p>
    <w:p>
      <w:pPr>
        <w:spacing w:after="0" w:line="140" w:lineRule="exact"/>
        <w:rPr>
          <w:sz w:val="20"/>
          <w:szCs w:val="20"/>
          <w:color w:val="auto"/>
        </w:rPr>
      </w:pPr>
    </w:p>
    <w:p>
      <w:pPr>
        <w:jc w:val="both"/>
        <w:ind w:left="740" w:right="4359" w:hanging="367"/>
        <w:spacing w:after="0" w:line="251" w:lineRule="auto"/>
        <w:rPr>
          <w:sz w:val="20"/>
          <w:szCs w:val="20"/>
          <w:color w:val="auto"/>
        </w:rPr>
      </w:pPr>
      <w:r>
        <w:rPr>
          <w:rFonts w:ascii="Courier New" w:cs="Courier New" w:eastAsia="Courier New" w:hAnsi="Courier New"/>
          <w:sz w:val="12"/>
          <w:szCs w:val="12"/>
          <w:color w:val="auto"/>
        </w:rPr>
        <w:t>16.29.4. for any Quarter, the ratio of: (a) Total Debt to (b) EBITDA, all for such Quarter, shall not exceed the ratio for such Quarter as set out in Schedule 16.29 hereto;</w:t>
      </w:r>
    </w:p>
    <w:p>
      <w:pPr>
        <w:sectPr>
          <w:pgSz w:w="11900" w:h="16838" w:orient="portrait"/>
          <w:cols w:equalWidth="0" w:num="1">
            <w:col w:w="9879"/>
          </w:cols>
          <w:pgMar w:left="580" w:top="141" w:right="1440" w:bottom="0" w:gutter="0" w:footer="0" w:header="0"/>
        </w:sectPr>
      </w:pPr>
    </w:p>
    <w:bookmarkStart w:id="124" w:name="page125"/>
    <w:bookmarkEnd w:id="124"/>
    <w:p>
      <w:pPr>
        <w:spacing w:after="0" w:line="13"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- 124 -</w:t>
      </w:r>
    </w:p>
    <w:p>
      <w:pPr>
        <w:spacing w:after="0" w:line="200" w:lineRule="exact"/>
        <w:rPr>
          <w:sz w:val="20"/>
          <w:szCs w:val="20"/>
          <w:color w:val="auto"/>
        </w:rPr>
      </w:pPr>
    </w:p>
    <w:p>
      <w:pPr>
        <w:spacing w:after="0" w:line="353" w:lineRule="exact"/>
        <w:rPr>
          <w:sz w:val="20"/>
          <w:szCs w:val="20"/>
          <w:color w:val="auto"/>
        </w:rPr>
      </w:pPr>
    </w:p>
    <w:p>
      <w:pPr>
        <w:ind w:left="740" w:right="4499" w:hanging="367"/>
        <w:spacing w:after="0" w:line="251" w:lineRule="auto"/>
        <w:rPr>
          <w:sz w:val="20"/>
          <w:szCs w:val="20"/>
          <w:color w:val="auto"/>
        </w:rPr>
      </w:pPr>
      <w:r>
        <w:rPr>
          <w:rFonts w:ascii="Courier New" w:cs="Courier New" w:eastAsia="Courier New" w:hAnsi="Courier New"/>
          <w:sz w:val="12"/>
          <w:szCs w:val="12"/>
          <w:color w:val="auto"/>
        </w:rPr>
        <w:t>16.29.5. for any Quarter, EBITDA for such Quarter, shall not be less than the amount for such Quarter as set out in Schedule 16.29 hereto;</w:t>
      </w:r>
    </w:p>
    <w:p>
      <w:pPr>
        <w:spacing w:after="0" w:line="140" w:lineRule="exact"/>
        <w:rPr>
          <w:sz w:val="20"/>
          <w:szCs w:val="20"/>
          <w:color w:val="auto"/>
        </w:rPr>
      </w:pPr>
    </w:p>
    <w:p>
      <w:pPr>
        <w:ind w:left="740" w:right="4419" w:hanging="367"/>
        <w:spacing w:after="0" w:line="250" w:lineRule="auto"/>
        <w:rPr>
          <w:sz w:val="20"/>
          <w:szCs w:val="20"/>
          <w:color w:val="auto"/>
        </w:rPr>
      </w:pPr>
      <w:r>
        <w:rPr>
          <w:rFonts w:ascii="Courier New" w:cs="Courier New" w:eastAsia="Courier New" w:hAnsi="Courier New"/>
          <w:sz w:val="12"/>
          <w:szCs w:val="12"/>
          <w:color w:val="auto"/>
        </w:rPr>
        <w:t>16.29.6. for any Fiscal Year and for any Quarter, EBITDA for such Fiscal Year or for the four consecutive Quarters ending on the last day of such Quarter shall not be less than the amount for such Fiscal Year or four consecutive Quarters ending on the last day of such Quarter as set out in Schedule 16.29 hereto;</w:t>
      </w:r>
    </w:p>
    <w:p>
      <w:pPr>
        <w:spacing w:after="0" w:line="141"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16.29.7. [INTENTIONALLY DELETED]</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16.29.8. [INTENTIONALLY DELETED];</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16.29.9. [INTENTIONALLY DELETED];</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16.29.10. [INTENTIONALLY DELETED]; and</w:t>
      </w:r>
    </w:p>
    <w:p>
      <w:pPr>
        <w:spacing w:after="0" w:line="147" w:lineRule="exact"/>
        <w:rPr>
          <w:sz w:val="20"/>
          <w:szCs w:val="20"/>
          <w:color w:val="auto"/>
        </w:rPr>
      </w:pPr>
    </w:p>
    <w:p>
      <w:pPr>
        <w:ind w:left="740" w:right="4419" w:hanging="367"/>
        <w:spacing w:after="0" w:line="250" w:lineRule="auto"/>
        <w:rPr>
          <w:sz w:val="20"/>
          <w:szCs w:val="20"/>
          <w:color w:val="auto"/>
        </w:rPr>
      </w:pPr>
      <w:r>
        <w:rPr>
          <w:rFonts w:ascii="Courier New" w:cs="Courier New" w:eastAsia="Courier New" w:hAnsi="Courier New"/>
          <w:sz w:val="12"/>
          <w:szCs w:val="12"/>
          <w:color w:val="auto"/>
        </w:rPr>
        <w:t>16.29.11. for any Quarter, Sales for the Borrower (determined on the same basis as the term `Sales' appearing in the audited consolidated annual financial statements of the Borrower) for such Quarter, shall not be less than the amount for such Quarter as set out in Schedule 16.29 hereto.</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16.30. CHANGE OF BUSINESS</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16.30.1. The Borrower will not make or threaten to make any</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substantial change in the nature of its business (save as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contemplated in the Business Plan).</w:t>
      </w:r>
    </w:p>
    <w:p>
      <w:pPr>
        <w:spacing w:after="0" w:line="147" w:lineRule="exact"/>
        <w:rPr>
          <w:sz w:val="20"/>
          <w:szCs w:val="20"/>
          <w:color w:val="auto"/>
        </w:rPr>
      </w:pPr>
    </w:p>
    <w:p>
      <w:pPr>
        <w:ind w:left="740" w:right="4419" w:hanging="367"/>
        <w:spacing w:after="0" w:line="253" w:lineRule="auto"/>
        <w:rPr>
          <w:sz w:val="20"/>
          <w:szCs w:val="20"/>
          <w:color w:val="auto"/>
        </w:rPr>
      </w:pPr>
      <w:r>
        <w:rPr>
          <w:rFonts w:ascii="Courier New" w:cs="Courier New" w:eastAsia="Courier New" w:hAnsi="Courier New"/>
          <w:sz w:val="12"/>
          <w:szCs w:val="12"/>
          <w:color w:val="auto"/>
        </w:rPr>
        <w:t>16.30.2. The Borrower will not and will procure that its Subsidiaries will not, carry on any business other than the Business.</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16.31. BANK ACCOUNTS</w:t>
      </w:r>
    </w:p>
    <w:p>
      <w:pPr>
        <w:spacing w:after="0" w:line="147" w:lineRule="exact"/>
        <w:rPr>
          <w:sz w:val="20"/>
          <w:szCs w:val="20"/>
          <w:color w:val="auto"/>
        </w:rPr>
      </w:pPr>
    </w:p>
    <w:p>
      <w:pPr>
        <w:ind w:left="740" w:right="4359" w:hanging="367"/>
        <w:spacing w:after="0" w:line="249" w:lineRule="auto"/>
        <w:rPr>
          <w:sz w:val="20"/>
          <w:szCs w:val="20"/>
          <w:color w:val="auto"/>
        </w:rPr>
      </w:pPr>
      <w:r>
        <w:rPr>
          <w:rFonts w:ascii="Courier New" w:cs="Courier New" w:eastAsia="Courier New" w:hAnsi="Courier New"/>
          <w:sz w:val="12"/>
          <w:szCs w:val="12"/>
          <w:color w:val="auto"/>
        </w:rPr>
        <w:t>16.31.1. So long as any Loans are outstanding, the Borrower shall maintain in its own name all the Charged Accounts. The Borrower will not maintain any bank account other than the Charged Accounts and other than bank accounts duly charged in favour of the Banks by way of a first-ranking fixed pledge and charge under the Debenture, being: (a) bank accounts at the Banks into which accounts moneys not relating to the Project, may be paid or withdrawn; or (b) the bank accounts referred to in clauses 16.31.3(i) and (ii) below, to the extent applicable. Notwithstanding the foregoing, the Borrower shall be entitled to continue to maintain and shall not be required to pledge as aforesaid for the benefit of the Banks the bank account maintained for the purpose only of employee option exercises and shall be entitled to open and maintain bank accounts with respect to Permitted Financial Indebtedness referred to in clauses</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1.1.115(c) and 1.1.115(j) and shall not be required to pledge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such accounts as aforesaid for the benefit of the Banks, provided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that such accounts shall only be used by the Borrower for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purpose of receipt and payment of the particular Permitted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Financial Indebtedness referred to in such clauses and for no</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other purpose.</w:t>
      </w:r>
    </w:p>
    <w:p>
      <w:pPr>
        <w:spacing w:after="0" w:line="289"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- 125 -</w:t>
      </w:r>
    </w:p>
    <w:p>
      <w:pPr>
        <w:spacing w:after="0" w:line="200" w:lineRule="exact"/>
        <w:rPr>
          <w:sz w:val="20"/>
          <w:szCs w:val="20"/>
          <w:color w:val="auto"/>
        </w:rPr>
      </w:pPr>
    </w:p>
    <w:p>
      <w:pPr>
        <w:spacing w:after="0" w:line="353"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16.31.2. The Borrower shall procure that all payments in connection with the Project, payments by the Borrower under the Finance Documents, investments of Paid-in Equity, investments by way of capital notes, payments under Wafer Prepayment Contracts, proceeds of Permitted Subordinated Debt, proceeds from disposals and, subject to clause 16.31.3(i) below, Grants from the Investment Centre and all other payments directly or indirectly relating to the Project or Fab 2 shall be made, directly from the relevant payor, to the relevant Charged Accounts.</w:t>
      </w:r>
    </w:p>
    <w:p>
      <w:pPr>
        <w:spacing w:after="0" w:line="141"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16.31.3. The Borrower shall procure that all revenues from the Project (including from the Wafer Prepayment Contracts, proceeds from disposals and other Material Contracts) and from authorised investments, as well as all proceeds of all Paid-In Equity subscriptions, investments by way of capital notes, Investment Centre Fab 2 Grants and Permitted Subordinated Debt, are paid direct to one of the Project Accounts (or in the case only of amounts received from non-Israeli investors, the Foreign Paid-in Equity Account); provided that: (i) if so required by the Investment Centre, the proceeds of the Investment Centre Fab 2 Grants may be allocated by banks or financial institutions other than the Banks (but to be transferred directly to either of the Project Accounts); (ii) proceeds from a public offering made on an exchange outside Israel may be placed on deposit in foreign banks until such time as the Borrower uses such proceeds; provided further that, in both cases, the accounts at such other banks or financial institutions are duly pledged under the Debenture by way of a first-ranking fixed pledge and charge in favour of the Banks. Except as otherwise specified above, no other sums shall be paid into either of the Project Accounts or into the Foreign Paid-in Equity Account without the prior agreement of the Banks.</w:t>
      </w:r>
    </w:p>
    <w:p>
      <w:pPr>
        <w:spacing w:after="0" w:line="200" w:lineRule="exact"/>
        <w:rPr>
          <w:sz w:val="20"/>
          <w:szCs w:val="20"/>
          <w:color w:val="auto"/>
        </w:rPr>
      </w:pPr>
    </w:p>
    <w:p>
      <w:pPr>
        <w:spacing w:after="0" w:line="224"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- 126 -</w:t>
      </w:r>
    </w:p>
    <w:p>
      <w:pPr>
        <w:spacing w:after="0" w:line="200" w:lineRule="exact"/>
        <w:rPr>
          <w:sz w:val="20"/>
          <w:szCs w:val="20"/>
          <w:color w:val="auto"/>
        </w:rPr>
      </w:pPr>
    </w:p>
    <w:p>
      <w:pPr>
        <w:spacing w:after="0" w:line="35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16.31.4. The Borrower shall at the request of the Banks furnish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Banks with copy invoices or other evidence acceptable to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Banks with respect to any withdrawal of sums from the Project</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Account or into the Foreign Paid-in Equity Account.</w:t>
      </w:r>
    </w:p>
    <w:p>
      <w:pPr>
        <w:spacing w:after="0" w:line="147" w:lineRule="exact"/>
        <w:rPr>
          <w:sz w:val="20"/>
          <w:szCs w:val="20"/>
          <w:color w:val="auto"/>
        </w:rPr>
      </w:pPr>
    </w:p>
    <w:p>
      <w:pPr>
        <w:ind w:left="740" w:right="4359" w:hanging="367"/>
        <w:spacing w:after="0" w:line="251" w:lineRule="auto"/>
        <w:rPr>
          <w:sz w:val="20"/>
          <w:szCs w:val="20"/>
          <w:color w:val="auto"/>
        </w:rPr>
      </w:pPr>
      <w:r>
        <w:rPr>
          <w:rFonts w:ascii="Courier New" w:cs="Courier New" w:eastAsia="Courier New" w:hAnsi="Courier New"/>
          <w:sz w:val="12"/>
          <w:szCs w:val="12"/>
          <w:color w:val="auto"/>
        </w:rPr>
        <w:t>16.31.5. The Borrower shall procure that: (a) the proceeds of all insurance claims under the Insurance Policies taken out by the Borrower with respect to Fab 1 and Fab 2 or any part of either, other than in respect of third party liabilities which are or are</w:t>
      </w:r>
    </w:p>
    <w:p>
      <w:pPr>
        <w:sectPr>
          <w:pgSz w:w="11900" w:h="16852" w:orient="portrait"/>
          <w:cols w:equalWidth="0" w:num="1">
            <w:col w:w="9879"/>
          </w:cols>
          <w:pgMar w:left="580" w:top="283" w:right="1440" w:bottom="0" w:gutter="0" w:footer="0" w:header="0"/>
        </w:sectPr>
      </w:pPr>
    </w:p>
    <w:bookmarkStart w:id="125" w:name="page126"/>
    <w:bookmarkEnd w:id="125"/>
    <w:p>
      <w:pPr>
        <w:spacing w:after="0" w:line="30"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to be paid by the insurer or re-insurer direct to the third party</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claimant; (b) all proceeds of nationalisation, expropriation, or</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requisition for title or use; and (c) [INTENTIONALLY DELETED];</w:t>
      </w:r>
    </w:p>
    <w:p>
      <w:pPr>
        <w:spacing w:after="0" w:line="6" w:lineRule="exact"/>
        <w:rPr>
          <w:sz w:val="20"/>
          <w:szCs w:val="20"/>
          <w:color w:val="auto"/>
        </w:rPr>
      </w:pPr>
    </w:p>
    <w:p>
      <w:pPr>
        <w:ind w:left="740" w:right="4359"/>
        <w:spacing w:after="0" w:line="251" w:lineRule="auto"/>
        <w:tabs>
          <w:tab w:leader="none" w:pos="1034" w:val="left"/>
        </w:tabs>
        <w:numPr>
          <w:ilvl w:val="0"/>
          <w:numId w:val="1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proceeds of any sale, transfer or licence of Intellectual Property Assets used in connection with the Project or other Net Proceeds, shall be paid directly to one of the Project Accounts.</w:t>
      </w:r>
    </w:p>
    <w:p>
      <w:pPr>
        <w:spacing w:after="0" w:line="140"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16.31.6. Sums standing to the credit of any of the Charged Accounts shall be placed on deposit and shall earn Interest at such rates as may be agreed from time to time by the Borrower and the relevant Bank at which such Charged Account is held. All Interest earned on the balance thereof to the credit of a Charged Account shall be credited to such Charged Account.</w:t>
      </w:r>
    </w:p>
    <w:p>
      <w:pPr>
        <w:spacing w:after="0" w:line="141" w:lineRule="exact"/>
        <w:rPr>
          <w:sz w:val="20"/>
          <w:szCs w:val="20"/>
          <w:color w:val="auto"/>
        </w:rPr>
      </w:pPr>
    </w:p>
    <w:p>
      <w:pPr>
        <w:ind w:left="740" w:right="4419" w:hanging="367"/>
        <w:spacing w:after="0" w:line="250" w:lineRule="auto"/>
        <w:rPr>
          <w:sz w:val="20"/>
          <w:szCs w:val="20"/>
          <w:color w:val="auto"/>
        </w:rPr>
      </w:pPr>
      <w:r>
        <w:rPr>
          <w:rFonts w:ascii="Courier New" w:cs="Courier New" w:eastAsia="Courier New" w:hAnsi="Courier New"/>
          <w:sz w:val="12"/>
          <w:szCs w:val="12"/>
          <w:color w:val="auto"/>
        </w:rPr>
        <w:t>16.31.7. The Borrower shall not create or permit to subsist any Encumbrance on all or any part of the Charged Accounts or any other account charged under the Debenture, other than any Encumbrance created by the Security Documents, nor assign, transfer or otherwise dispose of all or any part of its right or title to, or Interest in, the Charged Accounts or any other account charged under the Debenture.</w:t>
      </w:r>
    </w:p>
    <w:p>
      <w:pPr>
        <w:spacing w:after="0" w:line="141" w:lineRule="exact"/>
        <w:rPr>
          <w:sz w:val="20"/>
          <w:szCs w:val="20"/>
          <w:color w:val="auto"/>
        </w:rPr>
      </w:pPr>
    </w:p>
    <w:p>
      <w:pPr>
        <w:ind w:left="1100" w:right="4419" w:hanging="1103"/>
        <w:spacing w:after="0" w:line="250" w:lineRule="auto"/>
        <w:tabs>
          <w:tab w:leader="none" w:pos="1080" w:val="left"/>
        </w:tabs>
        <w:rPr>
          <w:sz w:val="20"/>
          <w:szCs w:val="20"/>
          <w:color w:val="auto"/>
        </w:rPr>
      </w:pPr>
      <w:r>
        <w:rPr>
          <w:rFonts w:ascii="Courier New" w:cs="Courier New" w:eastAsia="Courier New" w:hAnsi="Courier New"/>
          <w:sz w:val="12"/>
          <w:szCs w:val="12"/>
          <w:color w:val="auto"/>
        </w:rPr>
        <w:t>16.31.8.</w:t>
        <w:tab/>
        <w:t>(a) No amounts may be withdrawn or transferred from any of the Charged Accounts and the Borrower may not give any instructions in relation to any of the Charged Accounts, except in accordance with the express terms of this Agreement.</w:t>
      </w:r>
    </w:p>
    <w:p>
      <w:pPr>
        <w:spacing w:after="0" w:line="141" w:lineRule="exact"/>
        <w:rPr>
          <w:sz w:val="20"/>
          <w:szCs w:val="20"/>
          <w:color w:val="auto"/>
        </w:rPr>
      </w:pPr>
    </w:p>
    <w:p>
      <w:pPr>
        <w:ind w:left="1480" w:right="4359" w:hanging="372"/>
        <w:spacing w:after="0" w:line="250" w:lineRule="auto"/>
        <w:tabs>
          <w:tab w:leader="none" w:pos="1480" w:val="left"/>
        </w:tabs>
        <w:numPr>
          <w:ilvl w:val="0"/>
          <w:numId w:val="1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Borrower shall ensure that all moneys paid to it from a Charged Account in response to any instruction given by it are applied only in discharging the obligations in respect of which they were paid from the relevant Charged Account (or as otherwise permitted under this Agreement).</w:t>
      </w:r>
    </w:p>
    <w:p>
      <w:pPr>
        <w:spacing w:after="0" w:line="283" w:lineRule="exact"/>
        <w:rPr>
          <w:rFonts w:ascii="Courier New" w:cs="Courier New" w:eastAsia="Courier New" w:hAnsi="Courier New"/>
          <w:sz w:val="12"/>
          <w:szCs w:val="12"/>
          <w:color w:val="auto"/>
        </w:rPr>
      </w:pPr>
    </w:p>
    <w:p>
      <w:pPr>
        <w:ind w:left="2440" w:hanging="154"/>
        <w:spacing w:after="0"/>
        <w:tabs>
          <w:tab w:leader="none" w:pos="2440" w:val="left"/>
        </w:tabs>
        <w:numPr>
          <w:ilvl w:val="1"/>
          <w:numId w:val="1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127 -</w:t>
      </w:r>
    </w:p>
    <w:p>
      <w:pPr>
        <w:spacing w:after="0" w:line="200" w:lineRule="exact"/>
        <w:rPr>
          <w:sz w:val="20"/>
          <w:szCs w:val="20"/>
          <w:color w:val="auto"/>
        </w:rPr>
      </w:pPr>
    </w:p>
    <w:p>
      <w:pPr>
        <w:spacing w:after="0" w:line="353" w:lineRule="exact"/>
        <w:rPr>
          <w:sz w:val="20"/>
          <w:szCs w:val="20"/>
          <w:color w:val="auto"/>
        </w:rPr>
      </w:pPr>
    </w:p>
    <w:p>
      <w:pPr>
        <w:ind w:left="740" w:right="4419" w:hanging="367"/>
        <w:spacing w:after="0" w:line="250" w:lineRule="auto"/>
        <w:rPr>
          <w:sz w:val="20"/>
          <w:szCs w:val="20"/>
          <w:color w:val="auto"/>
        </w:rPr>
      </w:pPr>
      <w:r>
        <w:rPr>
          <w:rFonts w:ascii="Courier New" w:cs="Courier New" w:eastAsia="Courier New" w:hAnsi="Courier New"/>
          <w:sz w:val="12"/>
          <w:szCs w:val="12"/>
          <w:color w:val="auto"/>
        </w:rPr>
        <w:t>16.31.9. The Borrower agrees that each Bank may provide to any of the other Banks copies of bank statements for any of the Charged Accounts and other information relating to transactions effected or to be effected on the Charged Accounts save for information regarding financial terms such as interest rates, commissions, fees and terms of deposits.</w:t>
      </w:r>
    </w:p>
    <w:p>
      <w:pPr>
        <w:spacing w:after="0" w:line="141"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16.31.10. The Borrower acknowledges that neither any insufficiency of funds in the Charged Accounts (or any of them), nor any inability to apply any fund in the Charged Accounts (or any of them) against any or all amounts owing under this Agreement, shall at any time limit, reduce or otherwise affect the Borrower's payment obligations under this Agreement.</w:t>
      </w:r>
    </w:p>
    <w:p>
      <w:pPr>
        <w:spacing w:after="0" w:line="141" w:lineRule="exact"/>
        <w:rPr>
          <w:sz w:val="20"/>
          <w:szCs w:val="20"/>
          <w:color w:val="auto"/>
        </w:rPr>
      </w:pPr>
    </w:p>
    <w:p>
      <w:pPr>
        <w:ind w:left="740" w:right="4499" w:hanging="367"/>
        <w:spacing w:after="0" w:line="250" w:lineRule="auto"/>
        <w:rPr>
          <w:sz w:val="20"/>
          <w:szCs w:val="20"/>
          <w:color w:val="auto"/>
        </w:rPr>
      </w:pPr>
      <w:r>
        <w:rPr>
          <w:rFonts w:ascii="Courier New" w:cs="Courier New" w:eastAsia="Courier New" w:hAnsi="Courier New"/>
          <w:sz w:val="12"/>
          <w:szCs w:val="12"/>
          <w:color w:val="auto"/>
        </w:rPr>
        <w:t>16.31.11. Each Bank may transfer sums from one Charged Account to another Charged Account or to the Banks as required in order to meet payments and withdrawals from the Charged Accounts, but without liability or responsibility as a consequence of such application.</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16.32. PROHIBITION ON CHANGE OF OWNERSHIP</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Save with the prior written consent of the Banks, there shall be no</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Change of Ownership.</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16.33. UTILISATION OF EXCESS CASH FLOW</w:t>
      </w:r>
    </w:p>
    <w:p>
      <w:pPr>
        <w:spacing w:after="0" w:line="147" w:lineRule="exact"/>
        <w:rPr>
          <w:sz w:val="20"/>
          <w:szCs w:val="20"/>
          <w:color w:val="auto"/>
        </w:rPr>
      </w:pPr>
    </w:p>
    <w:p>
      <w:pPr>
        <w:ind w:left="380" w:right="4499"/>
        <w:spacing w:after="0" w:line="251" w:lineRule="auto"/>
        <w:rPr>
          <w:sz w:val="20"/>
          <w:szCs w:val="20"/>
          <w:color w:val="auto"/>
        </w:rPr>
      </w:pPr>
      <w:r>
        <w:rPr>
          <w:rFonts w:ascii="Courier New" w:cs="Courier New" w:eastAsia="Courier New" w:hAnsi="Courier New"/>
          <w:sz w:val="12"/>
          <w:szCs w:val="12"/>
          <w:color w:val="auto"/>
        </w:rPr>
        <w:t>All Excess Cash Flow shall be invested only in accordance with the Business Plan, unless otherwise agreed by the Banks in advance in writing or unless applied in prepayment (to the extent permitted) in accordance with clause 7 above.</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16.34. SAFETY NET UNDERTAKING</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16.35. OUTSIDE INVESTMENT</w:t>
      </w:r>
    </w:p>
    <w:p>
      <w:pPr>
        <w:spacing w:after="0" w:line="289"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- 128 -</w:t>
      </w:r>
    </w:p>
    <w:p>
      <w:pPr>
        <w:spacing w:after="0" w:line="200" w:lineRule="exact"/>
        <w:rPr>
          <w:sz w:val="20"/>
          <w:szCs w:val="20"/>
          <w:color w:val="auto"/>
        </w:rPr>
      </w:pPr>
    </w:p>
    <w:p>
      <w:pPr>
        <w:spacing w:after="0" w:line="353"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16.35.1. The Borrower shall procure that each of the Lead Investors provide an undertaking, in the form of SCHEDULE 16.35.1 hereto ("THE OUTSIDE INVESTMENT UNDERTAKINGS"), that obligates each such Lead Investor to cooperate with an Outside Investment Offer, all subject to the terms and conditions of Schedule 16.35.1. For purposes of this clause 16.35 "AN OUTSIDE INVESTMENT OFFER" means a binding offer by a person or persons (acceptable to the Banks in their sole discretion) having sufficient assets, or having available to it a binding financial commitment in an amount sufficient from one or more reputable financial institutions, to make the Outside Investment Offer ("THE OUTSIDE OFFEROR") to subscribe for shares from the Borrower at a price specified in such offer, which offer is: (a) made after the commencement and continuation for 60 (sixty) days after the institution thereof of bankruptcy or receivership proceedings against the Borrower which are ordered by a court of competent jurisdiction or the prior determination of an arbitrator, mutually appointed by the Banks and the Borrower, that a bankruptcy or receivership order would be issued by a court against the Borrower were a petition to be filed with a court of competent jurisdiction or, an order providing for creditor protection in favour of the Borrower pursuant to the request therefor by the Borrower is issued by a court of competent jurisdiction shall have occurred and be continuing ("THE TRIGGERING EVENT"); and (b) in an amount sufficient, at least, to enable the Borrower (after deduction of all attendant expenses) to cure and remedy the Triggering Event.</w:t>
      </w:r>
    </w:p>
    <w:p>
      <w:pPr>
        <w:spacing w:after="0" w:line="141" w:lineRule="exact"/>
        <w:rPr>
          <w:sz w:val="20"/>
          <w:szCs w:val="20"/>
          <w:color w:val="auto"/>
        </w:rPr>
      </w:pPr>
    </w:p>
    <w:p>
      <w:pPr>
        <w:ind w:left="740" w:right="4419" w:hanging="367"/>
        <w:spacing w:after="0" w:line="250" w:lineRule="auto"/>
        <w:rPr>
          <w:sz w:val="20"/>
          <w:szCs w:val="20"/>
          <w:color w:val="auto"/>
        </w:rPr>
      </w:pPr>
      <w:r>
        <w:rPr>
          <w:rFonts w:ascii="Courier New" w:cs="Courier New" w:eastAsia="Courier New" w:hAnsi="Courier New"/>
          <w:sz w:val="12"/>
          <w:szCs w:val="12"/>
          <w:color w:val="auto"/>
        </w:rPr>
        <w:t>16.35.2. Upon the happening of a Triggering Event, the Borrower shall take all steps to cooperate with any Outside Offeror (or potential Outside Offerors), including, by permitting persons seeking to become an Outside Offeror (and their representatives) the opportunity to conduct a due diligence examination of the</w:t>
      </w:r>
    </w:p>
    <w:p>
      <w:pPr>
        <w:sectPr>
          <w:pgSz w:w="11900" w:h="16868" w:orient="portrait"/>
          <w:cols w:equalWidth="0" w:num="1">
            <w:col w:w="9879"/>
          </w:cols>
          <w:pgMar w:left="580" w:top="141" w:right="1440" w:bottom="0" w:gutter="0" w:footer="0" w:header="0"/>
        </w:sectPr>
      </w:pPr>
    </w:p>
    <w:bookmarkStart w:id="126" w:name="page127"/>
    <w:bookmarkEnd w:id="126"/>
    <w:p>
      <w:pPr>
        <w:spacing w:after="0" w:line="24"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Borrower and of its assets, liabilities, business and prospects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(provided that such persons enter into a confidentiality</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agreement in a reasonable and customary form with the Borrower).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If the Outside Investment Offer is made and accompanied by an</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opinion of a reputable investment banking firm that the Outside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Investment Offer is fair to the Borrower, the Borrower shall</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procure that a rights offering ("THE RIGHTS OFFERING") be made to</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its shareholders to invest up to 60% (sixty percent) of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amount proposed to be invested by the Outside Offeror in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Borrower at the same price per share and the other terms and</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conditions set forth in the Outside Investment Offer.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Notwithstanding the aforegoing, if the Outside Investment Offer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is conditioned on the Outside Offeror acquiring at least 51%</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(fifty-one percent) of the shares of the Borrower, the maximum</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number of shares that may be purchased in the Rights Offering</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shall be limited to that number of offered shares which, together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with the number of then outstanding shares not owned by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Outside Offeror, shall not exceed a maximum of 49% (forty-nine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percent) of the shares of the Borrower, unless the Lead Investors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agree to invest an amount at least equal to, and at a price per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share no less than, the Outside Investment Offer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ALTERNATIVE OUTSIDE OFFER") and further agree, in addition to</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exercising all rights offered to them in the Rights Offering, to</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exercise in a subsequent private placement all rights not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exercised by the other shareholders of the Borrower in such</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rights offering, so as to ensure that the full amount of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Outside Investment Offer is invested in the Borrower; in such</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case, the Alternative Outside Offer shall be made the subject of</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the Rights Offering and the Lead Investors shall ensure that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full amount of the Alternative Outside Offer is invested in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Borrower and, to the extent required, used to cure and remedy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Triggering Event.</w:t>
      </w:r>
    </w:p>
    <w:p>
      <w:pPr>
        <w:spacing w:after="0" w:line="289" w:lineRule="exact"/>
        <w:rPr>
          <w:sz w:val="20"/>
          <w:szCs w:val="20"/>
          <w:color w:val="auto"/>
        </w:rPr>
      </w:pPr>
    </w:p>
    <w:p>
      <w:pPr>
        <w:ind w:left="2644"/>
        <w:spacing w:after="0"/>
        <w:rPr>
          <w:sz w:val="20"/>
          <w:szCs w:val="20"/>
          <w:color w:val="auto"/>
        </w:rPr>
      </w:pPr>
      <w:r>
        <w:rPr>
          <w:rFonts w:ascii="Courier New" w:cs="Courier New" w:eastAsia="Courier New" w:hAnsi="Courier New"/>
          <w:sz w:val="12"/>
          <w:szCs w:val="12"/>
          <w:color w:val="auto"/>
        </w:rPr>
        <w:t>- 129 -</w:t>
      </w:r>
    </w:p>
    <w:p>
      <w:pPr>
        <w:spacing w:after="0" w:line="200" w:lineRule="exact"/>
        <w:rPr>
          <w:sz w:val="20"/>
          <w:szCs w:val="20"/>
          <w:color w:val="auto"/>
        </w:rPr>
      </w:pPr>
    </w:p>
    <w:p>
      <w:pPr>
        <w:spacing w:after="0" w:line="353" w:lineRule="exact"/>
        <w:rPr>
          <w:sz w:val="20"/>
          <w:szCs w:val="20"/>
          <w:color w:val="auto"/>
        </w:rPr>
      </w:pPr>
    </w:p>
    <w:p>
      <w:pPr>
        <w:ind w:left="1104" w:right="4359" w:hanging="367"/>
        <w:spacing w:after="0" w:line="250" w:lineRule="auto"/>
        <w:rPr>
          <w:sz w:val="20"/>
          <w:szCs w:val="20"/>
          <w:color w:val="auto"/>
        </w:rPr>
      </w:pPr>
      <w:r>
        <w:rPr>
          <w:rFonts w:ascii="Courier New" w:cs="Courier New" w:eastAsia="Courier New" w:hAnsi="Courier New"/>
          <w:sz w:val="12"/>
          <w:szCs w:val="12"/>
          <w:color w:val="auto"/>
        </w:rPr>
        <w:t>16.35.3. For the removal of doubt: (a) nothing in this clause 16.35 above (or in the Outside Investment Undertakings) shall prevent the Banks from enforcing any and all of their rights or remedies under this Agreement (including in the case of the occurrence of a Triggering Event) at any time, even if such enforcement does not permit, or in any way adversely affects the possibility of, an Outside Investment Offer, or an Alternative Outside Offer, as the case may be, to be made, or if made, to be completed and, for the further removal of doubt, even after an Outside Investment Offer has already been made; and (b) in the event an Outside Investment Offer is conditional on the Outside Offeror acquiring at least 51% (fifty-one percent) of the shares of the Borrower and, pursuant thereto, the Outside Offeror subscribes for shares from the Borrower as contemplated in clause 16.35.1 above and the shares subscribed, as aforesaid, confer on such Outside Offeror at least 51% (fifty-one percent) of the shares of the Borrower, then, with effect upon the occurrence of such event, clauses 16.1.3(vii) and 16.32 above shall cease to have any effect.</w:t>
      </w:r>
    </w:p>
    <w:p>
      <w:pPr>
        <w:spacing w:after="0" w:line="141"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16.36. INTEREST PAYMENT LOANS; ADDITIONAL INVESTMENT UNDERTAKINGS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[INTENTIONALLY DELETED]</w:t>
      </w:r>
    </w:p>
    <w:p>
      <w:pPr>
        <w:spacing w:after="0" w:line="289" w:lineRule="exact"/>
        <w:rPr>
          <w:sz w:val="20"/>
          <w:szCs w:val="20"/>
          <w:color w:val="auto"/>
        </w:rPr>
      </w:pPr>
    </w:p>
    <w:p>
      <w:pPr>
        <w:ind w:left="2644"/>
        <w:spacing w:after="0"/>
        <w:rPr>
          <w:sz w:val="20"/>
          <w:szCs w:val="20"/>
          <w:color w:val="auto"/>
        </w:rPr>
      </w:pPr>
      <w:r>
        <w:rPr>
          <w:rFonts w:ascii="Courier New" w:cs="Courier New" w:eastAsia="Courier New" w:hAnsi="Courier New"/>
          <w:sz w:val="12"/>
          <w:szCs w:val="12"/>
          <w:color w:val="auto"/>
        </w:rPr>
        <w:t>- 130 -</w:t>
      </w:r>
    </w:p>
    <w:p>
      <w:pPr>
        <w:spacing w:after="0" w:line="200" w:lineRule="exact"/>
        <w:rPr>
          <w:sz w:val="20"/>
          <w:szCs w:val="20"/>
          <w:color w:val="auto"/>
        </w:rPr>
      </w:pPr>
    </w:p>
    <w:p>
      <w:pPr>
        <w:spacing w:after="0" w:line="353" w:lineRule="exact"/>
        <w:rPr>
          <w:sz w:val="20"/>
          <w:szCs w:val="20"/>
          <w:color w:val="auto"/>
        </w:rPr>
      </w:pPr>
    </w:p>
    <w:p>
      <w:pPr>
        <w:ind w:left="364" w:hanging="364"/>
        <w:spacing w:after="0"/>
        <w:tabs>
          <w:tab w:leader="none" w:pos="364" w:val="left"/>
        </w:tabs>
        <w:numPr>
          <w:ilvl w:val="0"/>
          <w:numId w:val="1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DEFAULT</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17.1. EVENTS OF DEFAULT</w:t>
      </w:r>
    </w:p>
    <w:p>
      <w:pPr>
        <w:spacing w:after="0" w:line="147" w:lineRule="exact"/>
        <w:rPr>
          <w:sz w:val="20"/>
          <w:szCs w:val="20"/>
          <w:color w:val="auto"/>
        </w:rPr>
      </w:pPr>
    </w:p>
    <w:p>
      <w:pPr>
        <w:jc w:val="both"/>
        <w:ind w:left="744" w:right="4359"/>
        <w:spacing w:after="0" w:line="251" w:lineRule="auto"/>
        <w:rPr>
          <w:sz w:val="20"/>
          <w:szCs w:val="20"/>
          <w:color w:val="auto"/>
        </w:rPr>
      </w:pPr>
      <w:r>
        <w:rPr>
          <w:rFonts w:ascii="Courier New" w:cs="Courier New" w:eastAsia="Courier New" w:hAnsi="Courier New"/>
          <w:sz w:val="12"/>
          <w:szCs w:val="12"/>
          <w:color w:val="auto"/>
        </w:rPr>
        <w:t>Each of the events set out in clause 17.2 to clause 17.20B is an Event of Default (whether or not caused by any reason outside the control of the Borrower or of any other person).</w:t>
      </w:r>
    </w:p>
    <w:p>
      <w:pPr>
        <w:spacing w:after="0" w:line="140"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17.2. NON-PAYMENT</w:t>
      </w:r>
    </w:p>
    <w:p>
      <w:pPr>
        <w:spacing w:after="0" w:line="147" w:lineRule="exact"/>
        <w:rPr>
          <w:sz w:val="20"/>
          <w:szCs w:val="20"/>
          <w:color w:val="auto"/>
        </w:rPr>
      </w:pPr>
    </w:p>
    <w:p>
      <w:pPr>
        <w:ind w:left="744" w:right="4359"/>
        <w:spacing w:after="0" w:line="251" w:lineRule="auto"/>
        <w:rPr>
          <w:sz w:val="20"/>
          <w:szCs w:val="20"/>
          <w:color w:val="auto"/>
        </w:rPr>
      </w:pPr>
      <w:r>
        <w:rPr>
          <w:rFonts w:ascii="Courier New" w:cs="Courier New" w:eastAsia="Courier New" w:hAnsi="Courier New"/>
          <w:sz w:val="12"/>
          <w:szCs w:val="12"/>
          <w:color w:val="auto"/>
        </w:rPr>
        <w:t>The Borrower does not pay any amount payable by it under any Finance Document at the place and in the funds expressed to be payable, within the earlier of: (i) 7 (seven) Business Days; or (ii) 10 (ten) days, of the due date for payment.</w:t>
      </w:r>
    </w:p>
    <w:p>
      <w:pPr>
        <w:spacing w:after="0" w:line="139"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17.3. BREACH OF OBLIGATIONS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17.3.1. There is any breach of: (i) the provisions of any of clauses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16.4-16.7 (inclusive); clauses 16.8.4, 16.9.1, 16.10, 16.11,</w:t>
      </w:r>
    </w:p>
    <w:p>
      <w:pPr>
        <w:spacing w:after="0" w:line="6"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2"/>
          <w:szCs w:val="12"/>
          <w:color w:val="auto"/>
        </w:rPr>
        <w:t>16.13.1, 16.13.2, 16.15, 16.17, 16.19.1, 16.20, 16.24 and clauses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16.31-16.33 (inclusive) and, if such default is capable of remedy</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within such period, within 7 (seven) days after receipt by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Borrower of written notice from the Banks requiring the failure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to be remedied, the Borrower shall have failed to cure such</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default; or (ii) the provisions of any of clauses 16.25, 16.27 or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16.29.</w:t>
      </w:r>
    </w:p>
    <w:p>
      <w:pPr>
        <w:spacing w:after="0" w:line="147" w:lineRule="exact"/>
        <w:rPr>
          <w:sz w:val="20"/>
          <w:szCs w:val="20"/>
          <w:color w:val="auto"/>
        </w:rPr>
      </w:pPr>
    </w:p>
    <w:p>
      <w:pPr>
        <w:ind w:left="1104" w:right="4359" w:hanging="367"/>
        <w:spacing w:after="0" w:line="250" w:lineRule="auto"/>
        <w:rPr>
          <w:sz w:val="20"/>
          <w:szCs w:val="20"/>
          <w:color w:val="auto"/>
        </w:rPr>
      </w:pPr>
      <w:r>
        <w:rPr>
          <w:rFonts w:ascii="Courier New" w:cs="Courier New" w:eastAsia="Courier New" w:hAnsi="Courier New"/>
          <w:sz w:val="12"/>
          <w:szCs w:val="12"/>
          <w:color w:val="auto"/>
        </w:rPr>
        <w:t>17.3.2. The Borrower fails to comply with any undertaking or obligation contained in any Finance Document (other than an undertaking referred to in clause 17.3.1 above) and, if such default is capable of remedy within such period, within 14 (fourteen) days after receipt by the Borrower of written notice from the Banks requiring the failure to be remedied, the Borrower shall have failed to cure such default. For the removal of doubt, this clause 17.3 shall not be construed as derogating from any other provision of this clause 17 and, without limiting the generality of the aforegoing, the respective cure periods specified in this clause 17.3 shall be applicable only with respect to Defaults specified in clause 17.3.1(i) or this clause 17.3.2 (as applicable) and not to any other provision of this clause 17.</w:t>
      </w:r>
    </w:p>
    <w:p>
      <w:pPr>
        <w:spacing w:after="0" w:line="283"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17.3.3. No breach in respect only of Permitted Financial Indebtedness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as referred to in clause 1.1.115(c) above shall constitute an</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Event of Default, provided the conditions set forth in clauses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17.6.6(a) and (b) below are met.</w:t>
      </w:r>
    </w:p>
    <w:p>
      <w:pPr>
        <w:sectPr>
          <w:pgSz w:w="11900" w:h="16862" w:orient="portrait"/>
          <w:cols w:equalWidth="0" w:num="1">
            <w:col w:w="10244"/>
          </w:cols>
          <w:pgMar w:left="216" w:top="141" w:right="1440" w:bottom="0" w:gutter="0" w:footer="0" w:header="0"/>
        </w:sectPr>
      </w:pPr>
    </w:p>
    <w:p>
      <w:pPr>
        <w:spacing w:after="0" w:line="289" w:lineRule="exact"/>
        <w:rPr>
          <w:sz w:val="20"/>
          <w:szCs w:val="20"/>
          <w:color w:val="auto"/>
        </w:rPr>
      </w:pPr>
    </w:p>
    <w:p>
      <w:pPr>
        <w:ind w:left="2644"/>
        <w:spacing w:after="0"/>
        <w:rPr>
          <w:sz w:val="20"/>
          <w:szCs w:val="20"/>
          <w:color w:val="auto"/>
        </w:rPr>
      </w:pPr>
      <w:r>
        <w:rPr>
          <w:rFonts w:ascii="Courier New" w:cs="Courier New" w:eastAsia="Courier New" w:hAnsi="Courier New"/>
          <w:sz w:val="12"/>
          <w:szCs w:val="12"/>
          <w:color w:val="auto"/>
        </w:rPr>
        <w:t>- 131 -</w:t>
      </w:r>
    </w:p>
    <w:p>
      <w:pPr>
        <w:sectPr>
          <w:pgSz w:w="11900" w:h="16862" w:orient="portrait"/>
          <w:cols w:equalWidth="0" w:num="1">
            <w:col w:w="10244"/>
          </w:cols>
          <w:pgMar w:left="216" w:top="141" w:right="1440" w:bottom="0" w:gutter="0" w:footer="0" w:header="0"/>
          <w:type w:val="continuous"/>
        </w:sectPr>
      </w:pPr>
    </w:p>
    <w:bookmarkStart w:id="127" w:name="page128"/>
    <w:bookmarkEnd w:id="127"/>
    <w:p>
      <w:pPr>
        <w:spacing w:after="0"/>
        <w:rPr>
          <w:sz w:val="20"/>
          <w:szCs w:val="20"/>
          <w:color w:val="auto"/>
        </w:rPr>
      </w:pPr>
      <w:r>
        <w:rPr>
          <w:rFonts w:ascii="Courier New" w:cs="Courier New" w:eastAsia="Courier New" w:hAnsi="Courier New"/>
          <w:sz w:val="12"/>
          <w:szCs w:val="12"/>
          <w:color w:val="auto"/>
        </w:rPr>
        <w:t>17.4. MISREPRESENTATION/BREACH OF WARRANTIES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Any representation or warranty made or repeated by or on behalf of the Borrower in any Finance Document, or in any certificate or statement delivered by or on behalf of the Borrower or under any Finance Document is incorrect or misleading in any material respect when made or deemed to be made or repeated.</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17.5. INVALIDITY</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Any of the Finance Documents shall cease to be in full force and effect in any respect or shall cease to constitute the legal, valid, binding and enforceable obligation of the Borrower or in the case of any Security Document, fail to provide effective perfected security in favour of the Banks over the assets over which security is intended to be given by that Security Document.</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17.6. CROSS ACCELERATION</w:t>
      </w:r>
    </w:p>
    <w:p>
      <w:pPr>
        <w:spacing w:after="0" w:line="147" w:lineRule="exact"/>
        <w:rPr>
          <w:sz w:val="20"/>
          <w:szCs w:val="20"/>
          <w:color w:val="auto"/>
        </w:rPr>
      </w:pPr>
    </w:p>
    <w:p>
      <w:pPr>
        <w:ind w:left="740" w:right="4499" w:hanging="367"/>
        <w:spacing w:after="0" w:line="251" w:lineRule="auto"/>
        <w:rPr>
          <w:sz w:val="20"/>
          <w:szCs w:val="20"/>
          <w:color w:val="auto"/>
        </w:rPr>
      </w:pPr>
      <w:r>
        <w:rPr>
          <w:rFonts w:ascii="Courier New" w:cs="Courier New" w:eastAsia="Courier New" w:hAnsi="Courier New"/>
          <w:sz w:val="12"/>
          <w:szCs w:val="12"/>
          <w:color w:val="auto"/>
        </w:rPr>
        <w:t>17.6.1. Any amount in respect of Financial Indebtedness of the Borrower which aggregates US $20,000,000 (twenty million United States Dollars) or its equivalent, or more at any one time outstanding:</w:t>
      </w:r>
    </w:p>
    <w:p>
      <w:pPr>
        <w:spacing w:after="0" w:line="139" w:lineRule="exact"/>
        <w:rPr>
          <w:sz w:val="20"/>
          <w:szCs w:val="20"/>
          <w:color w:val="auto"/>
        </w:rPr>
      </w:pPr>
    </w:p>
    <w:p>
      <w:pPr>
        <w:ind w:left="1100" w:hanging="360"/>
        <w:spacing w:after="0"/>
        <w:tabs>
          <w:tab w:leader="none" w:pos="1100" w:val="left"/>
        </w:tabs>
        <w:numPr>
          <w:ilvl w:val="0"/>
          <w:numId w:val="1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becomes prematurely due and payable;</w:t>
      </w:r>
    </w:p>
    <w:p>
      <w:pPr>
        <w:spacing w:after="0" w:line="147" w:lineRule="exact"/>
        <w:rPr>
          <w:rFonts w:ascii="Courier New" w:cs="Courier New" w:eastAsia="Courier New" w:hAnsi="Courier New"/>
          <w:sz w:val="12"/>
          <w:szCs w:val="12"/>
          <w:color w:val="auto"/>
        </w:rPr>
      </w:pPr>
    </w:p>
    <w:p>
      <w:pPr>
        <w:ind w:left="1100" w:hanging="360"/>
        <w:spacing w:after="0"/>
        <w:tabs>
          <w:tab w:leader="none" w:pos="1100" w:val="left"/>
        </w:tabs>
        <w:numPr>
          <w:ilvl w:val="0"/>
          <w:numId w:val="1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becomes due for redemption before its normal maturity date;</w:t>
      </w:r>
    </w:p>
    <w:p>
      <w:pPr>
        <w:spacing w:after="0" w:line="147" w:lineRule="exact"/>
        <w:rPr>
          <w:rFonts w:ascii="Courier New" w:cs="Courier New" w:eastAsia="Courier New" w:hAnsi="Courier New"/>
          <w:sz w:val="12"/>
          <w:szCs w:val="12"/>
          <w:color w:val="auto"/>
        </w:rPr>
      </w:pPr>
    </w:p>
    <w:p>
      <w:pPr>
        <w:ind w:left="1100" w:hanging="360"/>
        <w:spacing w:after="0"/>
        <w:tabs>
          <w:tab w:leader="none" w:pos="1100" w:val="left"/>
        </w:tabs>
        <w:numPr>
          <w:ilvl w:val="0"/>
          <w:numId w:val="1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 placed on demand,</w:t>
      </w:r>
    </w:p>
    <w:p>
      <w:pPr>
        <w:spacing w:after="0" w:line="147"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in each such case by reason of the occurrence of an event of</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default (howsoever characterised) or any event having the same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effect resulting from a default by the Borrower.</w:t>
      </w:r>
    </w:p>
    <w:p>
      <w:pPr>
        <w:spacing w:after="0" w:line="147" w:lineRule="exact"/>
        <w:rPr>
          <w:sz w:val="20"/>
          <w:szCs w:val="20"/>
          <w:color w:val="auto"/>
        </w:rPr>
      </w:pPr>
    </w:p>
    <w:p>
      <w:pPr>
        <w:ind w:left="740" w:right="4419" w:hanging="367"/>
        <w:spacing w:after="0" w:line="250" w:lineRule="auto"/>
        <w:rPr>
          <w:sz w:val="20"/>
          <w:szCs w:val="20"/>
          <w:color w:val="auto"/>
        </w:rPr>
      </w:pPr>
      <w:r>
        <w:rPr>
          <w:rFonts w:ascii="Courier New" w:cs="Courier New" w:eastAsia="Courier New" w:hAnsi="Courier New"/>
          <w:sz w:val="12"/>
          <w:szCs w:val="12"/>
          <w:color w:val="auto"/>
        </w:rPr>
        <w:t>17.6.2. Any amount in respect of such Financial Indebtedness which aggregates US $20,000,000 (twenty million United States Dollars) or its equivalent, or more, are not paid when due (whether falling due by demand, at scheduled maturity or otherwise) or within any applicable grace period provided for in the document evidencing or constitute such Financial Indebtedness.</w:t>
      </w:r>
    </w:p>
    <w:p>
      <w:pPr>
        <w:spacing w:after="0" w:line="283"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- 132 -</w:t>
      </w:r>
    </w:p>
    <w:p>
      <w:pPr>
        <w:spacing w:after="0" w:line="200" w:lineRule="exact"/>
        <w:rPr>
          <w:sz w:val="20"/>
          <w:szCs w:val="20"/>
          <w:color w:val="auto"/>
        </w:rPr>
      </w:pPr>
    </w:p>
    <w:p>
      <w:pPr>
        <w:spacing w:after="0" w:line="353"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17.6.3. Any Encumbrances over any assets of any one or more members of the Group (taken together, if more than one) securing an aggregate of US $20,000,000 (twenty million United States Dollars) or its equivalent, or more, become enforceable and steps are taken to enforce the same.</w:t>
      </w:r>
    </w:p>
    <w:p>
      <w:pPr>
        <w:spacing w:after="0" w:line="141"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17.6.4. The Borrower or any Subsidiary fails to discharge in full any judgment debt entered against it in excess of an aggregate amount of US $20,000,000 (twenty million United States Dollars) or its equivalent, within 30 (thirty) days of the relevant judgment being entered against it, unless such judgment is being contested in good faith on reasonable grounds following external legal advice.</w:t>
      </w:r>
    </w:p>
    <w:p>
      <w:pPr>
        <w:spacing w:after="0" w:line="283"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17.6.5. Any default under or breach of the terms and conditions of the Permitted Subordinated Debt shall have occurred. For the removal of doubt, the institution of Proceedings as referred to in clause 1.1.118(j)(iii)(1)(A)(I), (II) or (III) above or the non-payment by the Borrower of amounts payable by it in respect of the Equity Convertible Debentures pursuant to clause 1.118(j)(ii)(1) or (2) above (including pursuant to a rescheduling agreement) shall be deemed to constitute a default under or breach of the terms and conditions of the Permitted Subordinated Debt.</w:t>
      </w:r>
    </w:p>
    <w:p>
      <w:pPr>
        <w:spacing w:after="0" w:line="141" w:lineRule="exact"/>
        <w:rPr>
          <w:sz w:val="20"/>
          <w:szCs w:val="20"/>
          <w:color w:val="auto"/>
        </w:rPr>
      </w:pPr>
    </w:p>
    <w:p>
      <w:pPr>
        <w:ind w:left="740" w:right="4419" w:hanging="367"/>
        <w:spacing w:after="0" w:line="251" w:lineRule="auto"/>
        <w:rPr>
          <w:sz w:val="20"/>
          <w:szCs w:val="20"/>
          <w:color w:val="auto"/>
        </w:rPr>
      </w:pPr>
      <w:r>
        <w:rPr>
          <w:rFonts w:ascii="Courier New" w:cs="Courier New" w:eastAsia="Courier New" w:hAnsi="Courier New"/>
          <w:sz w:val="12"/>
          <w:szCs w:val="12"/>
          <w:color w:val="auto"/>
        </w:rPr>
        <w:t>17.6.6. The aforegoing in this clause 17.6 shall not be applicable in respect only of Permitted Financial Indebtedness as referred to in clause 1.1.115(c) above and only, and for so long as, the following 2 (two) conditions are both met:</w:t>
      </w:r>
    </w:p>
    <w:p>
      <w:pPr>
        <w:spacing w:after="0" w:line="139" w:lineRule="exact"/>
        <w:rPr>
          <w:sz w:val="20"/>
          <w:szCs w:val="20"/>
          <w:color w:val="auto"/>
        </w:rPr>
      </w:pPr>
    </w:p>
    <w:p>
      <w:pPr>
        <w:ind w:left="1100" w:right="4499" w:hanging="360"/>
        <w:spacing w:after="0" w:line="253" w:lineRule="auto"/>
        <w:tabs>
          <w:tab w:leader="none" w:pos="1100" w:val="left"/>
        </w:tabs>
        <w:numPr>
          <w:ilvl w:val="0"/>
          <w:numId w:val="1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such Permitted Financial Indebtedness is to one or both of the Banks; and</w:t>
      </w:r>
    </w:p>
    <w:p>
      <w:pPr>
        <w:spacing w:after="0" w:line="138" w:lineRule="exact"/>
        <w:rPr>
          <w:rFonts w:ascii="Courier New" w:cs="Courier New" w:eastAsia="Courier New" w:hAnsi="Courier New"/>
          <w:sz w:val="12"/>
          <w:szCs w:val="12"/>
          <w:color w:val="auto"/>
        </w:rPr>
      </w:pPr>
    </w:p>
    <w:p>
      <w:pPr>
        <w:ind w:left="1100" w:right="4419" w:hanging="360"/>
        <w:spacing w:after="0" w:line="250" w:lineRule="auto"/>
        <w:tabs>
          <w:tab w:leader="none" w:pos="1100" w:val="left"/>
        </w:tabs>
        <w:numPr>
          <w:ilvl w:val="0"/>
          <w:numId w:val="1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such Permitted Financial Indebtedness is secured in full by deposits (in amounts to be not less than the amount of such Permitted Financial Indebtedness) placed with the relevant Banks and duly charged by first-ranking floating charge in favour of the Banks.</w:t>
      </w:r>
    </w:p>
    <w:p>
      <w:pPr>
        <w:spacing w:after="0" w:line="283" w:lineRule="exact"/>
        <w:rPr>
          <w:rFonts w:ascii="Courier New" w:cs="Courier New" w:eastAsia="Courier New" w:hAnsi="Courier New"/>
          <w:sz w:val="12"/>
          <w:szCs w:val="12"/>
          <w:color w:val="auto"/>
        </w:rPr>
      </w:pPr>
    </w:p>
    <w:p>
      <w:pPr>
        <w:ind w:left="2440" w:hanging="154"/>
        <w:spacing w:after="0"/>
        <w:tabs>
          <w:tab w:leader="none" w:pos="2440" w:val="left"/>
        </w:tabs>
        <w:numPr>
          <w:ilvl w:val="1"/>
          <w:numId w:val="1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133 -</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17.7. INSOLVENCY AND RESCHEDULING</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The Borrower is unable to pay its debts as they fall due or admits</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inability to pay its debts as they fall due, commences negotiations</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with any one or more of its creditors with a view to the general</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readjustment or rescheduling of its Indebtedness or makes a general</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assignment for the benefit of or a composition with its creditors.</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17.8. WINDING-UP</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The Borrower takes any corporate action or other steps are taken or Proceedings are started or are consented to or any Order is made for its winding-up, liquidation, bankruptcy, dissolution, administration or re-organisation (or for the suspension of payments generally or any process giving protection against creditors) or for the appointment of a liquidator, receiver, administrator, administrative receiver or similar officer of it or of all or any part of its revenues or assets or such a person is appointed, which action, steps, Proceedings or Order are not cancelled or withdrawn within 60 (sixty) days of the occurrence or institution thereof.</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17.9. EXECUTION OR OTHER PROCESS</w:t>
      </w:r>
    </w:p>
    <w:p>
      <w:pPr>
        <w:sectPr>
          <w:pgSz w:w="11900" w:h="16838" w:orient="portrait"/>
          <w:cols w:equalWidth="0" w:num="1">
            <w:col w:w="9879"/>
          </w:cols>
          <w:pgMar w:left="580" w:top="566" w:right="1440" w:bottom="0" w:gutter="0" w:footer="0" w:header="0"/>
        </w:sectPr>
      </w:pPr>
    </w:p>
    <w:bookmarkStart w:id="128" w:name="page129"/>
    <w:bookmarkEnd w:id="128"/>
    <w:p>
      <w:pPr>
        <w:ind w:left="380" w:right="4359"/>
        <w:spacing w:after="0" w:line="250" w:lineRule="auto"/>
        <w:rPr>
          <w:sz w:val="20"/>
          <w:szCs w:val="20"/>
          <w:color w:val="auto"/>
        </w:rPr>
      </w:pPr>
      <w:r>
        <w:rPr>
          <w:rFonts w:ascii="Courier New" w:cs="Courier New" w:eastAsia="Courier New" w:hAnsi="Courier New"/>
          <w:sz w:val="12"/>
          <w:szCs w:val="12"/>
          <w:color w:val="auto"/>
        </w:rPr>
        <w:t>Any execution, attachment, sequestration or other process arising out of any claim by any third party against the Borrower, save where: (a) the Borrower is in good faith on reasonable grounds, contesting the execution, attachment, sequestration or other process by appropriate Proceedings diligently pursued; (b) the Banks are satisfied that the ability of the Borrower to comply with its respective obligations under the Finance Documents will not be adversely affected whilst such distress, execution, attachment, diligence or other process is being so contested; and (c) such process as aforesaid is cancelled or withdrawn not later than 45 (forty-five) days after the institution thereof.</w:t>
      </w: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17.10. MATERIAL CONTRACTS</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17.10.1. [INTENTIONALLY OMITTED]</w:t>
      </w:r>
    </w:p>
    <w:p>
      <w:pPr>
        <w:spacing w:after="0" w:line="147"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17.10.2. Other than as permitted under clause 16.13 above: (i) any of the Material Contracts specified in Schedule 1.1.101 hereto shall cease to be in full force and effect or shall cease to constitute the legal, valid, binding and enforceable obligation of the Borrower or the relevant counterparty thereto; or (ii) any change adverse to the interests of the Borrower or the Banks is made to the terms of any of such Material Contracts, without the prior written consent of the Banks; or (iii) the specifications for Fab 2 are materially varied.</w:t>
      </w:r>
    </w:p>
    <w:p>
      <w:pPr>
        <w:spacing w:after="0" w:line="283"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- 134 -</w:t>
      </w:r>
    </w:p>
    <w:p>
      <w:pPr>
        <w:spacing w:after="0" w:line="200" w:lineRule="exact"/>
        <w:rPr>
          <w:sz w:val="20"/>
          <w:szCs w:val="20"/>
          <w:color w:val="auto"/>
        </w:rPr>
      </w:pPr>
    </w:p>
    <w:p>
      <w:pPr>
        <w:spacing w:after="0" w:line="35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17.10.3. [INTENTIONALLY DELETED]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17.11. PROCEEDINGS</w:t>
      </w:r>
    </w:p>
    <w:p>
      <w:pPr>
        <w:spacing w:after="0" w:line="147" w:lineRule="exact"/>
        <w:rPr>
          <w:sz w:val="20"/>
          <w:szCs w:val="20"/>
          <w:color w:val="auto"/>
        </w:rPr>
      </w:pPr>
    </w:p>
    <w:p>
      <w:pPr>
        <w:ind w:left="380" w:right="4419"/>
        <w:spacing w:after="0" w:line="251" w:lineRule="auto"/>
        <w:rPr>
          <w:sz w:val="20"/>
          <w:szCs w:val="20"/>
          <w:color w:val="auto"/>
        </w:rPr>
      </w:pPr>
      <w:r>
        <w:rPr>
          <w:rFonts w:ascii="Courier New" w:cs="Courier New" w:eastAsia="Courier New" w:hAnsi="Courier New"/>
          <w:sz w:val="12"/>
          <w:szCs w:val="12"/>
          <w:color w:val="auto"/>
        </w:rPr>
        <w:t>There is current or pending any litigation, dispute, arbitration, administrative, regulatory or other Proceedings or enquiry concerning or involving the Borrower which is likely to have a Material Adverse Effect.</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17.12. CONSENTS</w:t>
      </w:r>
    </w:p>
    <w:p>
      <w:pPr>
        <w:spacing w:after="0" w:line="147" w:lineRule="exact"/>
        <w:rPr>
          <w:sz w:val="20"/>
          <w:szCs w:val="20"/>
          <w:color w:val="auto"/>
        </w:rPr>
      </w:pPr>
    </w:p>
    <w:p>
      <w:pPr>
        <w:ind w:left="740" w:right="4359" w:hanging="367"/>
        <w:spacing w:after="0" w:line="251" w:lineRule="auto"/>
        <w:rPr>
          <w:sz w:val="20"/>
          <w:szCs w:val="20"/>
          <w:color w:val="auto"/>
        </w:rPr>
      </w:pPr>
      <w:r>
        <w:rPr>
          <w:rFonts w:ascii="Courier New" w:cs="Courier New" w:eastAsia="Courier New" w:hAnsi="Courier New"/>
          <w:sz w:val="12"/>
          <w:szCs w:val="12"/>
          <w:color w:val="auto"/>
        </w:rPr>
        <w:t>17.12.1. Any Consent necessary for the Borrower to comply with its obligations under the Finance Documents or to perform the Project in whole or in part:</w:t>
      </w:r>
    </w:p>
    <w:p>
      <w:pPr>
        <w:spacing w:after="0" w:line="140" w:lineRule="exact"/>
        <w:rPr>
          <w:sz w:val="20"/>
          <w:szCs w:val="20"/>
          <w:color w:val="auto"/>
        </w:rPr>
      </w:pPr>
    </w:p>
    <w:p>
      <w:pPr>
        <w:ind w:left="1100" w:right="4499" w:hanging="360"/>
        <w:spacing w:after="0" w:line="250" w:lineRule="auto"/>
        <w:tabs>
          <w:tab w:leader="none" w:pos="1100" w:val="left"/>
        </w:tabs>
        <w:numPr>
          <w:ilvl w:val="0"/>
          <w:numId w:val="1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 not obtained or is surrendered, terminated, withdrawn, suspended, cancelled or revoked or does not remain in full force and effect or otherwise expires and is not renewed prior to its expiry (in each case, without replacement by permits, consents or authorisations, as applicable, having equivalent effect); or</w:t>
      </w:r>
    </w:p>
    <w:p>
      <w:pPr>
        <w:spacing w:after="0" w:line="141" w:lineRule="exact"/>
        <w:rPr>
          <w:rFonts w:ascii="Courier New" w:cs="Courier New" w:eastAsia="Courier New" w:hAnsi="Courier New"/>
          <w:sz w:val="12"/>
          <w:szCs w:val="12"/>
          <w:color w:val="auto"/>
        </w:rPr>
      </w:pPr>
    </w:p>
    <w:p>
      <w:pPr>
        <w:ind w:left="1100" w:hanging="360"/>
        <w:spacing w:after="0"/>
        <w:tabs>
          <w:tab w:leader="none" w:pos="1100" w:val="left"/>
        </w:tabs>
        <w:numPr>
          <w:ilvl w:val="0"/>
          <w:numId w:val="1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 modified in any material adverse respect or breached.</w:t>
      </w:r>
    </w:p>
    <w:p>
      <w:pPr>
        <w:spacing w:after="0" w:line="147"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17.12.2. The Borrower becomes aware of any event which is reasonably likely to give rise to the revocation, termination, cancellation or suspension of the Consents or any of them (without replacement) in such circumstance where the Borrower is unable to demonstrate to the reasonable satisfaction of the Banks within 30 (thirty) days of such event occurring that such termination, suspension or revocation will not occur.</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17.13. MATERIAL ADVERSE EFFECT</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Any event or series of events occur which, in the reasonable opinion of the Banks, after discussion with the Borrower, is likely to have a Material Adverse Effect, including, any material adverse change in the business or financial condition of the Borrower or in the ability of the Borrower to perform its obligations under the Finance Documents or under the Material Contracts or to complete the Project.</w:t>
      </w:r>
    </w:p>
    <w:p>
      <w:pPr>
        <w:spacing w:after="0" w:line="283"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- 135 -</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17.14. FAB 2</w:t>
      </w:r>
    </w:p>
    <w:p>
      <w:pPr>
        <w:spacing w:after="0" w:line="147" w:lineRule="exact"/>
        <w:rPr>
          <w:sz w:val="20"/>
          <w:szCs w:val="20"/>
          <w:color w:val="auto"/>
        </w:rPr>
      </w:pPr>
    </w:p>
    <w:p>
      <w:pPr>
        <w:ind w:left="380" w:right="4359"/>
        <w:spacing w:after="0" w:line="251" w:lineRule="auto"/>
        <w:rPr>
          <w:sz w:val="20"/>
          <w:szCs w:val="20"/>
          <w:color w:val="auto"/>
        </w:rPr>
      </w:pPr>
      <w:r>
        <w:rPr>
          <w:rFonts w:ascii="Courier New" w:cs="Courier New" w:eastAsia="Courier New" w:hAnsi="Courier New"/>
          <w:sz w:val="12"/>
          <w:szCs w:val="12"/>
          <w:color w:val="auto"/>
        </w:rPr>
        <w:t>Fab 2 or any other material equipment needed for the Project is destroyed or materially damaged so as to render Fab 2 or a substantial portion thereof inoperable or declared by the insurers to be a total loss or a constructive total loss.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17.15. COMPLETION OF FAB 2</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17.16. CONSTRUCTION CONTRACT</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17.17. GOVERNMENT ACTION</w:t>
      </w:r>
    </w:p>
    <w:p>
      <w:pPr>
        <w:spacing w:after="0" w:line="147" w:lineRule="exact"/>
        <w:rPr>
          <w:sz w:val="20"/>
          <w:szCs w:val="20"/>
          <w:color w:val="auto"/>
        </w:rPr>
      </w:pPr>
    </w:p>
    <w:p>
      <w:pPr>
        <w:ind w:left="380" w:right="4419"/>
        <w:spacing w:after="0" w:line="249" w:lineRule="auto"/>
        <w:rPr>
          <w:sz w:val="20"/>
          <w:szCs w:val="20"/>
          <w:color w:val="auto"/>
        </w:rPr>
      </w:pPr>
      <w:r>
        <w:rPr>
          <w:rFonts w:ascii="Courier New" w:cs="Courier New" w:eastAsia="Courier New" w:hAnsi="Courier New"/>
          <w:sz w:val="12"/>
          <w:szCs w:val="12"/>
          <w:color w:val="auto"/>
        </w:rPr>
        <w:t>Any government or Governmental Body: (a) nationalises, seizes or expropriates all or any substantial or material part of the assets of the Borrower, or its share capital, or Fab 2 or any part thereof; or</w:t>
      </w:r>
    </w:p>
    <w:p>
      <w:pPr>
        <w:spacing w:after="0" w:line="2" w:lineRule="exact"/>
        <w:rPr>
          <w:sz w:val="20"/>
          <w:szCs w:val="20"/>
          <w:color w:val="auto"/>
        </w:rPr>
      </w:pPr>
    </w:p>
    <w:p>
      <w:pPr>
        <w:ind w:left="380" w:right="4499" w:hanging="8"/>
        <w:spacing w:after="0" w:line="249" w:lineRule="auto"/>
        <w:tabs>
          <w:tab w:leader="none" w:pos="675" w:val="left"/>
        </w:tabs>
        <w:numPr>
          <w:ilvl w:val="0"/>
          <w:numId w:val="1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assumes custody or control of such assets, or of the business or operations of the Borrower, or of its share capital or of Fab 2; or</w:t>
      </w:r>
    </w:p>
    <w:p>
      <w:pPr>
        <w:spacing w:after="0" w:line="1" w:lineRule="exact"/>
        <w:rPr>
          <w:rFonts w:ascii="Courier New" w:cs="Courier New" w:eastAsia="Courier New" w:hAnsi="Courier New"/>
          <w:sz w:val="12"/>
          <w:szCs w:val="12"/>
          <w:color w:val="auto"/>
        </w:rPr>
      </w:pPr>
    </w:p>
    <w:p>
      <w:pPr>
        <w:ind w:left="380" w:right="4359" w:hanging="8"/>
        <w:spacing w:after="0" w:line="250" w:lineRule="auto"/>
        <w:tabs>
          <w:tab w:leader="none" w:pos="675" w:val="left"/>
        </w:tabs>
        <w:numPr>
          <w:ilvl w:val="0"/>
          <w:numId w:val="1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takes any action for the dissolution of the Borrower, or (d) takes any action that would prevent the Borrower or its officers from carrying on its business or operations or a substantial or material part thereof, or the Project; or by or under the authority of the government of Israel or any other competent Israeli Governmental Body any law is introduced after the date hereof imposing restrictions on the free exchange of NIS for Dollars or of Dollars for NIS.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17.18. ILLEGALITY</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It is or becomes unlawful for the Borrower to perform any of its</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material obligations under the Finance Documents or any of its</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material obligations under any of the Material Contracts.</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17.19. INVESTMENT CENTRE FAB 2 GRANTS</w:t>
      </w:r>
    </w:p>
    <w:p>
      <w:pPr>
        <w:sectPr>
          <w:pgSz w:w="11900" w:h="16838" w:orient="portrait"/>
          <w:cols w:equalWidth="0" w:num="1">
            <w:col w:w="9879"/>
          </w:cols>
          <w:pgMar w:left="580" w:top="141" w:right="1440" w:bottom="0" w:gutter="0" w:footer="0" w:header="0"/>
        </w:sectPr>
      </w:pPr>
    </w:p>
    <w:bookmarkStart w:id="129" w:name="page130"/>
    <w:bookmarkEnd w:id="129"/>
    <w:p>
      <w:pPr>
        <w:spacing w:after="0" w:line="11"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The Borrower is in breach of any material condition of the approvals of the Investment Centre Fab 2 Grants or the Israeli government cancels or reduces such Grants or any part thereof (save to the extent that such Grants may be, and are in fact, replaced by Paid-in Equity and/or equity equivalent capital notes and/or wafer prepayments under Qualifying Wafer Prepayment Contracts pursuant to and subject to the conditions set out in clause 16.27 above).</w:t>
      </w:r>
    </w:p>
    <w:p>
      <w:pPr>
        <w:spacing w:after="0" w:line="283"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- 136 -</w:t>
      </w:r>
    </w:p>
    <w:p>
      <w:pPr>
        <w:spacing w:after="0" w:line="200" w:lineRule="exact"/>
        <w:rPr>
          <w:sz w:val="20"/>
          <w:szCs w:val="20"/>
          <w:color w:val="auto"/>
        </w:rPr>
      </w:pPr>
    </w:p>
    <w:p>
      <w:pPr>
        <w:spacing w:after="0" w:line="353" w:lineRule="exact"/>
        <w:rPr>
          <w:sz w:val="20"/>
          <w:szCs w:val="20"/>
          <w:color w:val="auto"/>
        </w:rPr>
      </w:pPr>
    </w:p>
    <w:p>
      <w:pPr>
        <w:ind w:left="380" w:right="4879" w:hanging="367"/>
        <w:spacing w:after="0" w:line="253" w:lineRule="auto"/>
        <w:rPr>
          <w:sz w:val="20"/>
          <w:szCs w:val="20"/>
          <w:color w:val="auto"/>
        </w:rPr>
      </w:pPr>
      <w:r>
        <w:rPr>
          <w:rFonts w:ascii="Courier New" w:cs="Courier New" w:eastAsia="Courier New" w:hAnsi="Courier New"/>
          <w:sz w:val="12"/>
          <w:szCs w:val="12"/>
          <w:color w:val="auto"/>
        </w:rPr>
        <w:t>17.20. DEFAULT BY THE BORROWER UNDER ANY QUALIFYING WAFER PREPAYMENT CONTRACT</w:t>
      </w:r>
    </w:p>
    <w:p>
      <w:pPr>
        <w:spacing w:after="0" w:line="138"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17.20A. PROHIBITED PAYMENT UNDER THE PERMITTED SUBORDINATED DEBT</w:t>
      </w:r>
    </w:p>
    <w:p>
      <w:pPr>
        <w:spacing w:after="0" w:line="147" w:lineRule="exact"/>
        <w:rPr>
          <w:sz w:val="20"/>
          <w:szCs w:val="20"/>
          <w:color w:val="auto"/>
        </w:rPr>
      </w:pPr>
    </w:p>
    <w:p>
      <w:pPr>
        <w:jc w:val="both"/>
        <w:ind w:left="380" w:right="4359"/>
        <w:spacing w:after="0" w:line="251" w:lineRule="auto"/>
        <w:rPr>
          <w:sz w:val="20"/>
          <w:szCs w:val="20"/>
          <w:color w:val="auto"/>
        </w:rPr>
      </w:pPr>
      <w:r>
        <w:rPr>
          <w:rFonts w:ascii="Courier New" w:cs="Courier New" w:eastAsia="Courier New" w:hAnsi="Courier New"/>
          <w:sz w:val="12"/>
          <w:szCs w:val="12"/>
          <w:color w:val="auto"/>
        </w:rPr>
        <w:t>The Borrower shall make any payment (whether of principal, Interest or any other amount) in respect of the Permitted Subordinated Debt, other than as permitted pursuant to the provisions of clause 1.1.118 above.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17.20B. OUTSIDE INVESTMENT UNDERTAKINGS</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17.20B.1. [INTENTIONALLY DELETED]</w:t>
      </w:r>
    </w:p>
    <w:p>
      <w:pPr>
        <w:spacing w:after="0" w:line="147" w:lineRule="exact"/>
        <w:rPr>
          <w:sz w:val="20"/>
          <w:szCs w:val="20"/>
          <w:color w:val="auto"/>
        </w:rPr>
      </w:pPr>
    </w:p>
    <w:p>
      <w:pPr>
        <w:ind w:left="1480" w:right="4359" w:hanging="1103"/>
        <w:spacing w:after="0" w:line="250" w:lineRule="auto"/>
        <w:tabs>
          <w:tab w:leader="none" w:pos="1460" w:val="left"/>
        </w:tabs>
        <w:rPr>
          <w:sz w:val="20"/>
          <w:szCs w:val="20"/>
          <w:color w:val="auto"/>
        </w:rPr>
      </w:pPr>
      <w:r>
        <w:rPr>
          <w:rFonts w:ascii="Courier New" w:cs="Courier New" w:eastAsia="Courier New" w:hAnsi="Courier New"/>
          <w:sz w:val="12"/>
          <w:szCs w:val="12"/>
          <w:color w:val="auto"/>
        </w:rPr>
        <w:t>17.20B.2. (a)</w:t>
        <w:tab/>
        <w:t>Any of the representations and warranties by any Lead Investor in any Outside Investment Undertaking to which it is a party are incorrect or misleading in any material respect when made or deemed to be made or repeated.</w:t>
      </w:r>
    </w:p>
    <w:p>
      <w:pPr>
        <w:spacing w:after="0" w:line="141" w:lineRule="exact"/>
        <w:rPr>
          <w:sz w:val="20"/>
          <w:szCs w:val="20"/>
          <w:color w:val="auto"/>
        </w:rPr>
      </w:pPr>
    </w:p>
    <w:p>
      <w:pPr>
        <w:ind w:left="1480" w:right="4359" w:hanging="372"/>
        <w:spacing w:after="0" w:line="250" w:lineRule="auto"/>
        <w:tabs>
          <w:tab w:leader="none" w:pos="1480" w:val="left"/>
        </w:tabs>
        <w:numPr>
          <w:ilvl w:val="0"/>
          <w:numId w:val="1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Lead Investor fails to comply with any undertaking or obligation contained in any Outside Investment Undertaking to which it is a party and, if such default is capable of remedy within such period, within 7 (seven) days after the earlier of the Lead Investor becoming aware of such default and receipt by the Lead Investor of written notice from the Banks requiring the failure to be remedied, that Lead Investor shall have failed to cure such default.</w:t>
      </w:r>
    </w:p>
    <w:p>
      <w:pPr>
        <w:spacing w:after="0" w:line="141" w:lineRule="exact"/>
        <w:rPr>
          <w:rFonts w:ascii="Courier New" w:cs="Courier New" w:eastAsia="Courier New" w:hAnsi="Courier New"/>
          <w:sz w:val="12"/>
          <w:szCs w:val="12"/>
          <w:color w:val="auto"/>
        </w:rPr>
      </w:pPr>
    </w:p>
    <w:p>
      <w:pPr>
        <w:ind w:left="1480" w:right="4359" w:hanging="372"/>
        <w:spacing w:after="0" w:line="250" w:lineRule="auto"/>
        <w:tabs>
          <w:tab w:leader="none" w:pos="1480" w:val="left"/>
        </w:tabs>
        <w:numPr>
          <w:ilvl w:val="0"/>
          <w:numId w:val="1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Outside Investment Undertaking shall cease to be in full force and effect in any material respect or shall cease to constitute the legal, valid, binding and enforceable obligation of any Lead Investor party to it or it shall be unlawful for any Lead Investor to perform any of its material obligations under any of the Outside Investment Undertakings, unless it expires in accordance with its terms.</w:t>
      </w:r>
    </w:p>
    <w:p>
      <w:pPr>
        <w:spacing w:after="0" w:line="282" w:lineRule="exact"/>
        <w:rPr>
          <w:rFonts w:ascii="Courier New" w:cs="Courier New" w:eastAsia="Courier New" w:hAnsi="Courier New"/>
          <w:sz w:val="12"/>
          <w:szCs w:val="12"/>
          <w:color w:val="auto"/>
        </w:rPr>
      </w:pPr>
    </w:p>
    <w:p>
      <w:pPr>
        <w:ind w:left="2440" w:hanging="154"/>
        <w:spacing w:after="0"/>
        <w:tabs>
          <w:tab w:leader="none" w:pos="2440" w:val="left"/>
        </w:tabs>
        <w:numPr>
          <w:ilvl w:val="1"/>
          <w:numId w:val="1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137 -</w:t>
      </w:r>
    </w:p>
    <w:p>
      <w:pPr>
        <w:spacing w:after="0" w:line="200" w:lineRule="exact"/>
        <w:rPr>
          <w:rFonts w:ascii="Courier New" w:cs="Courier New" w:eastAsia="Courier New" w:hAnsi="Courier New"/>
          <w:sz w:val="12"/>
          <w:szCs w:val="12"/>
          <w:color w:val="auto"/>
        </w:rPr>
      </w:pPr>
    </w:p>
    <w:p>
      <w:pPr>
        <w:spacing w:after="0" w:line="353" w:lineRule="exact"/>
        <w:rPr>
          <w:rFonts w:ascii="Courier New" w:cs="Courier New" w:eastAsia="Courier New" w:hAnsi="Courier New"/>
          <w:sz w:val="12"/>
          <w:szCs w:val="12"/>
          <w:color w:val="auto"/>
        </w:rPr>
      </w:pPr>
    </w:p>
    <w:p>
      <w:pPr>
        <w:ind w:left="1480" w:right="4639" w:hanging="372"/>
        <w:spacing w:after="0" w:line="253" w:lineRule="auto"/>
        <w:tabs>
          <w:tab w:leader="none" w:pos="1480" w:val="left"/>
        </w:tabs>
        <w:numPr>
          <w:ilvl w:val="0"/>
          <w:numId w:val="1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Lead Investor repudiates the Outside Investment Undertaking to which it is a party.</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17.20C. ADDITIONAL INVESTMENT UNDERTAKINGS</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17.21. ACCELERATION</w:t>
      </w:r>
    </w:p>
    <w:p>
      <w:pPr>
        <w:spacing w:after="0" w:line="147" w:lineRule="exact"/>
        <w:rPr>
          <w:sz w:val="20"/>
          <w:szCs w:val="20"/>
          <w:color w:val="auto"/>
        </w:rPr>
      </w:pPr>
    </w:p>
    <w:p>
      <w:pPr>
        <w:ind w:left="380" w:right="4419"/>
        <w:spacing w:after="0" w:line="251" w:lineRule="auto"/>
        <w:rPr>
          <w:sz w:val="20"/>
          <w:szCs w:val="20"/>
          <w:color w:val="auto"/>
        </w:rPr>
      </w:pPr>
      <w:r>
        <w:rPr>
          <w:rFonts w:ascii="Courier New" w:cs="Courier New" w:eastAsia="Courier New" w:hAnsi="Courier New"/>
          <w:sz w:val="12"/>
          <w:szCs w:val="12"/>
          <w:color w:val="auto"/>
        </w:rPr>
        <w:t>Upon the occurrence of an Event of Default and at any time thereafter while the same is continuing, the Banks may, by notice to the Borrower:</w:t>
      </w:r>
    </w:p>
    <w:p>
      <w:pPr>
        <w:spacing w:after="0" w:line="140"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17.21.1. declare that an Event of Default has occurred; and/or</w:t>
      </w:r>
    </w:p>
    <w:p>
      <w:pPr>
        <w:spacing w:after="0" w:line="147" w:lineRule="exact"/>
        <w:rPr>
          <w:sz w:val="20"/>
          <w:szCs w:val="20"/>
          <w:color w:val="auto"/>
        </w:rPr>
      </w:pPr>
    </w:p>
    <w:p>
      <w:pPr>
        <w:ind w:left="740" w:right="4419" w:hanging="367"/>
        <w:spacing w:after="0" w:line="250" w:lineRule="auto"/>
        <w:rPr>
          <w:sz w:val="20"/>
          <w:szCs w:val="20"/>
          <w:color w:val="auto"/>
        </w:rPr>
      </w:pPr>
      <w:r>
        <w:rPr>
          <w:rFonts w:ascii="Courier New" w:cs="Courier New" w:eastAsia="Courier New" w:hAnsi="Courier New"/>
          <w:sz w:val="12"/>
          <w:szCs w:val="12"/>
          <w:color w:val="auto"/>
        </w:rPr>
        <w:t>17.21.2. declare that the Loans together with all Interest accrued on all Loans and all other amounts (including amounts due under clause 19, to the extent applicable) payable by the Borrower under the Finance Documents from time to time, shall thenceforth be repayable on demand being made by the Banks (and in the event of any such demand, the Loans, such Interest and such other amounts shall be immediately due and payable); and/or</w:t>
      </w:r>
    </w:p>
    <w:p>
      <w:pPr>
        <w:spacing w:after="0" w:line="141"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17.21.3. declare the Loans immediately due and payable, whereupon they shall become immediately due and payable, together with all Interest accrued on the Loans and all other amounts payable by the Borrower or under the Finance Documents (including, amounts due under clause 19, to the extent applicable); and/or</w:t>
      </w:r>
    </w:p>
    <w:p>
      <w:pPr>
        <w:spacing w:after="0" w:line="141"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17.21.4. [INTENTIONALLY DELETED]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17.22. LOANS DUE ON DEMAND</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If, pursuant to clause 17.21.2 above the Banks declare the Loans to be due and payable on demand, then and at any time thereafter, so long as any Event of Default is continuing or has not been waived, the Banks may by written notice to the Borrower require repayment of the Loans on such date as the Banks may specify in such notice (whereupon the same shall become due and payable on such date together with accrued Interest thereon and any other sums then owed by the Borrower hereunder) or withdraw such declaration with effect from such date as they may specify in such notice.</w:t>
      </w:r>
    </w:p>
    <w:p>
      <w:pPr>
        <w:spacing w:after="0" w:line="283"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- 138 -</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17.23. COLLECTION</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In the event of acceleration of the Loans pursuant to clause 17.21.3 above or of a written notice under clause 17.22 above, then, without derogating from any other remedies or relief available to the Banks under law or under any of the Finance Documents, the Banks shall be entitled to take all steps as they deem fit in order to collect all sums owed by the Borrower to the Banks (including all sums referred to</w:t>
      </w:r>
    </w:p>
    <w:p>
      <w:pPr>
        <w:sectPr>
          <w:pgSz w:w="11900" w:h="16849" w:orient="portrait"/>
          <w:cols w:equalWidth="0" w:num="1">
            <w:col w:w="9879"/>
          </w:cols>
          <w:pgMar w:left="580" w:top="141" w:right="1440" w:bottom="0" w:gutter="0" w:footer="0" w:header="0"/>
        </w:sectPr>
      </w:pPr>
    </w:p>
    <w:bookmarkStart w:id="130" w:name="page131"/>
    <w:bookmarkEnd w:id="130"/>
    <w:p>
      <w:pPr>
        <w:spacing w:after="0" w:line="30" w:lineRule="exact"/>
        <w:rPr>
          <w:sz w:val="20"/>
          <w:szCs w:val="20"/>
          <w:color w:val="auto"/>
        </w:rPr>
      </w:pPr>
    </w:p>
    <w:p>
      <w:pPr>
        <w:ind w:left="744" w:right="4359"/>
        <w:spacing w:after="0" w:line="251" w:lineRule="auto"/>
        <w:rPr>
          <w:sz w:val="20"/>
          <w:szCs w:val="20"/>
          <w:color w:val="auto"/>
        </w:rPr>
      </w:pPr>
      <w:r>
        <w:rPr>
          <w:rFonts w:ascii="Courier New" w:cs="Courier New" w:eastAsia="Courier New" w:hAnsi="Courier New"/>
          <w:sz w:val="12"/>
          <w:szCs w:val="12"/>
          <w:color w:val="auto"/>
        </w:rPr>
        <w:t>in clause 17.21 above), including, to realise all or any of the assets secured under the Security Documents, all at the expense of the Borrower and to utilise the sums received to repay in part or in full all amounts owed by the Borrower hereunder.</w:t>
      </w:r>
    </w:p>
    <w:p>
      <w:pPr>
        <w:spacing w:after="0" w:line="139"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17.24. INDEMNITY</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Borrower shall indemnify the Banks against any losses, charges or</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expenses which the Banks may sustain or incur as a consequence of:</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17.24.1. the occurrence of any Event of Default or Default; or</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17.24.2. the operation of clauses 17.21, 17.22 or 17.23,</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including, any losses, charges or expenses on account of funds</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acquired, contracted for or utilised to fund any amount payable under</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this Agreement or any amount repaid or prepaid. A certificate of the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Banks as to the amount of any such loss or expense shall be PRIMA</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FACIE evidence in the absence of manifest error.</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17.25. TERMINATION OF COMMITMENT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ind w:left="364" w:hanging="364"/>
        <w:spacing w:after="0"/>
        <w:tabs>
          <w:tab w:leader="none" w:pos="364" w:val="left"/>
        </w:tabs>
        <w:numPr>
          <w:ilvl w:val="0"/>
          <w:numId w:val="1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DEFAULT INTEREST</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18.1. DEFAULT RATE PERIODS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If any sum due and payable by the Borrower hereunder or under any</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other Finance Document is not paid on the due date therefor in</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accordance with the provisions of this Agreement ("UNPAID SUM"), the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period beginning on such due date and ending on the date upon which</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obligation of the Borrower to pay the Unpaid Sum is discharged,</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shall be divided into successive periods, each of which (other than</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first) shall start on the last day of such preceding period and</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 duration of each of which shall (except as otherwise provided in</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this clause 18) be selected by the Banks (such periods selected as</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aforesaid "INTEREST PERIODS").</w:t>
      </w:r>
    </w:p>
    <w:p>
      <w:pPr>
        <w:spacing w:after="0" w:line="289" w:lineRule="exact"/>
        <w:rPr>
          <w:sz w:val="20"/>
          <w:szCs w:val="20"/>
          <w:color w:val="auto"/>
        </w:rPr>
      </w:pPr>
    </w:p>
    <w:p>
      <w:pPr>
        <w:ind w:left="2644"/>
        <w:spacing w:after="0"/>
        <w:rPr>
          <w:sz w:val="20"/>
          <w:szCs w:val="20"/>
          <w:color w:val="auto"/>
        </w:rPr>
      </w:pPr>
      <w:r>
        <w:rPr>
          <w:rFonts w:ascii="Courier New" w:cs="Courier New" w:eastAsia="Courier New" w:hAnsi="Courier New"/>
          <w:sz w:val="12"/>
          <w:szCs w:val="12"/>
          <w:color w:val="auto"/>
        </w:rPr>
        <w:t>- 139 -</w:t>
      </w:r>
    </w:p>
    <w:p>
      <w:pPr>
        <w:spacing w:after="0" w:line="200" w:lineRule="exact"/>
        <w:rPr>
          <w:sz w:val="20"/>
          <w:szCs w:val="20"/>
          <w:color w:val="auto"/>
        </w:rPr>
      </w:pPr>
    </w:p>
    <w:p>
      <w:pPr>
        <w:spacing w:after="0" w:line="353"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18.2. DEFAULT INTEREST</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During each such Interest Period as is mentioned in clause 18.1 above, an Unpaid Sum shall bear Interest at the rate per annum which is the sum from time to time of: (a) 3% (three percent); and (b) the Interest rate in respect of such Interest Period as would have been determined in accordance with clause 9.1.1 above (provided that, if, for any such Interest Period LIBOR cannot be determined, the rate of Interest applicable to such Unpaid Sum shall be the rate per annum which is the sum of: (i) 3% (three percent); and (ii) 1.1% (one point one percent) plus a rate as certified by the Banks in accordance with clause 9 above.</w:t>
      </w:r>
    </w:p>
    <w:p>
      <w:pPr>
        <w:spacing w:after="0" w:line="141"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18.3. PAYMENT OF DEFAULT INTEREST</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Any Interest which shall have accrued under clause 18.2 above in respect of an Unpaid Sum shall be due and payable and shall be paid by the Borrower at the end of each Interest Period by reference to which it is calculated or on such other dates as the Banks may specify by written notice to the Borrower.</w:t>
      </w:r>
    </w:p>
    <w:p>
      <w:pPr>
        <w:spacing w:after="0" w:line="141" w:lineRule="exact"/>
        <w:rPr>
          <w:sz w:val="20"/>
          <w:szCs w:val="20"/>
          <w:color w:val="auto"/>
        </w:rPr>
      </w:pPr>
    </w:p>
    <w:p>
      <w:pPr>
        <w:ind w:left="364" w:right="8099" w:hanging="364"/>
        <w:spacing w:after="0" w:line="499" w:lineRule="auto"/>
        <w:tabs>
          <w:tab w:leader="none" w:pos="364" w:val="left"/>
        </w:tabs>
        <w:numPr>
          <w:ilvl w:val="0"/>
          <w:numId w:val="1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BROKEN FUNDING INDEMNITY 19.1. BROKEN FUNDING</w:t>
      </w:r>
    </w:p>
    <w:p>
      <w:pPr>
        <w:spacing w:after="0" w:line="1"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If any Bank receives or recovers all or any part of the Loans otherwise than on the scheduled date of repayment of the Loans, the Borrower shall on the first Interest Payment Date following such repayment on demand pay to such Bank an amount equal to the amount (if any) by which: (a) the additional amount of Interest which would, in accordance with the terms of this Agreement, have been payable on the amount so received or recovered had it been received or recovered on the following Interest Payment Date exceeds (b) the amount of Interest which, in the opinion of such Bank, would have been payable to such Bank on the last day of such Interest Period in respect of a deposit in the currency of the Loans, of an amount equal to the amount so received or recovered, had such an amount been placed by it with a prime bank in London for a period starting on the date of such receipt or recovery and ending on the following Interest Payment Date. For the removal of all doubt: (i) with respect to all or any part of the Loans received or recovered otherwise than on the scheduled date of repayment of such amount relating to the Loans, the payment set forth above shall only be made once; and (ii) voluntary or mandatory prepayments made in accordance with clause 7 or 8, as the case may be, on an Interest Payment Date shall not be subject to a payment of broken funding in accordance with this clause 19.1.</w:t>
      </w:r>
    </w:p>
    <w:p>
      <w:pPr>
        <w:spacing w:after="0" w:line="283" w:lineRule="exact"/>
        <w:rPr>
          <w:sz w:val="20"/>
          <w:szCs w:val="20"/>
          <w:color w:val="auto"/>
        </w:rPr>
      </w:pPr>
    </w:p>
    <w:p>
      <w:pPr>
        <w:ind w:left="2644"/>
        <w:spacing w:after="0"/>
        <w:rPr>
          <w:sz w:val="20"/>
          <w:szCs w:val="20"/>
          <w:color w:val="auto"/>
        </w:rPr>
      </w:pPr>
      <w:r>
        <w:rPr>
          <w:rFonts w:ascii="Courier New" w:cs="Courier New" w:eastAsia="Courier New" w:hAnsi="Courier New"/>
          <w:sz w:val="12"/>
          <w:szCs w:val="12"/>
          <w:color w:val="auto"/>
        </w:rPr>
        <w:t>- 140 -</w:t>
      </w:r>
    </w:p>
    <w:p>
      <w:pPr>
        <w:spacing w:after="0" w:line="200" w:lineRule="exact"/>
        <w:rPr>
          <w:sz w:val="20"/>
          <w:szCs w:val="20"/>
          <w:color w:val="auto"/>
        </w:rPr>
      </w:pPr>
    </w:p>
    <w:p>
      <w:pPr>
        <w:spacing w:after="0" w:line="353"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19.2. FAILURE TO DRAW ADVANCE</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[INTENTIONALLY DELETED]</w:t>
      </w:r>
    </w:p>
    <w:p>
      <w:pPr>
        <w:spacing w:after="0" w:line="147" w:lineRule="exact"/>
        <w:rPr>
          <w:sz w:val="20"/>
          <w:szCs w:val="20"/>
          <w:color w:val="auto"/>
        </w:rPr>
      </w:pPr>
    </w:p>
    <w:p>
      <w:pPr>
        <w:ind w:left="364" w:hanging="364"/>
        <w:spacing w:after="0"/>
        <w:tabs>
          <w:tab w:leader="none" w:pos="364" w:val="left"/>
        </w:tabs>
        <w:numPr>
          <w:ilvl w:val="0"/>
          <w:numId w:val="1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PAYMENTS</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20.1. PAYMENTS BY BORROWER</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All payments to be made by the Borrower to the Banks shall be made in same day funds to the Project Accounts at such Bank or, in the event that there shall be any Bank other than Bank Hapoalim or Bank Leumi (any such other Bank, "THE NEW BANK"), to an account in the name of the Borrower to be opened at Bank Hapoalim or Bank Leumi (such account, "THE NEW ACCOUNT"), which account shall be duly charged in favour of the Banks by way of a first-ranking fixed pledge and charge under the Debenture and shall, for all purposes under this Agreement, be a Charged Account. All payments required to be made by the Borrower under the Finance Documents shall be calculated without reference to any set-off or counterclaim and shall be made free and clear of and</w:t>
      </w:r>
    </w:p>
    <w:p>
      <w:pPr>
        <w:sectPr>
          <w:pgSz w:w="11900" w:h="16868" w:orient="portrait"/>
          <w:cols w:equalWidth="0" w:num="1">
            <w:col w:w="10244"/>
          </w:cols>
          <w:pgMar w:left="216" w:top="141" w:right="1440" w:bottom="0" w:gutter="0" w:footer="0" w:header="0"/>
        </w:sectPr>
      </w:pPr>
    </w:p>
    <w:bookmarkStart w:id="131" w:name="page132"/>
    <w:bookmarkEnd w:id="131"/>
    <w:p>
      <w:pPr>
        <w:ind w:left="744" w:right="4359"/>
        <w:spacing w:after="0" w:line="250" w:lineRule="auto"/>
        <w:rPr>
          <w:sz w:val="20"/>
          <w:szCs w:val="20"/>
          <w:color w:val="auto"/>
        </w:rPr>
      </w:pPr>
      <w:r>
        <w:rPr>
          <w:rFonts w:ascii="Courier New" w:cs="Courier New" w:eastAsia="Courier New" w:hAnsi="Courier New"/>
          <w:sz w:val="12"/>
          <w:szCs w:val="12"/>
          <w:color w:val="auto"/>
        </w:rPr>
        <w:t>without any deduction for or on account of, any set-off or counterclaim. Any amount received by the Bank at which the New Account is opened ("THE ACCOUNT BANK") under this Agreement into the New Account for the account of a New Bank shall be made available by the Account Bank to such New Bank by payment in same day funds to such account as such New Bank may have notified to the Account Bank in writing not less than 2 (two) Business Days prior to such distribution. Any amounts received by the Account Bank on account of the New Banks generally shall be distributed by the Account Bank to the New Bank or, if more than one, each New Bank, pro rata to the amounts which are due to the New Banks under the Finance Documents.</w:t>
      </w:r>
    </w:p>
    <w:p>
      <w:pPr>
        <w:spacing w:after="0" w:line="141"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20.2. PAYMENTS BY BANKS TO BORROWER</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[INTENTIONALLY DELETED]</w:t>
      </w:r>
    </w:p>
    <w:p>
      <w:pPr>
        <w:spacing w:after="0" w:line="289" w:lineRule="exact"/>
        <w:rPr>
          <w:sz w:val="20"/>
          <w:szCs w:val="20"/>
          <w:color w:val="auto"/>
        </w:rPr>
      </w:pPr>
    </w:p>
    <w:p>
      <w:pPr>
        <w:ind w:left="2644"/>
        <w:spacing w:after="0"/>
        <w:rPr>
          <w:sz w:val="20"/>
          <w:szCs w:val="20"/>
          <w:color w:val="auto"/>
        </w:rPr>
      </w:pPr>
      <w:r>
        <w:rPr>
          <w:rFonts w:ascii="Courier New" w:cs="Courier New" w:eastAsia="Courier New" w:hAnsi="Courier New"/>
          <w:sz w:val="12"/>
          <w:szCs w:val="12"/>
          <w:color w:val="auto"/>
        </w:rPr>
        <w:t>- 141 -</w:t>
      </w:r>
    </w:p>
    <w:p>
      <w:pPr>
        <w:spacing w:after="0" w:line="200" w:lineRule="exact"/>
        <w:rPr>
          <w:sz w:val="20"/>
          <w:szCs w:val="20"/>
          <w:color w:val="auto"/>
        </w:rPr>
      </w:pPr>
    </w:p>
    <w:p>
      <w:pPr>
        <w:spacing w:after="0" w:line="353" w:lineRule="exact"/>
        <w:rPr>
          <w:sz w:val="20"/>
          <w:szCs w:val="20"/>
          <w:color w:val="auto"/>
        </w:rPr>
      </w:pPr>
    </w:p>
    <w:p>
      <w:pPr>
        <w:ind w:left="364" w:hanging="364"/>
        <w:spacing w:after="0"/>
        <w:tabs>
          <w:tab w:leader="none" w:pos="364" w:val="left"/>
        </w:tabs>
        <w:numPr>
          <w:ilvl w:val="0"/>
          <w:numId w:val="1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SET-OFF</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21.1. CONDITIONS FOR SET-OFF</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Each Bank may (but shall not be obliged to) set-off against any obligation of the Borrower due and payable by it to or for the account of such Bank under the Finance Documents and not paid on the due date or within any applicable grace period, any moneys held by such Bank for the account of the Borrower at any office of such Bank anywhere and in any currency, whether or not matured. For that purpose, such Bank may: (i) break or alter the amounts of all or any deposit of the Borrower; or (ii) effect such currency exchanges as are appropriate to implement the set-off and any usual charges in relation to such currency exchanges shall be paid by the Borrower and such Bank shall not be liable to the Borrower for any penalties, losses or other damage resulting from any such breakage, alteration or currency exchange. The Banks shall give notice to the Borrower of any such set-off on or prior to the date of making such set-off.</w:t>
      </w:r>
    </w:p>
    <w:p>
      <w:pPr>
        <w:spacing w:after="0" w:line="141"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21.2. DEBIT OR CREDIT OF ACCOUNTS</w:t>
      </w:r>
    </w:p>
    <w:p>
      <w:pPr>
        <w:spacing w:after="0" w:line="147" w:lineRule="exact"/>
        <w:rPr>
          <w:sz w:val="20"/>
          <w:szCs w:val="20"/>
          <w:color w:val="auto"/>
        </w:rPr>
      </w:pPr>
    </w:p>
    <w:p>
      <w:pPr>
        <w:ind w:left="744" w:right="4359"/>
        <w:spacing w:after="0" w:line="249" w:lineRule="auto"/>
        <w:rPr>
          <w:sz w:val="20"/>
          <w:szCs w:val="20"/>
          <w:color w:val="auto"/>
        </w:rPr>
      </w:pPr>
      <w:r>
        <w:rPr>
          <w:rFonts w:ascii="Courier New" w:cs="Courier New" w:eastAsia="Courier New" w:hAnsi="Courier New"/>
          <w:sz w:val="12"/>
          <w:szCs w:val="12"/>
          <w:color w:val="auto"/>
        </w:rPr>
        <w:t>Each Bank shall be entitled (but not obliged): (i) to debit any of the Borrower's accounts at such Bank (even if not related to the Project) with any amount needed to pay any amount payable by the Borrower to such Bank under this Agreement and whether such account is credited or overdrawn or will become overdrawn as a result of such debiting; and</w:t>
      </w:r>
    </w:p>
    <w:p>
      <w:pPr>
        <w:spacing w:after="0" w:line="3" w:lineRule="exact"/>
        <w:rPr>
          <w:sz w:val="20"/>
          <w:szCs w:val="20"/>
          <w:color w:val="auto"/>
        </w:rPr>
      </w:pPr>
    </w:p>
    <w:p>
      <w:pPr>
        <w:ind w:left="744" w:right="4419" w:hanging="8"/>
        <w:spacing w:after="0" w:line="253" w:lineRule="auto"/>
        <w:tabs>
          <w:tab w:leader="none" w:pos="1113" w:val="left"/>
        </w:tabs>
        <w:numPr>
          <w:ilvl w:val="1"/>
          <w:numId w:val="1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credit any amount received from the Borrower or for its account to such account of the Borrower at such Bank as it deems fit.</w:t>
      </w:r>
    </w:p>
    <w:p>
      <w:pPr>
        <w:spacing w:after="0" w:line="138" w:lineRule="exact"/>
        <w:rPr>
          <w:rFonts w:ascii="Courier New" w:cs="Courier New" w:eastAsia="Courier New" w:hAnsi="Courier New"/>
          <w:sz w:val="12"/>
          <w:szCs w:val="12"/>
          <w:color w:val="auto"/>
        </w:rPr>
      </w:pPr>
    </w:p>
    <w:p>
      <w:pPr>
        <w:ind w:left="364" w:right="7959" w:hanging="364"/>
        <w:spacing w:after="0" w:line="499" w:lineRule="auto"/>
        <w:tabs>
          <w:tab w:leader="none" w:pos="364" w:val="left"/>
        </w:tabs>
        <w:numPr>
          <w:ilvl w:val="0"/>
          <w:numId w:val="1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APPLICATION OF PAYMENTS 22.1. INSUFFICIENT PAYMENT</w:t>
      </w:r>
    </w:p>
    <w:p>
      <w:pPr>
        <w:spacing w:after="0" w:line="1"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If any Bank receives a payment insufficient to discharge all the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amounts then due and payable by the Borrower to it under the Finance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Documents, such Bank shall apply that payment towards the obligations</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of the Borrower under the Finance Documents in the following order or</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 such other order as such Bank may deem fit:</w:t>
      </w:r>
    </w:p>
    <w:p>
      <w:pPr>
        <w:spacing w:after="0" w:line="147" w:lineRule="exact"/>
        <w:rPr>
          <w:sz w:val="20"/>
          <w:szCs w:val="20"/>
          <w:color w:val="auto"/>
        </w:rPr>
      </w:pPr>
    </w:p>
    <w:p>
      <w:pPr>
        <w:ind w:left="1104" w:right="4359" w:hanging="367"/>
        <w:spacing w:after="0" w:line="251" w:lineRule="auto"/>
        <w:rPr>
          <w:sz w:val="20"/>
          <w:szCs w:val="20"/>
          <w:color w:val="auto"/>
        </w:rPr>
      </w:pPr>
      <w:r>
        <w:rPr>
          <w:rFonts w:ascii="Courier New" w:cs="Courier New" w:eastAsia="Courier New" w:hAnsi="Courier New"/>
          <w:sz w:val="12"/>
          <w:szCs w:val="12"/>
          <w:color w:val="auto"/>
        </w:rPr>
        <w:t>22.1.1. FIRSTLY, in or towards payment of any unpaid fees, costs and expenses of such Bank or any Receiver (as defined in any Security Document) under the Finance Documents; and</w:t>
      </w:r>
    </w:p>
    <w:p>
      <w:pPr>
        <w:spacing w:after="0" w:line="281" w:lineRule="exact"/>
        <w:rPr>
          <w:sz w:val="20"/>
          <w:szCs w:val="20"/>
          <w:color w:val="auto"/>
        </w:rPr>
      </w:pPr>
    </w:p>
    <w:p>
      <w:pPr>
        <w:ind w:left="2644"/>
        <w:spacing w:after="0"/>
        <w:rPr>
          <w:sz w:val="20"/>
          <w:szCs w:val="20"/>
          <w:color w:val="auto"/>
        </w:rPr>
      </w:pPr>
      <w:r>
        <w:rPr>
          <w:rFonts w:ascii="Courier New" w:cs="Courier New" w:eastAsia="Courier New" w:hAnsi="Courier New"/>
          <w:sz w:val="12"/>
          <w:szCs w:val="12"/>
          <w:color w:val="auto"/>
        </w:rPr>
        <w:t>- 142 -</w:t>
      </w:r>
    </w:p>
    <w:p>
      <w:pPr>
        <w:spacing w:after="0" w:line="200" w:lineRule="exact"/>
        <w:rPr>
          <w:sz w:val="20"/>
          <w:szCs w:val="20"/>
          <w:color w:val="auto"/>
        </w:rPr>
      </w:pPr>
    </w:p>
    <w:p>
      <w:pPr>
        <w:spacing w:after="0" w:line="353"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22.1.2. SECONDLY, in or towards payment of any other amount due to</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such Bank but unpaid under this Agreement or any other Finance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Document, other than principal (including, Interest, damages,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commissions, fees, broken funding indemnity fees and all other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costs), the above in such order as such Bank deems fit; and</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22.1.3. THIRDLY, in or towards payment to such Bank on account of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principal of the Loans.</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22.2. CURRENCY CONVERSION</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If, notwithstanding the obligations of the Borrower under this Agreement (and without derogating from such obligations), any sum is received by any Banks in a currency ("THE FIRST CURRENCY") other than the currency ("THE SECOND CURRENCY") in which the relevant amount is to be paid pursuant to the provisions of this Agreement, then such sum shall be converted into the second currency at the buying rate of the second currency in the first currency prevailing at such Bank at the close of business on the date of receipt thereof.</w:t>
      </w:r>
    </w:p>
    <w:p>
      <w:pPr>
        <w:spacing w:after="0" w:line="141" w:lineRule="exact"/>
        <w:rPr>
          <w:sz w:val="20"/>
          <w:szCs w:val="20"/>
          <w:color w:val="auto"/>
        </w:rPr>
      </w:pPr>
    </w:p>
    <w:p>
      <w:pPr>
        <w:ind w:left="364" w:hanging="364"/>
        <w:spacing w:after="0"/>
        <w:tabs>
          <w:tab w:leader="none" w:pos="364" w:val="left"/>
        </w:tabs>
        <w:numPr>
          <w:ilvl w:val="0"/>
          <w:numId w:val="1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CALCULATIONS AND EVIDENCE OF DEBT</w:t>
      </w:r>
    </w:p>
    <w:p>
      <w:pPr>
        <w:spacing w:after="0" w:line="147" w:lineRule="exact"/>
        <w:rPr>
          <w:rFonts w:ascii="Courier New" w:cs="Courier New" w:eastAsia="Courier New" w:hAnsi="Courier New"/>
          <w:sz w:val="12"/>
          <w:szCs w:val="12"/>
          <w:color w:val="auto"/>
        </w:rPr>
      </w:pPr>
    </w:p>
    <w:p>
      <w:pPr>
        <w:ind w:left="744" w:right="4359" w:hanging="368"/>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23.1. Each Bank shall maintain in accordance with its usual practice accounts evidencing the amounts from time to time lent by and owing to it hereunder.</w:t>
      </w:r>
    </w:p>
    <w:p>
      <w:pPr>
        <w:spacing w:after="0" w:line="139" w:lineRule="exact"/>
        <w:rPr>
          <w:rFonts w:ascii="Courier New" w:cs="Courier New" w:eastAsia="Courier New" w:hAnsi="Courier New"/>
          <w:sz w:val="12"/>
          <w:szCs w:val="12"/>
          <w:color w:val="auto"/>
        </w:rPr>
      </w:pPr>
    </w:p>
    <w:p>
      <w:pPr>
        <w:ind w:left="744" w:right="4419" w:hanging="368"/>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23.2. In any legal action or Proceeding arising out of or in connection with this Agreement the entries made in the accounts maintained pursuant to clause 23.1 above shall, in the absence of manifest or proven error, be PRIMA FACIE evidence of the existence and amounts of the specified obligations of the Borrower.</w:t>
      </w:r>
    </w:p>
    <w:p>
      <w:pPr>
        <w:spacing w:after="0" w:line="141" w:lineRule="exact"/>
        <w:rPr>
          <w:rFonts w:ascii="Courier New" w:cs="Courier New" w:eastAsia="Courier New" w:hAnsi="Courier New"/>
          <w:sz w:val="12"/>
          <w:szCs w:val="12"/>
          <w:color w:val="auto"/>
        </w:rPr>
      </w:pPr>
    </w:p>
    <w:p>
      <w:pPr>
        <w:ind w:left="744" w:right="4359" w:hanging="368"/>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23.3. A certificate of a Banks as to: (a) the amount by which a sum payable to it hereunder is to be increased under clause 12.1 above; or (b) the amount for the time being required to indemnify it against any such cost, payment or liability as is mentioned in clause 13.1 above shall, in the absence of manifest or proven error, be PRIMA FACIE evidence of the existence and amounts of the specified obligations of the Borrower.</w:t>
      </w:r>
    </w:p>
    <w:p>
      <w:pPr>
        <w:spacing w:after="0" w:line="200" w:lineRule="exact"/>
        <w:rPr>
          <w:rFonts w:ascii="Courier New" w:cs="Courier New" w:eastAsia="Courier New" w:hAnsi="Courier New"/>
          <w:sz w:val="12"/>
          <w:szCs w:val="12"/>
          <w:color w:val="auto"/>
        </w:rPr>
      </w:pPr>
    </w:p>
    <w:p>
      <w:pPr>
        <w:spacing w:after="0" w:line="224" w:lineRule="exact"/>
        <w:rPr>
          <w:rFonts w:ascii="Courier New" w:cs="Courier New" w:eastAsia="Courier New" w:hAnsi="Courier New"/>
          <w:sz w:val="12"/>
          <w:szCs w:val="12"/>
          <w:color w:val="auto"/>
        </w:rPr>
      </w:pPr>
    </w:p>
    <w:p>
      <w:pPr>
        <w:ind w:left="2804" w:hanging="154"/>
        <w:spacing w:after="0"/>
        <w:tabs>
          <w:tab w:leader="none" w:pos="2804" w:val="left"/>
        </w:tabs>
        <w:numPr>
          <w:ilvl w:val="1"/>
          <w:numId w:val="1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143 -</w:t>
      </w:r>
    </w:p>
    <w:p>
      <w:pPr>
        <w:sectPr>
          <w:pgSz w:w="11900" w:h="16838" w:orient="portrait"/>
          <w:cols w:equalWidth="0" w:num="1">
            <w:col w:w="10244"/>
          </w:cols>
          <w:pgMar w:left="216" w:top="141" w:right="1440" w:bottom="178" w:gutter="0" w:footer="0" w:header="0"/>
        </w:sectPr>
      </w:pPr>
    </w:p>
    <w:bookmarkStart w:id="132" w:name="page133"/>
    <w:bookmarkEnd w:id="132"/>
    <w:p>
      <w:pPr>
        <w:spacing w:after="0" w:line="30" w:lineRule="exact"/>
        <w:rPr>
          <w:sz w:val="20"/>
          <w:szCs w:val="20"/>
          <w:color w:val="auto"/>
        </w:rPr>
      </w:pPr>
    </w:p>
    <w:p>
      <w:pPr>
        <w:ind w:left="364" w:hanging="364"/>
        <w:spacing w:after="0"/>
        <w:tabs>
          <w:tab w:leader="none" w:pos="364" w:val="left"/>
        </w:tabs>
        <w:numPr>
          <w:ilvl w:val="0"/>
          <w:numId w:val="1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SHARING BETWEEN BANKS</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Borrower acknowledges that it has been or will be agreed between the Banks that, subject to certain conditions, if a Bank ("THE SHARING BANK") receives or recovers (including by way of set-off) any sum in respect of an amount due to it from the Borrower under this Agreement or any of the other Finance Documents otherwise than by payment by the Borrower in accordance with the terms of this Agreement or any of the other Finance Documents:</w:t>
      </w:r>
    </w:p>
    <w:p>
      <w:pPr>
        <w:spacing w:after="0" w:line="141" w:lineRule="exact"/>
        <w:rPr>
          <w:rFonts w:ascii="Courier New" w:cs="Courier New" w:eastAsia="Courier New" w:hAnsi="Courier New"/>
          <w:sz w:val="12"/>
          <w:szCs w:val="12"/>
          <w:color w:val="auto"/>
        </w:rPr>
      </w:pPr>
    </w:p>
    <w:p>
      <w:pPr>
        <w:ind w:left="744" w:right="4359" w:hanging="368"/>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24.1. the Sharing Bank shall forthwith pay to each of the other Banks an amount equal to each other Bank's Proportion of the sum so received or recovered. The Borrower hereby acknowledges and agrees that, subject to clauses 24.2 below, upon such payment being made, as between the Borrower and the Sharing Bank, the Borrower shall remain indebted to the Sharing Bank under this Agreement in the amount paid by the Sharing Bank to such other Banks as if the Sharing Bank had not received or recovered the sum mentioned above and each Bank receiving a payment from a Sharing Bank shall treat the amount paid to it by the Sharing Bank as if it were a payment by the Borrower on account of amounts due from the Borrower under this Agreement; and</w:t>
      </w:r>
    </w:p>
    <w:p>
      <w:pPr>
        <w:spacing w:after="0" w:line="141" w:lineRule="exact"/>
        <w:rPr>
          <w:rFonts w:ascii="Courier New" w:cs="Courier New" w:eastAsia="Courier New" w:hAnsi="Courier New"/>
          <w:sz w:val="12"/>
          <w:szCs w:val="12"/>
          <w:color w:val="auto"/>
        </w:rPr>
      </w:pPr>
    </w:p>
    <w:p>
      <w:pPr>
        <w:ind w:left="744" w:right="4359" w:hanging="368"/>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24.2. any payment made by the Sharing Bank under clause 24.1 above shall (whether or not stated to be so subject) be subject to the condition that, if all or any part of the amount paid by the Sharing Bank to such other Bank has to be repaid by the Sharing Bank to the Borrower or any other person, whether under any insolvency law or otherwise, each of the Banks (other than the Sharing Bank) which received any part of the Sharing Bank's payment shall repay to the Sharing Bank the amount which the Sharing Bank distributed to that Bank, together with such amount (if any) as is necessary to reimburse the Sharing Bank the appropriate portion of any Interest it was obliged to pay on the sum it repaid to the Borrower or other person concerned.</w:t>
      </w:r>
    </w:p>
    <w:p>
      <w:pPr>
        <w:spacing w:after="0" w:line="141"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1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ASSIGNMENTS AND TRANSFERS</w:t>
      </w:r>
    </w:p>
    <w:p>
      <w:pPr>
        <w:spacing w:after="0" w:line="147" w:lineRule="exact"/>
        <w:rPr>
          <w:rFonts w:ascii="Courier New" w:cs="Courier New" w:eastAsia="Courier New" w:hAnsi="Courier New"/>
          <w:sz w:val="12"/>
          <w:szCs w:val="12"/>
          <w:color w:val="auto"/>
        </w:rPr>
      </w:pPr>
    </w:p>
    <w:p>
      <w:pPr>
        <w:ind w:left="744" w:right="4359" w:hanging="368"/>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25.1. This Agreement shall be binding upon and enure to the benefit of each party hereto and its or any subsequent permitted successors, transferees and permitted assigns.</w:t>
      </w:r>
    </w:p>
    <w:p>
      <w:pPr>
        <w:spacing w:after="0" w:line="139" w:lineRule="exact"/>
        <w:rPr>
          <w:rFonts w:ascii="Courier New" w:cs="Courier New" w:eastAsia="Courier New" w:hAnsi="Courier New"/>
          <w:sz w:val="12"/>
          <w:szCs w:val="12"/>
          <w:color w:val="auto"/>
        </w:rPr>
      </w:pPr>
    </w:p>
    <w:p>
      <w:pPr>
        <w:ind w:left="2804" w:hanging="154"/>
        <w:spacing w:after="0"/>
        <w:tabs>
          <w:tab w:leader="none" w:pos="2804" w:val="left"/>
        </w:tabs>
        <w:numPr>
          <w:ilvl w:val="1"/>
          <w:numId w:val="1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144 -</w:t>
      </w:r>
    </w:p>
    <w:p>
      <w:pPr>
        <w:spacing w:after="0" w:line="200" w:lineRule="exact"/>
        <w:rPr>
          <w:sz w:val="20"/>
          <w:szCs w:val="20"/>
          <w:color w:val="auto"/>
        </w:rPr>
      </w:pPr>
    </w:p>
    <w:p>
      <w:pPr>
        <w:spacing w:after="0" w:line="353" w:lineRule="exact"/>
        <w:rPr>
          <w:sz w:val="20"/>
          <w:szCs w:val="20"/>
          <w:color w:val="auto"/>
        </w:rPr>
      </w:pPr>
    </w:p>
    <w:p>
      <w:pPr>
        <w:ind w:left="744" w:right="4499" w:hanging="367"/>
        <w:spacing w:after="0" w:line="251" w:lineRule="auto"/>
        <w:rPr>
          <w:sz w:val="20"/>
          <w:szCs w:val="20"/>
          <w:color w:val="auto"/>
        </w:rPr>
      </w:pPr>
      <w:r>
        <w:rPr>
          <w:rFonts w:ascii="Courier New" w:cs="Courier New" w:eastAsia="Courier New" w:hAnsi="Courier New"/>
          <w:sz w:val="12"/>
          <w:szCs w:val="12"/>
          <w:color w:val="auto"/>
        </w:rPr>
        <w:t>25.2. The Borrower shall not be entitled to assign or transfer all or any of its rights, benefits and obligations under any of the Finance Documents.</w:t>
      </w:r>
    </w:p>
    <w:p>
      <w:pPr>
        <w:spacing w:after="0" w:line="140" w:lineRule="exact"/>
        <w:rPr>
          <w:sz w:val="20"/>
          <w:szCs w:val="20"/>
          <w:color w:val="auto"/>
        </w:rPr>
      </w:pPr>
    </w:p>
    <w:p>
      <w:pPr>
        <w:jc w:val="center"/>
        <w:ind w:right="4055"/>
        <w:spacing w:after="0"/>
        <w:rPr>
          <w:sz w:val="20"/>
          <w:szCs w:val="20"/>
          <w:color w:val="auto"/>
        </w:rPr>
      </w:pPr>
      <w:r>
        <w:rPr>
          <w:rFonts w:ascii="Courier New" w:cs="Courier New" w:eastAsia="Courier New" w:hAnsi="Courier New"/>
          <w:sz w:val="12"/>
          <w:szCs w:val="12"/>
          <w:color w:val="auto"/>
        </w:rPr>
        <w:t>25.3. Any Bank may, at any time, assign all or any of its rights, benefits</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and obligations under the Finance Documents to any Israeli bank,</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financial institution (including benefit funds) or Israeli authorised</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dealer under the Value Added Tax Law; or (iii) with the prior consent</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of the Borrower (not to be unreasonably withheld), any other banking</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corporation or financial institution; provided that: (a)</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[INTENTIONALLY DELETED]; (b) the total number of Banks shall not</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exceed 8 (eight) at any time; and (c) in the event that any such Bank</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shall, in accordance with the aforegoing, wish to make an assignment</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as referred to in clause 25.3 above to a foreign bank in respect of</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which the Borrower shall, under clause 12.1 above be required to make</w:t>
      </w:r>
    </w:p>
    <w:p>
      <w:pPr>
        <w:spacing w:after="0" w:line="6"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an additional payment (which it is not entitled pursuant to clause 12.1, to deduct from payments to such foreign bank), by virtue of such bank being a foreign bank, then such an assignment shall not be permitted, unless: (1) such foreign bank waives its rights under clause 12 to receive such additional payment as aforesaid; or (2) the Bank making such assignment is doing so as a result of Bank of Israel requirements relating to the making of loans to, or the making of reserves in respect of loans to, a group of borrowers or a single borrower. Any Bank may also sell sub-participations in the Loans to such bank or financial institution as such Bank may deem fit. As a condition to any assignment, the assignee shall sign a written undertaking which provides that the Borrower shall only be required to interface with the assigning Banks and all communications, notice and other interactions, or waivers, consents or other agreements relating to the Borrower shall only be facilitated by and on behalf of the assigning Bank.</w:t>
      </w:r>
    </w:p>
    <w:p>
      <w:pPr>
        <w:spacing w:after="0" w:line="141" w:lineRule="exact"/>
        <w:rPr>
          <w:sz w:val="20"/>
          <w:szCs w:val="20"/>
          <w:color w:val="auto"/>
        </w:rPr>
      </w:pPr>
    </w:p>
    <w:p>
      <w:pPr>
        <w:ind w:left="744" w:right="4359" w:hanging="367"/>
        <w:spacing w:after="0" w:line="250" w:lineRule="auto"/>
        <w:rPr>
          <w:sz w:val="20"/>
          <w:szCs w:val="20"/>
          <w:color w:val="auto"/>
        </w:rPr>
      </w:pPr>
      <w:r>
        <w:rPr>
          <w:rFonts w:ascii="Courier New" w:cs="Courier New" w:eastAsia="Courier New" w:hAnsi="Courier New"/>
          <w:sz w:val="12"/>
          <w:szCs w:val="12"/>
          <w:color w:val="auto"/>
        </w:rPr>
        <w:t>25.4. The Banks may at any time disclose to any actual or potential assignee or transferee or subparticipant (or other party entering into contractual arrangements to assume risks in relation to the Loans) in respect of the Finance Documents, such information about the Finance Documents, the Project (including Fab 2) and the Borrower as the Banks shall consider appropriate but only after having first obtained from such potential assignee, transferee or subparticipant or equivalent a confidentiality undertaking equivalent in effect to the confidentiality agreements set out in clause 33 below in writing and addressed to the relevant Bank and the Borrower. The Banks may also disclose any such information to the Bank of Israel, the Supervisor of Banks and any person acting on their behalf or any other Governmental Body to which the Banks are subject, upon receipt by such Bank of a demand for such information from any such person or Governmental Body.</w:t>
      </w:r>
    </w:p>
    <w:p>
      <w:pPr>
        <w:spacing w:after="0" w:line="283" w:lineRule="exact"/>
        <w:rPr>
          <w:sz w:val="20"/>
          <w:szCs w:val="20"/>
          <w:color w:val="auto"/>
        </w:rPr>
      </w:pPr>
    </w:p>
    <w:p>
      <w:pPr>
        <w:ind w:left="2644"/>
        <w:spacing w:after="0"/>
        <w:rPr>
          <w:sz w:val="20"/>
          <w:szCs w:val="20"/>
          <w:color w:val="auto"/>
        </w:rPr>
      </w:pPr>
      <w:r>
        <w:rPr>
          <w:rFonts w:ascii="Courier New" w:cs="Courier New" w:eastAsia="Courier New" w:hAnsi="Courier New"/>
          <w:sz w:val="12"/>
          <w:szCs w:val="12"/>
          <w:color w:val="auto"/>
        </w:rPr>
        <w:t>- 145 -</w:t>
      </w:r>
    </w:p>
    <w:p>
      <w:pPr>
        <w:spacing w:after="0" w:line="200" w:lineRule="exact"/>
        <w:rPr>
          <w:sz w:val="20"/>
          <w:szCs w:val="20"/>
          <w:color w:val="auto"/>
        </w:rPr>
      </w:pPr>
    </w:p>
    <w:p>
      <w:pPr>
        <w:spacing w:after="0" w:line="353" w:lineRule="exact"/>
        <w:rPr>
          <w:sz w:val="20"/>
          <w:szCs w:val="20"/>
          <w:color w:val="auto"/>
        </w:rPr>
      </w:pPr>
    </w:p>
    <w:p>
      <w:pPr>
        <w:ind w:left="364" w:hanging="364"/>
        <w:spacing w:after="0"/>
        <w:tabs>
          <w:tab w:leader="none" w:pos="364" w:val="left"/>
        </w:tabs>
        <w:numPr>
          <w:ilvl w:val="0"/>
          <w:numId w:val="1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REMEDIES AND WAIVERS</w:t>
      </w:r>
    </w:p>
    <w:p>
      <w:pPr>
        <w:spacing w:after="0" w:line="147" w:lineRule="exact"/>
        <w:rPr>
          <w:rFonts w:ascii="Courier New" w:cs="Courier New" w:eastAsia="Courier New" w:hAnsi="Courier New"/>
          <w:sz w:val="12"/>
          <w:szCs w:val="12"/>
          <w:color w:val="auto"/>
        </w:rPr>
      </w:pPr>
    </w:p>
    <w:p>
      <w:pPr>
        <w:ind w:left="364" w:right="441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No failure to exercise, nor any delay in exercising, on the part of the Banks, or of the Borrower, of any right or remedy hereunder shall operate as a waiver thereof, nor shall any single or partial exercise of any right or remedy prevent any further or other exercise thereof or the exercise of any other right or remedy. The rights and remedies herein provided are cumulative and not exhaustive of any rights or remedies provided by law.</w:t>
      </w:r>
    </w:p>
    <w:p>
      <w:pPr>
        <w:spacing w:after="0" w:line="141"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1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NOTICES</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27.1. NOTICES IN WRITING</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Notices to be given hereunder shall be in writing and may be given personally, by facsimile or, if not available, as required by clause 27.2 below. Any notice to be given to a Bank or by a Bank must be given during normal banking hours of such Bank to the person and at the address designated below. If notice is sent by facsimile during normal banking hours as aforesaid, it shall be deemed to have been served when confirmation of receipt by the intended recipient has been</w:t>
      </w:r>
    </w:p>
    <w:p>
      <w:pPr>
        <w:sectPr>
          <w:pgSz w:w="11900" w:h="16868" w:orient="portrait"/>
          <w:cols w:equalWidth="0" w:num="1">
            <w:col w:w="10244"/>
          </w:cols>
          <w:pgMar w:left="216" w:top="141" w:right="1440" w:bottom="0" w:gutter="0" w:footer="0" w:header="0"/>
        </w:sectPr>
      </w:pPr>
    </w:p>
    <w:bookmarkStart w:id="133" w:name="page134"/>
    <w:bookmarkEnd w:id="133"/>
    <w:p>
      <w:pPr>
        <w:ind w:left="744"/>
        <w:spacing w:after="0"/>
        <w:rPr>
          <w:sz w:val="20"/>
          <w:szCs w:val="20"/>
          <w:color w:val="auto"/>
        </w:rPr>
      </w:pPr>
      <w:r>
        <w:rPr>
          <w:rFonts w:ascii="Courier New" w:cs="Courier New" w:eastAsia="Courier New" w:hAnsi="Courier New"/>
          <w:sz w:val="12"/>
          <w:szCs w:val="12"/>
          <w:color w:val="auto"/>
        </w:rPr>
        <w:t>received. All notices given by facsimile shall be confirmed by letter</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despatched in the manner provided in clause 27.2 within 24</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(twenty-four) hours of transmission.</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27.2. ADDRESSES</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Any other notices to be given hereunder shall be served on a party by</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prepaid express registered letter (or nearest equivalent) to its</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address given below or such other address as may from time to time be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notified for this purpose and any notice so served shall be deemed to</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have been served within 5 (five) days after the time at which such</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notice was posted and in proving such service, it shall be sufficient</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to prove that the notice was properly addressed and posted:</w:t>
      </w:r>
    </w:p>
    <w:p>
      <w:pPr>
        <w:spacing w:after="0" w:line="289" w:lineRule="exact"/>
        <w:rPr>
          <w:sz w:val="20"/>
          <w:szCs w:val="20"/>
          <w:color w:val="auto"/>
        </w:rPr>
      </w:pPr>
    </w:p>
    <w:p>
      <w:pPr>
        <w:ind w:left="2644"/>
        <w:spacing w:after="0"/>
        <w:rPr>
          <w:sz w:val="20"/>
          <w:szCs w:val="20"/>
          <w:color w:val="auto"/>
        </w:rPr>
      </w:pPr>
      <w:r>
        <w:rPr>
          <w:rFonts w:ascii="Courier New" w:cs="Courier New" w:eastAsia="Courier New" w:hAnsi="Courier New"/>
          <w:sz w:val="12"/>
          <w:szCs w:val="12"/>
          <w:color w:val="auto"/>
        </w:rPr>
        <w:t>- 146 -</w:t>
      </w:r>
    </w:p>
    <w:p>
      <w:pPr>
        <w:sectPr>
          <w:pgSz w:w="11900" w:h="16838" w:orient="portrait"/>
          <w:cols w:equalWidth="0" w:num="1">
            <w:col w:w="10244"/>
          </w:cols>
          <w:pgMar w:left="216" w:top="141" w:right="1440" w:bottom="178" w:gutter="0" w:footer="0" w:header="0"/>
        </w:sectPr>
      </w:pPr>
    </w:p>
    <w:p>
      <w:pPr>
        <w:spacing w:after="0" w:line="200" w:lineRule="exact"/>
        <w:rPr>
          <w:sz w:val="20"/>
          <w:szCs w:val="20"/>
          <w:color w:val="auto"/>
        </w:rPr>
      </w:pPr>
    </w:p>
    <w:p>
      <w:pPr>
        <w:spacing w:after="0" w:line="353" w:lineRule="exact"/>
        <w:rPr>
          <w:sz w:val="20"/>
          <w:szCs w:val="20"/>
          <w:color w:val="auto"/>
        </w:rPr>
      </w:pPr>
    </w:p>
    <w:p>
      <w:pPr>
        <w:ind w:left="4"/>
        <w:spacing w:after="0"/>
        <w:tabs>
          <w:tab w:leader="none" w:pos="1524" w:val="left"/>
        </w:tabs>
        <w:rPr>
          <w:sz w:val="20"/>
          <w:szCs w:val="20"/>
          <w:color w:val="auto"/>
        </w:rPr>
      </w:pPr>
      <w:r>
        <w:rPr>
          <w:rFonts w:ascii="Courier New" w:cs="Courier New" w:eastAsia="Courier New" w:hAnsi="Courier New"/>
          <w:sz w:val="12"/>
          <w:szCs w:val="12"/>
          <w:color w:val="auto"/>
        </w:rPr>
        <w:t>27.2.1.</w:t>
      </w:r>
      <w:r>
        <w:rPr>
          <w:sz w:val="20"/>
          <w:szCs w:val="20"/>
          <w:color w:val="auto"/>
        </w:rPr>
        <w:tab/>
      </w:r>
      <w:r>
        <w:rPr>
          <w:rFonts w:ascii="Courier New" w:cs="Courier New" w:eastAsia="Courier New" w:hAnsi="Courier New"/>
          <w:sz w:val="12"/>
          <w:szCs w:val="12"/>
          <w:color w:val="auto"/>
        </w:rPr>
        <w:t>to the Borrower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left="784"/>
        <w:spacing w:after="0"/>
        <w:rPr>
          <w:sz w:val="20"/>
          <w:szCs w:val="20"/>
          <w:color w:val="auto"/>
        </w:rPr>
      </w:pPr>
      <w:r>
        <w:rPr>
          <w:rFonts w:ascii="Courier New" w:cs="Courier New" w:eastAsia="Courier New" w:hAnsi="Courier New"/>
          <w:sz w:val="12"/>
          <w:szCs w:val="12"/>
          <w:color w:val="auto"/>
        </w:rPr>
        <w:t>WITH A COPY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Tower Semiconductor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P.O. Box 619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Migdal Haemek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Israel</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2"/>
          <w:szCs w:val="12"/>
          <w:color w:val="auto"/>
        </w:rPr>
        <w:t>FACSIMILE:</w:t>
      </w:r>
      <w:r>
        <w:rPr>
          <w:sz w:val="20"/>
          <w:szCs w:val="20"/>
          <w:color w:val="auto"/>
        </w:rPr>
        <w:tab/>
      </w:r>
      <w:r>
        <w:rPr>
          <w:rFonts w:ascii="Courier New" w:cs="Courier New" w:eastAsia="Courier New" w:hAnsi="Courier New"/>
          <w:sz w:val="12"/>
          <w:szCs w:val="12"/>
          <w:color w:val="auto"/>
        </w:rPr>
        <w:t>(04) 604 7242</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2"/>
          <w:szCs w:val="12"/>
          <w:color w:val="auto"/>
        </w:rPr>
        <w:t>ATTENTION:</w:t>
      </w:r>
      <w:r>
        <w:rPr>
          <w:sz w:val="20"/>
          <w:szCs w:val="20"/>
          <w:color w:val="auto"/>
        </w:rPr>
        <w:tab/>
      </w:r>
      <w:r>
        <w:rPr>
          <w:rFonts w:ascii="Courier New" w:cs="Courier New" w:eastAsia="Courier New" w:hAnsi="Courier New"/>
          <w:sz w:val="12"/>
          <w:szCs w:val="12"/>
          <w:color w:val="auto"/>
        </w:rPr>
        <w:t>OREN SHIRAZI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ACTING CHIEF FINANCIAL OFFICER</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Yigal Arnon &amp;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 Azrieli Center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46th Floor, The Round Tower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Tel-Aviv, 67021</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2"/>
          <w:szCs w:val="12"/>
          <w:color w:val="auto"/>
        </w:rPr>
        <w:t>FACSIMILE:</w:t>
      </w:r>
      <w:r>
        <w:rPr>
          <w:sz w:val="20"/>
          <w:szCs w:val="20"/>
          <w:color w:val="auto"/>
        </w:rPr>
        <w:tab/>
      </w:r>
      <w:r>
        <w:rPr>
          <w:rFonts w:ascii="Courier New" w:cs="Courier New" w:eastAsia="Courier New" w:hAnsi="Courier New"/>
          <w:sz w:val="12"/>
          <w:szCs w:val="12"/>
          <w:color w:val="auto"/>
        </w:rPr>
        <w:t>(03) 608 7714</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2"/>
          <w:szCs w:val="12"/>
          <w:color w:val="auto"/>
        </w:rPr>
        <w:t>ATTENTION:</w:t>
      </w:r>
      <w:r>
        <w:rPr>
          <w:sz w:val="20"/>
          <w:szCs w:val="20"/>
          <w:color w:val="auto"/>
        </w:rPr>
        <w:tab/>
      </w:r>
      <w:r>
        <w:rPr>
          <w:rFonts w:ascii="Courier New" w:cs="Courier New" w:eastAsia="Courier New" w:hAnsi="Courier New"/>
          <w:sz w:val="12"/>
          <w:szCs w:val="12"/>
          <w:color w:val="auto"/>
        </w:rPr>
        <w:t>DAVID H. SCHAPIRO, ADV./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ARI FRIED, ADV.</w:t>
      </w:r>
    </w:p>
    <w:p>
      <w:pPr>
        <w:spacing w:after="0" w:line="147" w:lineRule="exact"/>
        <w:rPr>
          <w:sz w:val="20"/>
          <w:szCs w:val="20"/>
          <w:color w:val="auto"/>
        </w:rPr>
      </w:pPr>
    </w:p>
    <w:p>
      <w:pPr>
        <w:sectPr>
          <w:pgSz w:w="11900" w:h="16838" w:orient="portrait"/>
          <w:cols w:equalWidth="0" w:num="2">
            <w:col w:w="3404" w:space="720"/>
            <w:col w:w="6119"/>
          </w:cols>
          <w:pgMar w:left="216" w:top="141" w:right="1440" w:bottom="178" w:gutter="0" w:footer="0" w:header="0"/>
          <w:type w:val="continuous"/>
        </w:sectPr>
      </w:pPr>
    </w:p>
    <w:tbl>
      <w:tblPr>
        <w:tblLayout w:type="fixed"/>
        <w:tblInd w:w="4" w:type="dxa"/>
        <w:tblCellMar>
          <w:top w:w="0" w:type="dxa"/>
          <w:left w:w="0" w:type="dxa"/>
          <w:bottom w:w="0" w:type="dxa"/>
          <w:right w:w="0" w:type="dxa"/>
        </w:tblCellMar>
      </w:tblPr>
      <w:tr>
        <w:trPr>
          <w:trHeight w:val="138"/>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27.2.2.</w:t>
            </w:r>
          </w:p>
        </w:tc>
        <w:tc>
          <w:tcPr>
            <w:tcW w:w="2540" w:type="dxa"/>
            <w:vAlign w:val="bottom"/>
          </w:tcPr>
          <w:p>
            <w:pPr>
              <w:ind w:left="520"/>
              <w:spacing w:after="0"/>
              <w:rPr>
                <w:sz w:val="20"/>
                <w:szCs w:val="20"/>
                <w:color w:val="auto"/>
              </w:rPr>
            </w:pPr>
            <w:r>
              <w:rPr>
                <w:rFonts w:ascii="Courier New" w:cs="Courier New" w:eastAsia="Courier New" w:hAnsi="Courier New"/>
                <w:sz w:val="12"/>
                <w:szCs w:val="12"/>
                <w:color w:val="auto"/>
              </w:rPr>
              <w:t>to Bank Hapoalim at:</w:t>
            </w:r>
          </w:p>
        </w:tc>
        <w:tc>
          <w:tcPr>
            <w:tcW w:w="358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Corporate Division</w:t>
            </w:r>
          </w:p>
        </w:tc>
      </w:tr>
      <w:tr>
        <w:trPr>
          <w:trHeight w:val="142"/>
        </w:trPr>
        <w:tc>
          <w:tcPr>
            <w:tcW w:w="10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58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Migdal Levenstein</w:t>
            </w:r>
          </w:p>
        </w:tc>
      </w:tr>
      <w:tr>
        <w:trPr>
          <w:trHeight w:val="142"/>
        </w:trPr>
        <w:tc>
          <w:tcPr>
            <w:tcW w:w="10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58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23 Menachem Begin Road</w:t>
            </w:r>
          </w:p>
        </w:tc>
      </w:tr>
      <w:tr>
        <w:trPr>
          <w:trHeight w:val="142"/>
        </w:trPr>
        <w:tc>
          <w:tcPr>
            <w:tcW w:w="10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80" w:type="dxa"/>
            <w:vAlign w:val="bottom"/>
          </w:tcPr>
          <w:p>
            <w:pPr>
              <w:ind w:left="560"/>
              <w:spacing w:after="0"/>
              <w:rPr>
                <w:sz w:val="20"/>
                <w:szCs w:val="20"/>
                <w:color w:val="auto"/>
              </w:rPr>
            </w:pPr>
            <w:r>
              <w:rPr>
                <w:rFonts w:ascii="Courier New" w:cs="Courier New" w:eastAsia="Courier New" w:hAnsi="Courier New"/>
                <w:sz w:val="12"/>
                <w:szCs w:val="12"/>
                <w:color w:val="auto"/>
              </w:rPr>
              <w:t>Tel-Aviv</w:t>
            </w:r>
          </w:p>
        </w:tc>
        <w:tc>
          <w:tcPr>
            <w:tcW w:w="2100" w:type="dxa"/>
            <w:vAlign w:val="bottom"/>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80" w:type="dxa"/>
            <w:vAlign w:val="bottom"/>
          </w:tcPr>
          <w:p>
            <w:pPr>
              <w:ind w:left="560"/>
              <w:spacing w:after="0"/>
              <w:rPr>
                <w:sz w:val="20"/>
                <w:szCs w:val="20"/>
                <w:color w:val="auto"/>
              </w:rPr>
            </w:pPr>
            <w:r>
              <w:rPr>
                <w:rFonts w:ascii="Courier New" w:cs="Courier New" w:eastAsia="Courier New" w:hAnsi="Courier New"/>
                <w:sz w:val="12"/>
                <w:szCs w:val="12"/>
                <w:color w:val="auto"/>
              </w:rPr>
              <w:t>FACSIMILE:</w:t>
            </w:r>
          </w:p>
        </w:tc>
        <w:tc>
          <w:tcPr>
            <w:tcW w:w="2100" w:type="dxa"/>
            <w:vAlign w:val="bottom"/>
          </w:tcPr>
          <w:p>
            <w:pPr>
              <w:ind w:left="180"/>
              <w:spacing w:after="0"/>
              <w:rPr>
                <w:sz w:val="20"/>
                <w:szCs w:val="20"/>
                <w:color w:val="auto"/>
              </w:rPr>
            </w:pPr>
            <w:r>
              <w:rPr>
                <w:rFonts w:ascii="Courier New" w:cs="Courier New" w:eastAsia="Courier New" w:hAnsi="Courier New"/>
                <w:sz w:val="12"/>
                <w:szCs w:val="12"/>
                <w:color w:val="auto"/>
              </w:rPr>
              <w:t>(03) 567 2995</w:t>
            </w:r>
          </w:p>
        </w:tc>
      </w:tr>
      <w:tr>
        <w:trPr>
          <w:trHeight w:val="142"/>
        </w:trPr>
        <w:tc>
          <w:tcPr>
            <w:tcW w:w="10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80" w:type="dxa"/>
            <w:vAlign w:val="bottom"/>
          </w:tcPr>
          <w:p>
            <w:pPr>
              <w:ind w:left="560"/>
              <w:spacing w:after="0"/>
              <w:rPr>
                <w:sz w:val="20"/>
                <w:szCs w:val="20"/>
                <w:color w:val="auto"/>
              </w:rPr>
            </w:pPr>
            <w:r>
              <w:rPr>
                <w:rFonts w:ascii="Courier New" w:cs="Courier New" w:eastAsia="Courier New" w:hAnsi="Courier New"/>
                <w:sz w:val="12"/>
                <w:szCs w:val="12"/>
                <w:color w:val="auto"/>
              </w:rPr>
              <w:t>ATTENTION:</w:t>
            </w:r>
          </w:p>
        </w:tc>
        <w:tc>
          <w:tcPr>
            <w:tcW w:w="2100" w:type="dxa"/>
            <w:vAlign w:val="bottom"/>
          </w:tcPr>
          <w:p>
            <w:pPr>
              <w:ind w:left="180"/>
              <w:spacing w:after="0"/>
              <w:rPr>
                <w:sz w:val="20"/>
                <w:szCs w:val="20"/>
                <w:color w:val="auto"/>
              </w:rPr>
            </w:pPr>
            <w:r>
              <w:rPr>
                <w:rFonts w:ascii="Courier New" w:cs="Courier New" w:eastAsia="Courier New" w:hAnsi="Courier New"/>
                <w:sz w:val="12"/>
                <w:szCs w:val="12"/>
                <w:color w:val="auto"/>
              </w:rPr>
              <w:t>HEAD OF CORPORATE DIVISION</w:t>
            </w:r>
          </w:p>
        </w:tc>
      </w:tr>
      <w:tr>
        <w:trPr>
          <w:trHeight w:val="283"/>
        </w:trPr>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w w:val="99"/>
              </w:rPr>
              <w:t>27.2.3.</w:t>
            </w:r>
          </w:p>
        </w:tc>
        <w:tc>
          <w:tcPr>
            <w:tcW w:w="2540" w:type="dxa"/>
            <w:vAlign w:val="bottom"/>
          </w:tcPr>
          <w:p>
            <w:pPr>
              <w:ind w:left="520"/>
              <w:spacing w:after="0"/>
              <w:rPr>
                <w:sz w:val="20"/>
                <w:szCs w:val="20"/>
                <w:color w:val="auto"/>
              </w:rPr>
            </w:pPr>
            <w:r>
              <w:rPr>
                <w:rFonts w:ascii="Courier New" w:cs="Courier New" w:eastAsia="Courier New" w:hAnsi="Courier New"/>
                <w:sz w:val="12"/>
                <w:szCs w:val="12"/>
                <w:color w:val="auto"/>
              </w:rPr>
              <w:t>to Bank Leumi at:</w:t>
            </w:r>
          </w:p>
        </w:tc>
        <w:tc>
          <w:tcPr>
            <w:tcW w:w="358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Corporate Division</w:t>
            </w:r>
          </w:p>
        </w:tc>
      </w:tr>
      <w:tr>
        <w:trPr>
          <w:trHeight w:val="142"/>
        </w:trPr>
        <w:tc>
          <w:tcPr>
            <w:tcW w:w="10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58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34 Yehuda Halevi Street</w:t>
            </w:r>
          </w:p>
        </w:tc>
      </w:tr>
      <w:tr>
        <w:trPr>
          <w:trHeight w:val="142"/>
        </w:trPr>
        <w:tc>
          <w:tcPr>
            <w:tcW w:w="10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80" w:type="dxa"/>
            <w:vAlign w:val="bottom"/>
          </w:tcPr>
          <w:p>
            <w:pPr>
              <w:ind w:left="560"/>
              <w:spacing w:after="0"/>
              <w:rPr>
                <w:sz w:val="20"/>
                <w:szCs w:val="20"/>
                <w:color w:val="auto"/>
              </w:rPr>
            </w:pPr>
            <w:r>
              <w:rPr>
                <w:rFonts w:ascii="Courier New" w:cs="Courier New" w:eastAsia="Courier New" w:hAnsi="Courier New"/>
                <w:sz w:val="12"/>
                <w:szCs w:val="12"/>
                <w:color w:val="auto"/>
              </w:rPr>
              <w:t>Tel-Aviv</w:t>
            </w:r>
          </w:p>
        </w:tc>
        <w:tc>
          <w:tcPr>
            <w:tcW w:w="2100" w:type="dxa"/>
            <w:vAlign w:val="bottom"/>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80" w:type="dxa"/>
            <w:vAlign w:val="bottom"/>
          </w:tcPr>
          <w:p>
            <w:pPr>
              <w:ind w:left="560"/>
              <w:spacing w:after="0"/>
              <w:rPr>
                <w:sz w:val="20"/>
                <w:szCs w:val="20"/>
                <w:color w:val="auto"/>
              </w:rPr>
            </w:pPr>
            <w:r>
              <w:rPr>
                <w:rFonts w:ascii="Courier New" w:cs="Courier New" w:eastAsia="Courier New" w:hAnsi="Courier New"/>
                <w:sz w:val="12"/>
                <w:szCs w:val="12"/>
                <w:color w:val="auto"/>
              </w:rPr>
              <w:t>FACSIMILE:</w:t>
            </w:r>
          </w:p>
        </w:tc>
        <w:tc>
          <w:tcPr>
            <w:tcW w:w="2100" w:type="dxa"/>
            <w:vAlign w:val="bottom"/>
          </w:tcPr>
          <w:p>
            <w:pPr>
              <w:ind w:left="180"/>
              <w:spacing w:after="0"/>
              <w:rPr>
                <w:sz w:val="20"/>
                <w:szCs w:val="20"/>
                <w:color w:val="auto"/>
              </w:rPr>
            </w:pPr>
            <w:r>
              <w:rPr>
                <w:rFonts w:ascii="Courier New" w:cs="Courier New" w:eastAsia="Courier New" w:hAnsi="Courier New"/>
                <w:sz w:val="12"/>
                <w:szCs w:val="12"/>
                <w:color w:val="auto"/>
              </w:rPr>
              <w:t>(03) 514 9278</w:t>
            </w:r>
          </w:p>
        </w:tc>
      </w:tr>
      <w:tr>
        <w:trPr>
          <w:trHeight w:val="142"/>
        </w:trPr>
        <w:tc>
          <w:tcPr>
            <w:tcW w:w="10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80" w:type="dxa"/>
            <w:vAlign w:val="bottom"/>
          </w:tcPr>
          <w:p>
            <w:pPr>
              <w:ind w:left="560"/>
              <w:spacing w:after="0"/>
              <w:rPr>
                <w:sz w:val="20"/>
                <w:szCs w:val="20"/>
                <w:color w:val="auto"/>
              </w:rPr>
            </w:pPr>
            <w:r>
              <w:rPr>
                <w:rFonts w:ascii="Courier New" w:cs="Courier New" w:eastAsia="Courier New" w:hAnsi="Courier New"/>
                <w:sz w:val="12"/>
                <w:szCs w:val="12"/>
                <w:color w:val="auto"/>
              </w:rPr>
              <w:t>ATTENTION:</w:t>
            </w:r>
          </w:p>
        </w:tc>
        <w:tc>
          <w:tcPr>
            <w:tcW w:w="2100" w:type="dxa"/>
            <w:vAlign w:val="bottom"/>
          </w:tcPr>
          <w:p>
            <w:pPr>
              <w:ind w:left="180"/>
              <w:spacing w:after="0"/>
              <w:rPr>
                <w:sz w:val="20"/>
                <w:szCs w:val="20"/>
                <w:color w:val="auto"/>
              </w:rPr>
            </w:pPr>
            <w:r>
              <w:rPr>
                <w:rFonts w:ascii="Courier New" w:cs="Courier New" w:eastAsia="Courier New" w:hAnsi="Courier New"/>
                <w:sz w:val="12"/>
                <w:szCs w:val="12"/>
                <w:color w:val="auto"/>
              </w:rPr>
              <w:t>MANAGER OF HI-TECH</w:t>
            </w:r>
          </w:p>
        </w:tc>
      </w:tr>
      <w:tr>
        <w:trPr>
          <w:trHeight w:val="142"/>
        </w:trPr>
        <w:tc>
          <w:tcPr>
            <w:tcW w:w="10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58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INDUSTRIES SECTION</w:t>
            </w:r>
          </w:p>
        </w:tc>
      </w:tr>
    </w:tbl>
    <w:p>
      <w:pPr>
        <w:spacing w:after="0" w:line="145" w:lineRule="exact"/>
        <w:rPr>
          <w:sz w:val="20"/>
          <w:szCs w:val="20"/>
          <w:color w:val="auto"/>
        </w:rPr>
      </w:pPr>
    </w:p>
    <w:p>
      <w:pPr>
        <w:ind w:left="364" w:hanging="364"/>
        <w:spacing w:after="0"/>
        <w:tabs>
          <w:tab w:leader="none" w:pos="364" w:val="left"/>
        </w:tabs>
        <w:numPr>
          <w:ilvl w:val="0"/>
          <w:numId w:val="1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AMENDMENTS</w:t>
      </w:r>
    </w:p>
    <w:p>
      <w:pPr>
        <w:spacing w:after="0" w:line="147" w:lineRule="exact"/>
        <w:rPr>
          <w:rFonts w:ascii="Courier New" w:cs="Courier New" w:eastAsia="Courier New" w:hAnsi="Courier New"/>
          <w:sz w:val="12"/>
          <w:szCs w:val="12"/>
          <w:color w:val="auto"/>
        </w:rPr>
      </w:pPr>
    </w:p>
    <w:p>
      <w:pPr>
        <w:ind w:left="364" w:right="441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Any addition, variation, modification or amendment to this Agreement shall not be effective unless any such addition, variation, modification or amendment is in writing and signed by the authorised signatories of all of the parties to this Agreement.</w:t>
      </w:r>
    </w:p>
    <w:p>
      <w:pPr>
        <w:spacing w:after="0" w:line="139"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1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COUNTERPARTS</w:t>
      </w:r>
    </w:p>
    <w:p>
      <w:pPr>
        <w:spacing w:after="0" w:line="147" w:lineRule="exact"/>
        <w:rPr>
          <w:rFonts w:ascii="Courier New" w:cs="Courier New" w:eastAsia="Courier New" w:hAnsi="Courier New"/>
          <w:sz w:val="12"/>
          <w:szCs w:val="12"/>
          <w:color w:val="auto"/>
        </w:rPr>
      </w:pPr>
    </w:p>
    <w:p>
      <w:pPr>
        <w:ind w:left="364" w:right="441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may be executed in any number of counterparts and all of such counterparts taken together shall be deemed to constitute one and the same instrument.</w:t>
      </w:r>
    </w:p>
    <w:p>
      <w:pPr>
        <w:spacing w:after="0" w:line="281" w:lineRule="exact"/>
        <w:rPr>
          <w:rFonts w:ascii="Courier New" w:cs="Courier New" w:eastAsia="Courier New" w:hAnsi="Courier New"/>
          <w:sz w:val="12"/>
          <w:szCs w:val="12"/>
          <w:color w:val="auto"/>
        </w:rPr>
      </w:pPr>
    </w:p>
    <w:p>
      <w:pPr>
        <w:ind w:left="2804" w:hanging="154"/>
        <w:spacing w:after="0"/>
        <w:tabs>
          <w:tab w:leader="none" w:pos="2804" w:val="left"/>
        </w:tabs>
        <w:numPr>
          <w:ilvl w:val="1"/>
          <w:numId w:val="1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147 -</w:t>
      </w:r>
    </w:p>
    <w:p>
      <w:pPr>
        <w:spacing w:after="0" w:line="200" w:lineRule="exact"/>
        <w:rPr>
          <w:rFonts w:ascii="Courier New" w:cs="Courier New" w:eastAsia="Courier New" w:hAnsi="Courier New"/>
          <w:sz w:val="12"/>
          <w:szCs w:val="12"/>
          <w:color w:val="auto"/>
        </w:rPr>
      </w:pPr>
    </w:p>
    <w:p>
      <w:pPr>
        <w:spacing w:after="0" w:line="353"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1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GOVERNING LAW AND JURISDICTION</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shall be governed by and shall be construed in accordance with Israeli law and the courts of Tel-Aviv-Jaffa shall have exclusive jurisdiction to hear any matters, provided that the Banks shall be entitled to sue the Borrower in any jurisdiction in which it has an office or holds assets.</w:t>
      </w:r>
    </w:p>
    <w:p>
      <w:pPr>
        <w:spacing w:after="0" w:line="141"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1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ENTIRE AGREEMENT</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constitutes the entire agreement between the parties with respect to the subject-matter hereof and supersedes any prior agreement, or arrangement amongst the parties. Any addition or amendment to this Agreement shall not be effective unless in writing signed by the authorised signatories of both the parties.</w:t>
      </w:r>
    </w:p>
    <w:p>
      <w:pPr>
        <w:spacing w:after="0" w:line="141"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1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CONFIDENTIALITY</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Subject to clause 25.4 above, the Banks shall keep confidential all confidential information received from the Borrower concerning the Borrower and its Business and will not disclose any such information to any third party, including to any shareholders of the Borrower, without the prior written consent of the Borrower unless such disclosure is:</w:t>
      </w:r>
    </w:p>
    <w:p>
      <w:pPr>
        <w:spacing w:after="0" w:line="141" w:lineRule="exact"/>
        <w:rPr>
          <w:rFonts w:ascii="Courier New" w:cs="Courier New" w:eastAsia="Courier New" w:hAnsi="Courier New"/>
          <w:sz w:val="12"/>
          <w:szCs w:val="12"/>
          <w:color w:val="auto"/>
        </w:rPr>
      </w:pPr>
    </w:p>
    <w:p>
      <w:pPr>
        <w:ind w:left="744" w:right="4419" w:hanging="368"/>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32.1. made in connection with any Proceedings arising out of or in connection with any Finance Document, to the extent that such a party reasonably considers it necessary to protect its interests; or</w:t>
      </w:r>
    </w:p>
    <w:p>
      <w:pPr>
        <w:spacing w:after="0" w:line="139"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32.2. required by an Order of a court of competent jurisdiction; or</w:t>
      </w:r>
    </w:p>
    <w:p>
      <w:pPr>
        <w:spacing w:after="0" w:line="147" w:lineRule="exact"/>
        <w:rPr>
          <w:rFonts w:ascii="Courier New" w:cs="Courier New" w:eastAsia="Courier New" w:hAnsi="Courier New"/>
          <w:sz w:val="12"/>
          <w:szCs w:val="12"/>
          <w:color w:val="auto"/>
        </w:rPr>
      </w:pPr>
    </w:p>
    <w:p>
      <w:pPr>
        <w:ind w:left="744" w:right="4359" w:hanging="368"/>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32.3. made or required pursuant to any law or Proceeding in accordance with which the relevant party concerned is required to act or otherwise required to be disclosed by any banking or other regulatory or examining authorities or enquirers (whether Governmental Body or otherwise); or</w:t>
      </w:r>
    </w:p>
    <w:p>
      <w:pPr>
        <w:spacing w:after="0" w:line="141" w:lineRule="exact"/>
        <w:rPr>
          <w:rFonts w:ascii="Courier New" w:cs="Courier New" w:eastAsia="Courier New" w:hAnsi="Courier New"/>
          <w:sz w:val="12"/>
          <w:szCs w:val="12"/>
          <w:color w:val="auto"/>
        </w:rPr>
      </w:pPr>
    </w:p>
    <w:p>
      <w:pPr>
        <w:ind w:left="744" w:right="4359" w:hanging="368"/>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32.4. made to its auditors for the purpose of enabling them to undertake any audit or to its legal advisers when seeking BONA FIDE legal advice in connection with the Finance Documents or otherwise to any of its officers and employees considered to need to know the information concerned.</w:t>
      </w:r>
    </w:p>
    <w:p>
      <w:pPr>
        <w:spacing w:after="0" w:line="283" w:lineRule="exact"/>
        <w:rPr>
          <w:rFonts w:ascii="Courier New" w:cs="Courier New" w:eastAsia="Courier New" w:hAnsi="Courier New"/>
          <w:sz w:val="12"/>
          <w:szCs w:val="12"/>
          <w:color w:val="auto"/>
        </w:rPr>
      </w:pPr>
    </w:p>
    <w:p>
      <w:pPr>
        <w:ind w:left="2804" w:hanging="154"/>
        <w:spacing w:after="0"/>
        <w:tabs>
          <w:tab w:leader="none" w:pos="2804" w:val="left"/>
        </w:tabs>
        <w:numPr>
          <w:ilvl w:val="1"/>
          <w:numId w:val="1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148 -</w:t>
      </w:r>
    </w:p>
    <w:p>
      <w:pPr>
        <w:sectPr>
          <w:pgSz w:w="11900" w:h="16838" w:orient="portrait"/>
          <w:cols w:equalWidth="0" w:num="1">
            <w:col w:w="10244"/>
          </w:cols>
          <w:pgMar w:left="216" w:top="141" w:right="1440" w:bottom="178" w:gutter="0" w:footer="0" w:header="0"/>
          <w:type w:val="continuous"/>
        </w:sectPr>
      </w:pPr>
    </w:p>
    <w:bookmarkStart w:id="134" w:name="page135"/>
    <w:bookmarkEnd w:id="134"/>
    <w:p>
      <w:pPr>
        <w:jc w:val="both"/>
        <w:ind w:left="364" w:right="4579"/>
        <w:spacing w:after="0" w:line="251" w:lineRule="auto"/>
        <w:rPr>
          <w:sz w:val="20"/>
          <w:szCs w:val="20"/>
          <w:color w:val="auto"/>
        </w:rPr>
      </w:pPr>
      <w:r>
        <w:rPr>
          <w:rFonts w:ascii="Courier New" w:cs="Courier New" w:eastAsia="Courier New" w:hAnsi="Courier New"/>
          <w:sz w:val="12"/>
          <w:szCs w:val="12"/>
          <w:color w:val="auto"/>
        </w:rPr>
        <w:t>The restriction contained in this clause 32 shall continue to bind each Bank after termination of, or after the termination of its participation in, the Facility, without limit in time.</w:t>
      </w:r>
    </w:p>
    <w:p>
      <w:pPr>
        <w:spacing w:after="0" w:line="140"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For the purpose of the above, "CONFIDENTIAL INFORMATION" shall exclude:</w:t>
      </w:r>
    </w:p>
    <w:p>
      <w:pPr>
        <w:spacing w:after="0" w:line="147" w:lineRule="exact"/>
        <w:rPr>
          <w:sz w:val="20"/>
          <w:szCs w:val="20"/>
          <w:color w:val="auto"/>
        </w:rPr>
      </w:pPr>
    </w:p>
    <w:p>
      <w:pPr>
        <w:jc w:val="both"/>
        <w:ind w:left="744" w:right="4359" w:hanging="376"/>
        <w:spacing w:after="0" w:line="251" w:lineRule="auto"/>
        <w:tabs>
          <w:tab w:leader="none" w:pos="744" w:val="left"/>
        </w:tabs>
        <w:numPr>
          <w:ilvl w:val="0"/>
          <w:numId w:val="1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information which at the time of disclosure to any Bank (or any of its advisers) is in the public domain (other than through a breach of this clause 32 by such Bank);</w:t>
      </w:r>
    </w:p>
    <w:p>
      <w:pPr>
        <w:spacing w:after="0" w:line="139" w:lineRule="exact"/>
        <w:rPr>
          <w:rFonts w:ascii="Courier New" w:cs="Courier New" w:eastAsia="Courier New" w:hAnsi="Courier New"/>
          <w:sz w:val="12"/>
          <w:szCs w:val="12"/>
          <w:color w:val="auto"/>
        </w:rPr>
      </w:pPr>
    </w:p>
    <w:p>
      <w:pPr>
        <w:ind w:left="744" w:right="4879" w:hanging="376"/>
        <w:spacing w:after="0" w:line="251" w:lineRule="auto"/>
        <w:tabs>
          <w:tab w:leader="none" w:pos="744" w:val="left"/>
        </w:tabs>
        <w:numPr>
          <w:ilvl w:val="0"/>
          <w:numId w:val="1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information which, prior to such disclosure, becomes generally available to third parties or otherwise in the public domain by publication or through no fault of any Bank; and</w:t>
      </w:r>
    </w:p>
    <w:p>
      <w:pPr>
        <w:spacing w:after="0" w:line="139" w:lineRule="exact"/>
        <w:rPr>
          <w:rFonts w:ascii="Courier New" w:cs="Courier New" w:eastAsia="Courier New" w:hAnsi="Courier New"/>
          <w:sz w:val="12"/>
          <w:szCs w:val="12"/>
          <w:color w:val="auto"/>
        </w:rPr>
      </w:pPr>
    </w:p>
    <w:p>
      <w:pPr>
        <w:jc w:val="both"/>
        <w:ind w:left="744" w:right="4419" w:hanging="376"/>
        <w:spacing w:after="0" w:line="251" w:lineRule="auto"/>
        <w:tabs>
          <w:tab w:leader="none" w:pos="818" w:val="left"/>
        </w:tabs>
        <w:numPr>
          <w:ilvl w:val="0"/>
          <w:numId w:val="1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information which is lawfully in the possession of any Bank prior to such disclosure or subsequently comes into its possession, other than by reason of any breach of any confidentiality undertaking in favour of the Borrower.</w:t>
      </w:r>
    </w:p>
    <w:p>
      <w:pPr>
        <w:spacing w:after="0" w:line="139" w:lineRule="exact"/>
        <w:rPr>
          <w:sz w:val="20"/>
          <w:szCs w:val="20"/>
          <w:color w:val="auto"/>
        </w:rPr>
      </w:pPr>
    </w:p>
    <w:p>
      <w:pPr>
        <w:ind w:left="364" w:right="4359"/>
        <w:spacing w:after="0" w:line="250" w:lineRule="auto"/>
        <w:rPr>
          <w:sz w:val="20"/>
          <w:szCs w:val="20"/>
          <w:color w:val="auto"/>
        </w:rPr>
      </w:pPr>
      <w:r>
        <w:rPr>
          <w:rFonts w:ascii="Courier New" w:cs="Courier New" w:eastAsia="Courier New" w:hAnsi="Courier New"/>
          <w:sz w:val="12"/>
          <w:szCs w:val="12"/>
          <w:color w:val="auto"/>
        </w:rPr>
        <w:t>Nothing herein contained shall limit or restrict the liability or right of any Bank and any Bank shall be entitled, to disclose to any other Bank, confidential information concerning the Borrower, the Project, Fab 2 or any other matter relating to the Finance Documents and the Material Contracts, including regarding the bank accounts of the Borrower.</w:t>
      </w:r>
    </w:p>
    <w:p>
      <w:pPr>
        <w:spacing w:after="0" w:line="141" w:lineRule="exact"/>
        <w:rPr>
          <w:sz w:val="20"/>
          <w:szCs w:val="20"/>
          <w:color w:val="auto"/>
        </w:rPr>
      </w:pPr>
    </w:p>
    <w:p>
      <w:pPr>
        <w:ind w:left="364" w:hanging="364"/>
        <w:spacing w:after="0"/>
        <w:tabs>
          <w:tab w:leader="none" w:pos="364" w:val="left"/>
        </w:tabs>
        <w:numPr>
          <w:ilvl w:val="0"/>
          <w:numId w:val="1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BANKS REPRESENTATION</w:t>
      </w:r>
    </w:p>
    <w:p>
      <w:pPr>
        <w:spacing w:after="0" w:line="147" w:lineRule="exact"/>
        <w:rPr>
          <w:rFonts w:ascii="Courier New" w:cs="Courier New" w:eastAsia="Courier New" w:hAnsi="Courier New"/>
          <w:sz w:val="12"/>
          <w:szCs w:val="12"/>
          <w:color w:val="auto"/>
        </w:rPr>
      </w:pPr>
    </w:p>
    <w:p>
      <w:pPr>
        <w:ind w:left="364" w:right="441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Each of the Banks, with respect to itself only, hereby represents that the relevant committees and other bodies of the Banks have passed all resolutions necessary to approve the Loans granted to the Borrower under this Agreement.</w:t>
      </w:r>
    </w:p>
    <w:p>
      <w:pPr>
        <w:spacing w:after="0" w:line="281"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480" w:type="dxa"/>
            <w:vAlign w:val="bottom"/>
          </w:tcPr>
          <w:p>
            <w:pPr>
              <w:spacing w:after="0"/>
              <w:rPr>
                <w:sz w:val="20"/>
                <w:szCs w:val="20"/>
                <w:color w:val="auto"/>
              </w:rPr>
            </w:pPr>
            <w:r>
              <w:rPr>
                <w:rFonts w:ascii="Courier New" w:cs="Courier New" w:eastAsia="Courier New" w:hAnsi="Courier New"/>
                <w:sz w:val="12"/>
                <w:szCs w:val="12"/>
                <w:color w:val="auto"/>
              </w:rPr>
              <w:t>for:</w:t>
            </w:r>
          </w:p>
        </w:tc>
        <w:tc>
          <w:tcPr>
            <w:tcW w:w="1980" w:type="dxa"/>
            <w:vAlign w:val="bottom"/>
          </w:tcPr>
          <w:p>
            <w:pPr>
              <w:ind w:left="40"/>
              <w:spacing w:after="0"/>
              <w:rPr>
                <w:sz w:val="20"/>
                <w:szCs w:val="20"/>
                <w:color w:val="auto"/>
              </w:rPr>
            </w:pPr>
            <w:r>
              <w:rPr>
                <w:rFonts w:ascii="Courier New" w:cs="Courier New" w:eastAsia="Courier New" w:hAnsi="Courier New"/>
                <w:sz w:val="12"/>
                <w:szCs w:val="12"/>
                <w:color w:val="auto"/>
              </w:rPr>
              <w:t>TOWER SEMICONDUCTOR LTD.</w:t>
            </w:r>
          </w:p>
        </w:tc>
        <w:tc>
          <w:tcPr>
            <w:tcW w:w="1480" w:type="dxa"/>
            <w:vAlign w:val="bottom"/>
          </w:tcPr>
          <w:p>
            <w:pPr>
              <w:spacing w:after="0"/>
              <w:rPr>
                <w:sz w:val="12"/>
                <w:szCs w:val="12"/>
                <w:color w:val="auto"/>
              </w:rPr>
            </w:pPr>
          </w:p>
        </w:tc>
        <w:tc>
          <w:tcPr>
            <w:tcW w:w="1940" w:type="dxa"/>
            <w:vAlign w:val="bottom"/>
          </w:tcPr>
          <w:p>
            <w:pPr>
              <w:spacing w:after="0"/>
              <w:rPr>
                <w:sz w:val="12"/>
                <w:szCs w:val="12"/>
                <w:color w:val="auto"/>
              </w:rPr>
            </w:pPr>
          </w:p>
        </w:tc>
      </w:tr>
      <w:tr>
        <w:trPr>
          <w:trHeight w:val="283"/>
        </w:trPr>
        <w:tc>
          <w:tcPr>
            <w:tcW w:w="480" w:type="dxa"/>
            <w:vAlign w:val="bottom"/>
          </w:tcPr>
          <w:p>
            <w:pPr>
              <w:spacing w:after="0"/>
              <w:rPr>
                <w:sz w:val="20"/>
                <w:szCs w:val="20"/>
                <w:color w:val="auto"/>
              </w:rPr>
            </w:pPr>
            <w:r>
              <w:rPr>
                <w:rFonts w:ascii="Courier New" w:cs="Courier New" w:eastAsia="Courier New" w:hAnsi="Courier New"/>
                <w:sz w:val="12"/>
                <w:szCs w:val="12"/>
                <w:color w:val="auto"/>
              </w:rPr>
              <w:t>By:</w:t>
            </w:r>
          </w:p>
        </w:tc>
        <w:tc>
          <w:tcPr>
            <w:tcW w:w="1980" w:type="dxa"/>
            <w:vAlign w:val="bottom"/>
          </w:tcPr>
          <w:p>
            <w:pPr>
              <w:ind w:left="40"/>
              <w:spacing w:after="0"/>
              <w:rPr>
                <w:sz w:val="20"/>
                <w:szCs w:val="20"/>
                <w:color w:val="auto"/>
              </w:rPr>
            </w:pPr>
            <w:r>
              <w:rPr>
                <w:rFonts w:ascii="Courier New" w:cs="Courier New" w:eastAsia="Courier New" w:hAnsi="Courier New"/>
                <w:sz w:val="12"/>
                <w:szCs w:val="12"/>
                <w:color w:val="auto"/>
              </w:rPr>
              <w:t>________________________</w:t>
            </w: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83"/>
        </w:trPr>
        <w:tc>
          <w:tcPr>
            <w:tcW w:w="480" w:type="dxa"/>
            <w:vAlign w:val="bottom"/>
          </w:tcPr>
          <w:p>
            <w:pPr>
              <w:spacing w:after="0"/>
              <w:rPr>
                <w:sz w:val="20"/>
                <w:szCs w:val="20"/>
                <w:color w:val="auto"/>
              </w:rPr>
            </w:pPr>
            <w:r>
              <w:rPr>
                <w:rFonts w:ascii="Courier New" w:cs="Courier New" w:eastAsia="Courier New" w:hAnsi="Courier New"/>
                <w:sz w:val="12"/>
                <w:szCs w:val="12"/>
                <w:color w:val="auto"/>
              </w:rPr>
              <w:t>Title:</w:t>
            </w:r>
          </w:p>
        </w:tc>
        <w:tc>
          <w:tcPr>
            <w:tcW w:w="1980" w:type="dxa"/>
            <w:vAlign w:val="bottom"/>
          </w:tcPr>
          <w:p>
            <w:pPr>
              <w:ind w:left="40"/>
              <w:spacing w:after="0"/>
              <w:rPr>
                <w:sz w:val="20"/>
                <w:szCs w:val="20"/>
                <w:color w:val="auto"/>
              </w:rPr>
            </w:pPr>
            <w:r>
              <w:rPr>
                <w:rFonts w:ascii="Courier New" w:cs="Courier New" w:eastAsia="Courier New" w:hAnsi="Courier New"/>
                <w:sz w:val="12"/>
                <w:szCs w:val="12"/>
                <w:color w:val="auto"/>
              </w:rPr>
              <w:t>________________________</w:t>
            </w: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566"/>
        </w:trPr>
        <w:tc>
          <w:tcPr>
            <w:tcW w:w="480" w:type="dxa"/>
            <w:vAlign w:val="bottom"/>
          </w:tcPr>
          <w:p>
            <w:pPr>
              <w:spacing w:after="0"/>
              <w:rPr>
                <w:sz w:val="20"/>
                <w:szCs w:val="20"/>
                <w:color w:val="auto"/>
              </w:rPr>
            </w:pPr>
            <w:r>
              <w:rPr>
                <w:rFonts w:ascii="Courier New" w:cs="Courier New" w:eastAsia="Courier New" w:hAnsi="Courier New"/>
                <w:sz w:val="12"/>
                <w:szCs w:val="12"/>
                <w:color w:val="auto"/>
              </w:rPr>
              <w:t>for:</w:t>
            </w:r>
          </w:p>
        </w:tc>
        <w:tc>
          <w:tcPr>
            <w:tcW w:w="1980" w:type="dxa"/>
            <w:vAlign w:val="bottom"/>
          </w:tcPr>
          <w:p>
            <w:pPr>
              <w:ind w:left="40"/>
              <w:spacing w:after="0"/>
              <w:rPr>
                <w:sz w:val="20"/>
                <w:szCs w:val="20"/>
                <w:color w:val="auto"/>
              </w:rPr>
            </w:pPr>
            <w:r>
              <w:rPr>
                <w:rFonts w:ascii="Courier New" w:cs="Courier New" w:eastAsia="Courier New" w:hAnsi="Courier New"/>
                <w:sz w:val="12"/>
                <w:szCs w:val="12"/>
                <w:color w:val="auto"/>
              </w:rPr>
              <w:t>BANK HAPOALIM B.M.</w:t>
            </w:r>
          </w:p>
        </w:tc>
        <w:tc>
          <w:tcPr>
            <w:tcW w:w="1480" w:type="dxa"/>
            <w:vAlign w:val="bottom"/>
          </w:tcPr>
          <w:p>
            <w:pPr>
              <w:ind w:left="1060"/>
              <w:spacing w:after="0"/>
              <w:rPr>
                <w:sz w:val="20"/>
                <w:szCs w:val="20"/>
                <w:color w:val="auto"/>
              </w:rPr>
            </w:pPr>
            <w:r>
              <w:rPr>
                <w:rFonts w:ascii="Courier New" w:cs="Courier New" w:eastAsia="Courier New" w:hAnsi="Courier New"/>
                <w:sz w:val="12"/>
                <w:szCs w:val="12"/>
                <w:color w:val="auto"/>
              </w:rPr>
              <w:t>for:</w:t>
            </w:r>
          </w:p>
        </w:tc>
        <w:tc>
          <w:tcPr>
            <w:tcW w:w="1940" w:type="dxa"/>
            <w:vAlign w:val="bottom"/>
          </w:tcPr>
          <w:p>
            <w:pPr>
              <w:ind w:left="100"/>
              <w:spacing w:after="0"/>
              <w:rPr>
                <w:sz w:val="20"/>
                <w:szCs w:val="20"/>
                <w:color w:val="auto"/>
              </w:rPr>
            </w:pPr>
            <w:r>
              <w:rPr>
                <w:rFonts w:ascii="Courier New" w:cs="Courier New" w:eastAsia="Courier New" w:hAnsi="Courier New"/>
                <w:sz w:val="12"/>
                <w:szCs w:val="12"/>
                <w:color w:val="auto"/>
              </w:rPr>
              <w:t>BANK LEUMI LE-ISRAEL B.M.</w:t>
            </w:r>
          </w:p>
        </w:tc>
      </w:tr>
      <w:tr>
        <w:trPr>
          <w:trHeight w:val="283"/>
        </w:trPr>
        <w:tc>
          <w:tcPr>
            <w:tcW w:w="480" w:type="dxa"/>
            <w:vAlign w:val="bottom"/>
          </w:tcPr>
          <w:p>
            <w:pPr>
              <w:spacing w:after="0"/>
              <w:rPr>
                <w:sz w:val="20"/>
                <w:szCs w:val="20"/>
                <w:color w:val="auto"/>
              </w:rPr>
            </w:pPr>
            <w:r>
              <w:rPr>
                <w:rFonts w:ascii="Courier New" w:cs="Courier New" w:eastAsia="Courier New" w:hAnsi="Courier New"/>
                <w:sz w:val="12"/>
                <w:szCs w:val="12"/>
                <w:color w:val="auto"/>
              </w:rPr>
              <w:t>By:</w:t>
            </w:r>
          </w:p>
        </w:tc>
        <w:tc>
          <w:tcPr>
            <w:tcW w:w="1980" w:type="dxa"/>
            <w:vAlign w:val="bottom"/>
          </w:tcPr>
          <w:p>
            <w:pPr>
              <w:ind w:left="40"/>
              <w:spacing w:after="0"/>
              <w:rPr>
                <w:sz w:val="20"/>
                <w:szCs w:val="20"/>
                <w:color w:val="auto"/>
              </w:rPr>
            </w:pPr>
            <w:r>
              <w:rPr>
                <w:rFonts w:ascii="Courier New" w:cs="Courier New" w:eastAsia="Courier New" w:hAnsi="Courier New"/>
                <w:sz w:val="12"/>
                <w:szCs w:val="12"/>
                <w:color w:val="auto"/>
              </w:rPr>
              <w:t>________________________</w:t>
            </w:r>
          </w:p>
        </w:tc>
        <w:tc>
          <w:tcPr>
            <w:tcW w:w="1480" w:type="dxa"/>
            <w:vAlign w:val="bottom"/>
          </w:tcPr>
          <w:p>
            <w:pPr>
              <w:ind w:left="1060"/>
              <w:spacing w:after="0"/>
              <w:rPr>
                <w:sz w:val="20"/>
                <w:szCs w:val="20"/>
                <w:color w:val="auto"/>
              </w:rPr>
            </w:pPr>
            <w:r>
              <w:rPr>
                <w:rFonts w:ascii="Courier New" w:cs="Courier New" w:eastAsia="Courier New" w:hAnsi="Courier New"/>
                <w:sz w:val="12"/>
                <w:szCs w:val="12"/>
                <w:color w:val="auto"/>
              </w:rPr>
              <w:t>By:</w:t>
            </w:r>
          </w:p>
        </w:tc>
        <w:tc>
          <w:tcPr>
            <w:tcW w:w="1940" w:type="dxa"/>
            <w:vAlign w:val="bottom"/>
          </w:tcPr>
          <w:p>
            <w:pPr>
              <w:ind w:left="100"/>
              <w:spacing w:after="0"/>
              <w:rPr>
                <w:sz w:val="20"/>
                <w:szCs w:val="20"/>
                <w:color w:val="auto"/>
              </w:rPr>
            </w:pPr>
            <w:r>
              <w:rPr>
                <w:rFonts w:ascii="Courier New" w:cs="Courier New" w:eastAsia="Courier New" w:hAnsi="Courier New"/>
                <w:sz w:val="12"/>
                <w:szCs w:val="12"/>
                <w:color w:val="auto"/>
              </w:rPr>
              <w:t>________________________</w:t>
            </w:r>
          </w:p>
        </w:tc>
      </w:tr>
      <w:tr>
        <w:trPr>
          <w:trHeight w:val="283"/>
        </w:trPr>
        <w:tc>
          <w:tcPr>
            <w:tcW w:w="2460" w:type="dxa"/>
            <w:vAlign w:val="bottom"/>
            <w:gridSpan w:val="2"/>
          </w:tcPr>
          <w:p>
            <w:pPr>
              <w:spacing w:after="0"/>
              <w:rPr>
                <w:sz w:val="20"/>
                <w:szCs w:val="20"/>
                <w:color w:val="auto"/>
              </w:rPr>
            </w:pPr>
            <w:r>
              <w:rPr>
                <w:rFonts w:ascii="Courier New" w:cs="Courier New" w:eastAsia="Courier New" w:hAnsi="Courier New"/>
                <w:sz w:val="12"/>
                <w:szCs w:val="12"/>
                <w:color w:val="auto"/>
              </w:rPr>
              <w:t>Title: ________________________</w:t>
            </w:r>
          </w:p>
        </w:tc>
        <w:tc>
          <w:tcPr>
            <w:tcW w:w="3420" w:type="dxa"/>
            <w:vAlign w:val="bottom"/>
            <w:gridSpan w:val="2"/>
          </w:tcPr>
          <w:p>
            <w:pPr>
              <w:ind w:left="1060"/>
              <w:spacing w:after="0"/>
              <w:rPr>
                <w:sz w:val="20"/>
                <w:szCs w:val="20"/>
                <w:color w:val="auto"/>
              </w:rPr>
            </w:pPr>
            <w:r>
              <w:rPr>
                <w:rFonts w:ascii="Courier New" w:cs="Courier New" w:eastAsia="Courier New" w:hAnsi="Courier New"/>
                <w:sz w:val="12"/>
                <w:szCs w:val="12"/>
                <w:color w:val="auto"/>
              </w:rPr>
              <w:t>Title: ________________________</w:t>
            </w:r>
          </w:p>
        </w:tc>
      </w:tr>
      <w:tr>
        <w:trPr>
          <w:trHeight w:val="425"/>
        </w:trPr>
        <w:tc>
          <w:tcPr>
            <w:tcW w:w="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jc w:val="right"/>
              <w:ind w:right="719"/>
              <w:spacing w:after="0"/>
              <w:rPr>
                <w:sz w:val="20"/>
                <w:szCs w:val="20"/>
                <w:color w:val="auto"/>
              </w:rPr>
            </w:pPr>
            <w:r>
              <w:rPr>
                <w:rFonts w:ascii="Courier New" w:cs="Courier New" w:eastAsia="Courier New" w:hAnsi="Courier New"/>
                <w:sz w:val="12"/>
                <w:szCs w:val="12"/>
                <w:color w:val="auto"/>
              </w:rPr>
              <w:t>- 149 -</w:t>
            </w:r>
          </w:p>
        </w:tc>
        <w:tc>
          <w:tcPr>
            <w:tcW w:w="1940" w:type="dxa"/>
            <w:vAlign w:val="bottom"/>
          </w:tcPr>
          <w:p>
            <w:pPr>
              <w:spacing w:after="0"/>
              <w:rPr>
                <w:sz w:val="24"/>
                <w:szCs w:val="24"/>
                <w:color w:val="auto"/>
              </w:rPr>
            </w:pPr>
          </w:p>
        </w:tc>
      </w:tr>
    </w:tbl>
    <w:p>
      <w:pPr>
        <w:sectPr>
          <w:pgSz w:w="11900" w:h="16838" w:orient="portrait"/>
          <w:cols w:equalWidth="0" w:num="1">
            <w:col w:w="10244"/>
          </w:cols>
          <w:pgMar w:left="216" w:top="141" w:right="1440" w:bottom="1440" w:gutter="0" w:footer="0" w:header="0"/>
        </w:sectPr>
      </w:pPr>
    </w:p>
    <w:bookmarkStart w:id="135" w:name="page136"/>
    <w:bookmarkEnd w:id="135"/>
    <w:p>
      <w:pPr>
        <w:spacing w:after="0" w:line="50"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2"/>
          <w:szCs w:val="12"/>
          <w:color w:val="auto"/>
        </w:rPr>
        <w:t>EXHIBIT 99.8</w:t>
      </w:r>
    </w:p>
    <w:p>
      <w:pPr>
        <w:spacing w:after="0" w:line="147" w:lineRule="exact"/>
        <w:rPr>
          <w:sz w:val="20"/>
          <w:szCs w:val="20"/>
          <w:color w:val="auto"/>
        </w:rPr>
      </w:pPr>
    </w:p>
    <w:p>
      <w:pPr>
        <w:jc w:val="center"/>
        <w:ind w:right="4355"/>
        <w:spacing w:after="0"/>
        <w:rPr>
          <w:sz w:val="20"/>
          <w:szCs w:val="20"/>
          <w:color w:val="auto"/>
        </w:rPr>
      </w:pPr>
      <w:r>
        <w:rPr>
          <w:rFonts w:ascii="Courier New" w:cs="Courier New" w:eastAsia="Courier New" w:hAnsi="Courier New"/>
          <w:sz w:val="12"/>
          <w:szCs w:val="12"/>
          <w:color w:val="auto"/>
        </w:rPr>
        <w:t>CONVERSION AGREEMENT</w:t>
      </w:r>
    </w:p>
    <w:p>
      <w:pPr>
        <w:spacing w:after="0" w:line="147"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This Conversion Agreement (this "AGREEMENT") is made and entered into effective as of September 28th, 2006 by and between TOWER SEMICONDUCTOR LTD. (the "COMPANY" or "TOWER"), a company organized under the laws of the State of Israel and BANK HAPOALIM B.M., a banking corporation organized under the laws of the State of Israel (the "BANK").</w:t>
      </w:r>
    </w:p>
    <w:p>
      <w:pPr>
        <w:spacing w:after="0" w:line="141" w:lineRule="exact"/>
        <w:rPr>
          <w:sz w:val="20"/>
          <w:szCs w:val="20"/>
          <w:color w:val="auto"/>
        </w:rPr>
      </w:pPr>
    </w:p>
    <w:p>
      <w:pPr>
        <w:ind w:left="4" w:right="4579" w:firstLine="368"/>
        <w:spacing w:after="0" w:line="251" w:lineRule="auto"/>
        <w:rPr>
          <w:sz w:val="20"/>
          <w:szCs w:val="20"/>
          <w:color w:val="auto"/>
        </w:rPr>
      </w:pPr>
      <w:r>
        <w:rPr>
          <w:rFonts w:ascii="Courier New" w:cs="Courier New" w:eastAsia="Courier New" w:hAnsi="Courier New"/>
          <w:sz w:val="12"/>
          <w:szCs w:val="12"/>
          <w:color w:val="auto"/>
        </w:rPr>
        <w:t>WHEREAS, Tower is an independent manufacturer of wafers whose Ordinary Shares are traded on the Nasdaq Stock Market ("NASDAQ") under the symbol TSEM and whose Ordinary Shares and certain other securities are traded on the Tel-Aviv Stock Exchange ("TASE") under the symbol TSEM;</w:t>
      </w:r>
    </w:p>
    <w:p>
      <w:pPr>
        <w:spacing w:after="0" w:line="139" w:lineRule="exact"/>
        <w:rPr>
          <w:sz w:val="20"/>
          <w:szCs w:val="20"/>
          <w:color w:val="auto"/>
        </w:rPr>
      </w:pPr>
    </w:p>
    <w:p>
      <w:pPr>
        <w:jc w:val="both"/>
        <w:ind w:left="4" w:right="4359" w:firstLine="368"/>
        <w:spacing w:after="0" w:line="251" w:lineRule="auto"/>
        <w:rPr>
          <w:sz w:val="20"/>
          <w:szCs w:val="20"/>
          <w:color w:val="auto"/>
        </w:rPr>
      </w:pPr>
      <w:r>
        <w:rPr>
          <w:rFonts w:ascii="Courier New" w:cs="Courier New" w:eastAsia="Courier New" w:hAnsi="Courier New"/>
          <w:sz w:val="12"/>
          <w:szCs w:val="12"/>
          <w:color w:val="auto"/>
        </w:rPr>
        <w:t>WHEREAS, the Bank and Bank Leumi Le-Israel B.M. (collectively, the "BANKS") and Tower are parties to a Facility Agreement dated January 18, 2001, as amended (the "FACILITY AGREEMENT"); and</w:t>
      </w:r>
    </w:p>
    <w:p>
      <w:pPr>
        <w:spacing w:after="0" w:line="140"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WHEREAS, at the request of Tower, the Banks and Tower have entered into an Amending Agreement dated August 24, 2006 (the "AMENDING AGREEMENT"), the conditions to the effectiveness of which include, INTER ALIA, the conversion by each Bank of US $79,000,000 (seventy-nine million US dollars) of its loans made to Tower pursuant to the Facility Agreement (the "LOANS") into an equity-equivalent convertible capital note to be issued to the Bank (a "CAPITAL NOTE") in the amount of US $39,500,000 (thirty-nine million five hundred thousand US dollars) which will in turn be convertible, in whole or in part, by the Bank at any time and from time to time into 25,986,842 (twenty-five million, nine hundred and eighty-six thousand and eight hundred forty-two) ordinary shares of Tower at a conversion price of US $1.52 (one US dollar and fifty-two cents) per share (such number of shares and conversion price, in each case, subject to adjustment from time to time as provided in the Capital Note) and the entering into by the Bank and Tower of a Registration Rights Agreement (the "REGISTRATION RIGHTS AGREEMENT") and of this Agreement, in each case, on the date of the effectiveness of the Amending Agreement (the "AMENDMENT CLOSING DATE"); and</w:t>
      </w:r>
    </w:p>
    <w:p>
      <w:pPr>
        <w:spacing w:after="0" w:line="283"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WHEREAS, clause 9.4 of the amended and restated Facility Agreement that will become effective pursuant to the Amending Agreement on the Amendment Closing Date, as the same may be further amended from time to time (the "RESTATED FACILITY AGREEMENT") obligates the Company to make certain compensatory payments in January, 2011 to the Banks or their nominees on account of the Banks' agreement to reduce the rate of Interest on the Loans, which payments may, subject to said clause 9.4 and this Agreement, be made in the form of shares and/or Capital Notes and/or convertible debentures (the "CLAUSE 9.4 EQUITY ISSUANCES"), which issuances are subject, INTER ALIA, to the terms and conditions of this Agreement;</w:t>
      </w:r>
    </w:p>
    <w:p>
      <w:pPr>
        <w:spacing w:after="0" w:line="141" w:lineRule="exact"/>
        <w:rPr>
          <w:sz w:val="20"/>
          <w:szCs w:val="20"/>
          <w:color w:val="auto"/>
        </w:rPr>
      </w:pPr>
    </w:p>
    <w:p>
      <w:pPr>
        <w:ind w:left="4" w:right="4499" w:firstLine="368"/>
        <w:spacing w:after="0" w:line="251" w:lineRule="auto"/>
        <w:rPr>
          <w:sz w:val="20"/>
          <w:szCs w:val="20"/>
          <w:color w:val="auto"/>
        </w:rPr>
      </w:pPr>
      <w:r>
        <w:rPr>
          <w:rFonts w:ascii="Courier New" w:cs="Courier New" w:eastAsia="Courier New" w:hAnsi="Courier New"/>
          <w:sz w:val="12"/>
          <w:szCs w:val="12"/>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140" w:lineRule="exact"/>
        <w:rPr>
          <w:sz w:val="20"/>
          <w:szCs w:val="20"/>
          <w:color w:val="auto"/>
        </w:rPr>
      </w:pPr>
    </w:p>
    <w:p>
      <w:pPr>
        <w:ind w:left="364" w:hanging="364"/>
        <w:spacing w:after="0"/>
        <w:tabs>
          <w:tab w:leader="none" w:pos="364" w:val="left"/>
        </w:tabs>
        <w:numPr>
          <w:ilvl w:val="0"/>
          <w:numId w:val="1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INTERPRETATION.</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1.1. As used in Sections 3.8 and 5.1 of this Agreement: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1.1.1. "CONTROL" (including the terms "CONTROLLING", "CONTROLLED BY"</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or "UNDER COMMON CONTROL WITH", means the possession direct or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indirect, of the power to direct or cause the direction of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management and policies of a person, whether through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ownership of voting securities, by contract or otherwise; and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104" w:right="4359" w:hanging="367"/>
        <w:spacing w:after="0" w:line="250" w:lineRule="auto"/>
        <w:rPr>
          <w:sz w:val="20"/>
          <w:szCs w:val="20"/>
          <w:color w:val="auto"/>
        </w:rPr>
      </w:pPr>
      <w:r>
        <w:rPr>
          <w:rFonts w:ascii="Courier New" w:cs="Courier New" w:eastAsia="Courier New" w:hAnsi="Courier New"/>
          <w:sz w:val="12"/>
          <w:szCs w:val="12"/>
          <w:color w:val="auto"/>
        </w:rPr>
        <w:t>1.1.2. "SUBSIDIARY" of a person means any company (a) in which such person, directly or indirectly, owns 25% (twenty-five percent) or more of a class of voting securities or (b) which is otherwise directly or indirectly controlled by such person. For the avoidance of doubt, a subsidiary need not be consolidated for financial statement purposes with such person in order to be deemed a subsidiary in this Agreement.</w:t>
      </w:r>
    </w:p>
    <w:p>
      <w:pPr>
        <w:spacing w:after="0" w:line="141"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1.2. DEFINITIONS. Except as otherwise defined herein, terms and expressions defined in the Restated Facility Agreement shall have the same meanings when used in this Agreement and all provisions of the Facility Agreement concerning matters of construction and interpretation shall apply to this Agreement.</w:t>
      </w:r>
    </w:p>
    <w:p>
      <w:pPr>
        <w:spacing w:after="0" w:line="139" w:lineRule="exact"/>
        <w:rPr>
          <w:sz w:val="20"/>
          <w:szCs w:val="20"/>
          <w:color w:val="auto"/>
        </w:rPr>
      </w:pPr>
    </w:p>
    <w:p>
      <w:pPr>
        <w:ind w:left="4" w:right="4419" w:firstLine="368"/>
        <w:spacing w:after="0" w:line="253" w:lineRule="auto"/>
        <w:rPr>
          <w:sz w:val="20"/>
          <w:szCs w:val="20"/>
          <w:color w:val="auto"/>
        </w:rPr>
      </w:pPr>
      <w:r>
        <w:rPr>
          <w:rFonts w:ascii="Courier New" w:cs="Courier New" w:eastAsia="Courier New" w:hAnsi="Courier New"/>
          <w:sz w:val="12"/>
          <w:szCs w:val="12"/>
          <w:color w:val="auto"/>
        </w:rPr>
        <w:t>1.3. PREAMBLE. The preamble to this Agreement constitutes an integral part thereof.</w:t>
      </w:r>
    </w:p>
    <w:p>
      <w:pPr>
        <w:spacing w:after="0" w:line="138" w:lineRule="exact"/>
        <w:rPr>
          <w:sz w:val="20"/>
          <w:szCs w:val="20"/>
          <w:color w:val="auto"/>
        </w:rPr>
      </w:pPr>
    </w:p>
    <w:p>
      <w:pPr>
        <w:ind w:left="364" w:right="4359" w:hanging="364"/>
        <w:spacing w:after="0" w:line="499" w:lineRule="auto"/>
        <w:tabs>
          <w:tab w:leader="none" w:pos="364" w:val="left"/>
        </w:tabs>
        <w:numPr>
          <w:ilvl w:val="0"/>
          <w:numId w:val="1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CONVERSION OF LOAN AND ISSUE OF CAPITAL NOTE ON THE AMENDMENT CLOSING DATE. The Company hereby:</w:t>
      </w:r>
    </w:p>
    <w:p>
      <w:pPr>
        <w:spacing w:after="0" w:line="1"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2.1. issues to the Bank, and the Bank hereby receives from the Company, in conversion of US $79,000,000 (seventy-nine million US dollars) of the Loans, an executed Capital Note in the principal amount of US $39,500,000 (thirty nine million five hundred thousand US dollars) in the form attached as EXHIBIT 1 hereto. For the avoidance of doubt, as of the Amendment Closing Date, the principal amount of Loans outstanding and owed by Tower to the Banks shall be as set forth in the second sentence of clause 2.1 of the Restated Facility Agreement;</w:t>
      </w:r>
    </w:p>
    <w:p>
      <w:pPr>
        <w:spacing w:after="0" w:line="141"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2.2. furnishes to the Bank a copy of the approval of the TASE for listing the 25,986,842 (twenty-five million, nine hundred and eighty-six thousand, eight hundred and forty-two) shares issuable upon conversion of said Capital Note; and</w:t>
      </w:r>
    </w:p>
    <w:p>
      <w:pPr>
        <w:spacing w:after="0" w:line="140" w:lineRule="exact"/>
        <w:rPr>
          <w:sz w:val="20"/>
          <w:szCs w:val="20"/>
          <w:color w:val="auto"/>
        </w:rPr>
      </w:pPr>
    </w:p>
    <w:p>
      <w:pPr>
        <w:ind w:left="4" w:right="4579" w:firstLine="368"/>
        <w:spacing w:after="0" w:line="253" w:lineRule="auto"/>
        <w:rPr>
          <w:sz w:val="20"/>
          <w:szCs w:val="20"/>
          <w:color w:val="auto"/>
        </w:rPr>
      </w:pPr>
      <w:r>
        <w:rPr>
          <w:rFonts w:ascii="Courier New" w:cs="Courier New" w:eastAsia="Courier New" w:hAnsi="Courier New"/>
          <w:sz w:val="12"/>
          <w:szCs w:val="12"/>
          <w:color w:val="auto"/>
        </w:rPr>
        <w:t>2.3. confirms that the Company has recorded such issuance of the Capital Note in the name of Bank on the records of the Company.</w:t>
      </w:r>
    </w:p>
    <w:p>
      <w:pPr>
        <w:spacing w:after="0" w:line="138" w:lineRule="exact"/>
        <w:rPr>
          <w:sz w:val="20"/>
          <w:szCs w:val="20"/>
          <w:color w:val="auto"/>
        </w:rPr>
      </w:pPr>
    </w:p>
    <w:p>
      <w:pPr>
        <w:ind w:left="364" w:hanging="364"/>
        <w:spacing w:after="0"/>
        <w:tabs>
          <w:tab w:leader="none" w:pos="364" w:val="left"/>
        </w:tabs>
        <w:numPr>
          <w:ilvl w:val="0"/>
          <w:numId w:val="1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AND WARRANTIES OF THE COMPANY.</w:t>
      </w:r>
    </w:p>
    <w:p>
      <w:pPr>
        <w:spacing w:after="0" w:line="147" w:lineRule="exact"/>
        <w:rPr>
          <w:sz w:val="20"/>
          <w:szCs w:val="20"/>
          <w:color w:val="auto"/>
        </w:rPr>
      </w:pPr>
    </w:p>
    <w:p>
      <w:pPr>
        <w:ind w:left="4" w:right="4639" w:firstLine="368"/>
        <w:spacing w:after="0" w:line="253" w:lineRule="auto"/>
        <w:rPr>
          <w:sz w:val="20"/>
          <w:szCs w:val="20"/>
          <w:color w:val="auto"/>
        </w:rPr>
      </w:pPr>
      <w:r>
        <w:rPr>
          <w:rFonts w:ascii="Courier New" w:cs="Courier New" w:eastAsia="Courier New" w:hAnsi="Courier New"/>
          <w:sz w:val="12"/>
          <w:szCs w:val="12"/>
          <w:color w:val="auto"/>
        </w:rPr>
        <w:t>The Company hereby represents and warrants to the Bank on the Amendment Closing Date as follows:</w:t>
      </w:r>
    </w:p>
    <w:p>
      <w:pPr>
        <w:spacing w:after="0" w:line="138"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3.1. ORGANIZATION. The Company is duly organized and validly existing under the laws of its jurisdiction of incorporation and has full corporate power and authority to own, lease and operate its properties and assets and to conduct its business as now being conducted and to perform all its obligations under this Agreement.</w:t>
      </w:r>
    </w:p>
    <w:p>
      <w:pPr>
        <w:spacing w:after="0" w:line="141"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3.2. SHARE CAPITAL. All issued and outstanding share capital of the Company has been duly authorized and is validly issued. The shares to be issued upon conversion of any Capital Note or convertible debentures issued pursuant to this</w:t>
      </w:r>
    </w:p>
    <w:p>
      <w:pPr>
        <w:sectPr>
          <w:pgSz w:w="11900" w:h="16889" w:orient="portrait"/>
          <w:cols w:equalWidth="0" w:num="1">
            <w:col w:w="10244"/>
          </w:cols>
          <w:pgMar w:left="216" w:top="283" w:right="1440" w:bottom="0" w:gutter="0" w:footer="0" w:header="0"/>
        </w:sectPr>
      </w:pPr>
    </w:p>
    <w:bookmarkStart w:id="136" w:name="page137"/>
    <w:bookmarkEnd w:id="136"/>
    <w:p>
      <w:pPr>
        <w:ind w:right="4419"/>
        <w:spacing w:after="0" w:line="250" w:lineRule="auto"/>
        <w:rPr>
          <w:sz w:val="20"/>
          <w:szCs w:val="20"/>
          <w:color w:val="auto"/>
        </w:rPr>
      </w:pPr>
      <w:r>
        <w:rPr>
          <w:rFonts w:ascii="Courier New" w:cs="Courier New" w:eastAsia="Courier New" w:hAnsi="Courier New"/>
          <w:sz w:val="12"/>
          <w:szCs w:val="12"/>
          <w:color w:val="auto"/>
        </w:rPr>
        <w:t>Agreement (the "CONVERSION SHARES") and, if applicable, on the Clause 9.4 Closing Date, are duly authorized and reserved for issuance by the Company and, when issued in accordance with the terms of such Capital Note or convertible debentures or, as applicable, this Agreement and Clause 9.4 of the Restated Facility Agreement, will be validly issued, fully paid, nonassessable and not subject to any pledge, lien or restriction on transfer, except for restrictions on transfer imposed by applicable securities laws. The entering into and performance of this Agreement and the issuance of any shares, Capital Notes or convertible debentures hereunder do not, and the issuance of any Conversion Shares will not, conflict with the Memorandum of Association or the Articles of Association of the Company nor with any outstanding convertible security, warrant, option, call, preemptive right or commitment of any type relating to the Company's capital stock (collectively, "EQUITY RIGHTS"). The entering into and performance of this Agreement, the issuance of any shares or Capital Notes hereunder and the issuance of the Conversion Shares do not require, or give any holder of Equity Rights the right to have made, any adjustments to be made in the conversion or exercise price, the number of shares issuable upon conversion or exercise or any other provision of the aforegoing Equity Rights.</w:t>
      </w:r>
    </w:p>
    <w:p>
      <w:pPr>
        <w:spacing w:after="0" w:line="283"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- 2 -</w:t>
      </w:r>
    </w:p>
    <w:p>
      <w:pPr>
        <w:sectPr>
          <w:pgSz w:w="11900" w:h="16838" w:orient="portrait"/>
          <w:cols w:equalWidth="0" w:num="1">
            <w:col w:w="10239"/>
          </w:cols>
          <w:pgMar w:left="220" w:top="141" w:right="1440" w:bottom="1440" w:gutter="0" w:footer="0" w:header="0"/>
        </w:sectPr>
      </w:pPr>
    </w:p>
    <w:bookmarkStart w:id="137" w:name="page138"/>
    <w:bookmarkEnd w:id="137"/>
    <w:p>
      <w:pPr>
        <w:ind w:right="4359" w:firstLine="368"/>
        <w:spacing w:after="0" w:line="250" w:lineRule="auto"/>
        <w:rPr>
          <w:sz w:val="20"/>
          <w:szCs w:val="20"/>
          <w:color w:val="auto"/>
        </w:rPr>
      </w:pPr>
      <w:r>
        <w:rPr>
          <w:rFonts w:ascii="Courier New" w:cs="Courier New" w:eastAsia="Courier New" w:hAnsi="Courier New"/>
          <w:sz w:val="12"/>
          <w:szCs w:val="12"/>
          <w:color w:val="auto"/>
        </w:rPr>
        <w:t>3.3. AUTHORIZATION; APPROVALS. All corporate action on the part of the Company necessary for the execution, delivery and performance of this Agreement and the issuance of any shares, Capital Notes, convertible debentures and Conversion Shares has been taken. Except as set forth in Schedule 3.3 hereto, save for any consents, approvals, authorisations or exemptions already obtained, and filings already made, no consent, approval or authorization of, exemption by, or filing with, any governmental or regulatory authority, including any approval of, or filings with, the Israeli Securities Authority (the "ISA"), the TASE or any third party is required in connection with the execution, delivery and performance by the Company of this Agreement and the consummation by the Company of the transactions contemplated hereby, including the issuance by way of private placement pursuant to this Agreement of any Capital Notes, convertible debentures or shares. This Agreement and all Capital Notes or convertible debentures issued hereunder on the date which this representation is given have been executed and delivered by the Company, and each constitutes the valid and legally binding obligations of the Company, legally enforceable against the Company in accordance with its terms, subject to applicable bankruptcy, insolvency, fraudulent conveyance, reorganization, moratorium and other laws relating to creditor's rights generally and general principles of equity.</w:t>
      </w:r>
    </w:p>
    <w:p>
      <w:pPr>
        <w:spacing w:after="0" w:line="283" w:lineRule="exact"/>
        <w:rPr>
          <w:sz w:val="20"/>
          <w:szCs w:val="20"/>
          <w:color w:val="auto"/>
        </w:rPr>
      </w:pPr>
    </w:p>
    <w:p>
      <w:pPr>
        <w:ind w:right="4939" w:firstLine="368"/>
        <w:spacing w:after="0" w:line="253" w:lineRule="auto"/>
        <w:rPr>
          <w:sz w:val="20"/>
          <w:szCs w:val="20"/>
          <w:color w:val="auto"/>
        </w:rPr>
      </w:pPr>
      <w:r>
        <w:rPr>
          <w:rFonts w:ascii="Courier New" w:cs="Courier New" w:eastAsia="Courier New" w:hAnsi="Courier New"/>
          <w:sz w:val="12"/>
          <w:szCs w:val="12"/>
          <w:color w:val="auto"/>
        </w:rPr>
        <w:t>3.4. CROSS-DEFAULT. No Default or Event of Default exists under the Facility Agreement.</w:t>
      </w:r>
    </w:p>
    <w:p>
      <w:pPr>
        <w:spacing w:after="0" w:line="138" w:lineRule="exact"/>
        <w:rPr>
          <w:sz w:val="20"/>
          <w:szCs w:val="20"/>
          <w:color w:val="auto"/>
        </w:rPr>
      </w:pPr>
    </w:p>
    <w:p>
      <w:pPr>
        <w:ind w:right="4359" w:firstLine="368"/>
        <w:spacing w:after="0" w:line="250" w:lineRule="auto"/>
        <w:rPr>
          <w:sz w:val="20"/>
          <w:szCs w:val="20"/>
          <w:color w:val="auto"/>
        </w:rPr>
      </w:pPr>
      <w:r>
        <w:rPr>
          <w:rFonts w:ascii="Courier New" w:cs="Courier New" w:eastAsia="Courier New" w:hAnsi="Courier New"/>
          <w:sz w:val="12"/>
          <w:szCs w:val="12"/>
          <w:color w:val="auto"/>
        </w:rPr>
        <w:t>3.5. NO CONFLICTS. Neither the execution and delivery of this Agreement by Tower, nor the compliance with the terms and provisions of this Agreement on the part of Tower, including the issuance of shares, Capital Notes, convertible debentures or Conversion Shares, will: (i) violate any statute or regulation of any governmental authority, domestic or foreign, affecting Tower; (ii) require the issuance of any authorization, license, consent or approval of any governmental agency, or any other person which has not been obtained, save as set forth in Schedule 3.5 hereto; or (iii) conflict with or result in a breach of any of the terms, conditions or provisions of any judgment, order, injunction, decree, loan agreement or other material agreement or instrument to which Tower is a party, or by which Tower is bound, or constitute a default thereunder, the effect of which might have a material adverse effect on Tower.</w:t>
      </w:r>
    </w:p>
    <w:p>
      <w:pPr>
        <w:spacing w:after="0" w:line="141" w:lineRule="exact"/>
        <w:rPr>
          <w:sz w:val="20"/>
          <w:szCs w:val="20"/>
          <w:color w:val="auto"/>
        </w:rPr>
      </w:pPr>
    </w:p>
    <w:p>
      <w:pPr>
        <w:jc w:val="both"/>
        <w:ind w:right="4359" w:firstLine="368"/>
        <w:spacing w:after="0" w:line="251" w:lineRule="auto"/>
        <w:rPr>
          <w:sz w:val="20"/>
          <w:szCs w:val="20"/>
          <w:color w:val="auto"/>
        </w:rPr>
      </w:pPr>
      <w:r>
        <w:rPr>
          <w:rFonts w:ascii="Courier New" w:cs="Courier New" w:eastAsia="Courier New" w:hAnsi="Courier New"/>
          <w:sz w:val="12"/>
          <w:szCs w:val="12"/>
          <w:color w:val="auto"/>
        </w:rPr>
        <w:t>3.6. NO LITIGATION. There are no actions, suits, proceedings, or injunctive orders, pending or threatened against or affecting Tower relating to the subject matter of this Agreement.</w:t>
      </w:r>
    </w:p>
    <w:p>
      <w:pPr>
        <w:spacing w:after="0" w:line="140" w:lineRule="exact"/>
        <w:rPr>
          <w:sz w:val="20"/>
          <w:szCs w:val="20"/>
          <w:color w:val="auto"/>
        </w:rPr>
      </w:pPr>
    </w:p>
    <w:p>
      <w:pPr>
        <w:ind w:right="4359" w:firstLine="368"/>
        <w:spacing w:after="0" w:line="251" w:lineRule="auto"/>
        <w:rPr>
          <w:sz w:val="20"/>
          <w:szCs w:val="20"/>
          <w:color w:val="auto"/>
        </w:rPr>
      </w:pPr>
      <w:r>
        <w:rPr>
          <w:rFonts w:ascii="Courier New" w:cs="Courier New" w:eastAsia="Courier New" w:hAnsi="Courier New"/>
          <w:sz w:val="12"/>
          <w:szCs w:val="12"/>
          <w:color w:val="auto"/>
        </w:rPr>
        <w:t>3.7. NO BROKERS. Except as set forth in Schedule 3.7 hereto, Tower has not engaged any broker or finder in connection with the transactions contemplated by this Agreement, and no broker or other person is entitled to any commission or finder's fee in connection with such transactions.</w:t>
      </w:r>
    </w:p>
    <w:p>
      <w:pPr>
        <w:spacing w:after="0" w:line="281"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- 3 -</w:t>
      </w:r>
    </w:p>
    <w:p>
      <w:pPr>
        <w:sectPr>
          <w:pgSz w:w="11900" w:h="16838" w:orient="portrait"/>
          <w:cols w:equalWidth="0" w:num="1">
            <w:col w:w="10239"/>
          </w:cols>
          <w:pgMar w:left="220" w:top="688"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2"/>
          <w:szCs w:val="12"/>
          <w:color w:val="auto"/>
        </w:rPr>
        <w:t>3.8. ACTIVITIES IN THE UNITED STATES.</w:t>
      </w:r>
    </w:p>
    <w:p>
      <w:pPr>
        <w:spacing w:after="0" w:line="147"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3.8.1. More than 50% (fifty percent) of the consolidated assets of the Company as shown or would be shown on its consolidated financial statements (a) as of the last day of the immediately preceding calendar year and (b) as of the date hereof are, in each case, are located outside of the United States.</w:t>
      </w:r>
    </w:p>
    <w:p>
      <w:pPr>
        <w:spacing w:after="0" w:line="141"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2"/>
          <w:szCs w:val="12"/>
          <w:color w:val="auto"/>
        </w:rPr>
        <w:t>3.8.2. More than 50% (fifty percent) of the consolidated revenues of</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the Company as shown or would be shown on its consolidated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financial statements (a) for the immediately preceding calendar</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year; and (b) during the current calendar year to date, in each</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case, are derived from outside the United States.</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3.8.3. For the purposes of Section 3.8.1, Section 3.8.2, Section</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5.1.1, Section 5.1.2, Section 5.1.6, Section 5.1.7 and Section</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6.6 herein, assets and revenues of the Company will be deemed to</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be located or derived from "outside the United States" if they</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are recorded on the books of the Company or of any subsidiaries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of the Company incorporated outside the United States ("NON-U.S.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SUBSIDIARIES") (provided that such revenues are not recorded on</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the books of any offices of the Company or of its Non-U.S.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Subsidiaries located in the United States ("U.S. OFFICES")) and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will be deemed to be located in or derived from the United States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if they are recorded on the books of any U.S. Offices or of any</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subsidiaries of the Company incorporated in the United States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("U.S. SUBSIDIARIES"). By way of example, revenues recorded on</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the books of the Company itself (but not on the books of any U.S.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Offices) will be considered revenues derived from outside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United States, even if the revenues derive from a sale of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Company's products to a U.S. person and even if the Company's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U.S. Subsidiary was involved in marketing, sales or post-sales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support efforts.</w:t>
      </w:r>
    </w:p>
    <w:p>
      <w:pPr>
        <w:spacing w:after="0" w:line="147" w:lineRule="exact"/>
        <w:rPr>
          <w:sz w:val="20"/>
          <w:szCs w:val="20"/>
          <w:color w:val="auto"/>
        </w:rPr>
      </w:pPr>
    </w:p>
    <w:p>
      <w:pPr>
        <w:ind w:left="740" w:right="4419" w:hanging="367"/>
        <w:spacing w:after="0" w:line="250" w:lineRule="auto"/>
        <w:rPr>
          <w:sz w:val="20"/>
          <w:szCs w:val="20"/>
          <w:color w:val="auto"/>
        </w:rPr>
      </w:pPr>
      <w:r>
        <w:rPr>
          <w:rFonts w:ascii="Courier New" w:cs="Courier New" w:eastAsia="Courier New" w:hAnsi="Courier New"/>
          <w:sz w:val="12"/>
          <w:szCs w:val="12"/>
          <w:color w:val="auto"/>
        </w:rPr>
        <w:t>3.8.4. The activities, if any, of the Company and its Non-U.S. Subsidiaries within the United States and the activities of all U.S. Subsidiaries are the same kind as or support the Company's or its Non-U.S. Subsidiaries' activities outside of the United States. For purposes of this Section 3.8.4, Section 5.1.3, Section 5.1.6, Section 5.1.7 and Section 6.6 below (a) "the same kind as" shall mean activities that are within the same "establishment" categories of the North American Classification System published by the United States Census Bureau, and (b) "support" shall mean supply, distribution, sales, marketing, servicing, research and development, licensing, design, customer relations and/or similar activities.</w:t>
      </w:r>
    </w:p>
    <w:p>
      <w:pPr>
        <w:spacing w:after="0" w:line="141" w:lineRule="exact"/>
        <w:rPr>
          <w:sz w:val="20"/>
          <w:szCs w:val="20"/>
          <w:color w:val="auto"/>
        </w:rPr>
      </w:pPr>
    </w:p>
    <w:p>
      <w:pPr>
        <w:ind w:left="740" w:right="4499" w:hanging="367"/>
        <w:spacing w:after="0" w:line="251" w:lineRule="auto"/>
        <w:rPr>
          <w:sz w:val="20"/>
          <w:szCs w:val="20"/>
          <w:color w:val="auto"/>
        </w:rPr>
      </w:pPr>
      <w:r>
        <w:rPr>
          <w:rFonts w:ascii="Courier New" w:cs="Courier New" w:eastAsia="Courier New" w:hAnsi="Courier New"/>
          <w:sz w:val="12"/>
          <w:szCs w:val="12"/>
          <w:color w:val="auto"/>
        </w:rPr>
        <w:t>3.8.5. Neither the Company nor any of its subsidiaries conducts activities in the United States that consist of engaging in the business of banking, securities, insurance or real estate.</w:t>
      </w:r>
    </w:p>
    <w:p>
      <w:pPr>
        <w:spacing w:after="0" w:line="140" w:lineRule="exact"/>
        <w:rPr>
          <w:sz w:val="20"/>
          <w:szCs w:val="20"/>
          <w:color w:val="auto"/>
        </w:rPr>
      </w:pPr>
    </w:p>
    <w:p>
      <w:pPr>
        <w:ind w:left="740" w:right="4359" w:hanging="367"/>
        <w:spacing w:after="0" w:line="251" w:lineRule="auto"/>
        <w:rPr>
          <w:sz w:val="20"/>
          <w:szCs w:val="20"/>
          <w:color w:val="auto"/>
        </w:rPr>
      </w:pPr>
      <w:r>
        <w:rPr>
          <w:rFonts w:ascii="Courier New" w:cs="Courier New" w:eastAsia="Courier New" w:hAnsi="Courier New"/>
          <w:sz w:val="12"/>
          <w:szCs w:val="12"/>
          <w:color w:val="auto"/>
        </w:rPr>
        <w:t>3.8.6. Neither the Company nor any of its subsidiaries engages, nor do either own more than 5% (five percent) of a class of voting securities of a person that engages, in the business of securities underwriting or distribution in the United States.</w:t>
      </w:r>
    </w:p>
    <w:p>
      <w:pPr>
        <w:spacing w:after="0" w:line="281"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- 4 -</w:t>
      </w:r>
    </w:p>
    <w:p>
      <w:pPr>
        <w:sectPr>
          <w:pgSz w:w="11900" w:h="16838" w:orient="portrait"/>
          <w:cols w:equalWidth="0" w:num="1">
            <w:col w:w="9879"/>
          </w:cols>
          <w:pgMar w:left="580" w:top="830" w:right="1440" w:bottom="1440" w:gutter="0" w:footer="0" w:header="0"/>
        </w:sectPr>
      </w:pPr>
    </w:p>
    <w:bookmarkStart w:id="139" w:name="page140"/>
    <w:bookmarkEnd w:id="139"/>
    <w:p>
      <w:pPr>
        <w:ind w:left="4" w:right="4419" w:firstLine="368"/>
        <w:spacing w:after="0" w:line="251" w:lineRule="auto"/>
        <w:rPr>
          <w:sz w:val="20"/>
          <w:szCs w:val="20"/>
          <w:color w:val="auto"/>
        </w:rPr>
      </w:pPr>
      <w:r>
        <w:rPr>
          <w:rFonts w:ascii="Courier New" w:cs="Courier New" w:eastAsia="Courier New" w:hAnsi="Courier New"/>
          <w:sz w:val="12"/>
          <w:szCs w:val="12"/>
          <w:color w:val="auto"/>
        </w:rPr>
        <w:t>3.9. The Company acknowledges that the Bank is acquiring the Capital Notes on the Amendment Closing Date in full reliance upon the representations and warranties made by the Company in this Agreement, including in Section 3.8 above.</w:t>
      </w:r>
    </w:p>
    <w:p>
      <w:pPr>
        <w:spacing w:after="0" w:line="139" w:lineRule="exact"/>
        <w:rPr>
          <w:sz w:val="20"/>
          <w:szCs w:val="20"/>
          <w:color w:val="auto"/>
        </w:rPr>
      </w:pPr>
    </w:p>
    <w:p>
      <w:pPr>
        <w:ind w:left="364" w:hanging="364"/>
        <w:spacing w:after="0"/>
        <w:tabs>
          <w:tab w:leader="none" w:pos="364" w:val="left"/>
        </w:tabs>
        <w:numPr>
          <w:ilvl w:val="0"/>
          <w:numId w:val="1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AND WARRANTIES OF THE BANK.</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Bank hereby represents and warrants to the Company that it:</w:t>
      </w:r>
    </w:p>
    <w:p>
      <w:pPr>
        <w:spacing w:after="0" w:line="147" w:lineRule="exact"/>
        <w:rPr>
          <w:sz w:val="20"/>
          <w:szCs w:val="20"/>
          <w:color w:val="auto"/>
        </w:rPr>
      </w:pPr>
    </w:p>
    <w:p>
      <w:pPr>
        <w:ind w:left="4" w:right="4579" w:firstLine="368"/>
        <w:spacing w:after="0" w:line="251" w:lineRule="auto"/>
        <w:rPr>
          <w:sz w:val="20"/>
          <w:szCs w:val="20"/>
          <w:color w:val="auto"/>
        </w:rPr>
      </w:pPr>
      <w:r>
        <w:rPr>
          <w:rFonts w:ascii="Courier New" w:cs="Courier New" w:eastAsia="Courier New" w:hAnsi="Courier New"/>
          <w:sz w:val="12"/>
          <w:szCs w:val="12"/>
          <w:color w:val="auto"/>
        </w:rPr>
        <w:t>4.1. is acquiring the securities issued and to be issued to the Bank pursuant to this Agreement for investment and not with a view to distribution without registration under the U.S. Securities Act of 1933 (the "Securities Act");</w:t>
      </w:r>
    </w:p>
    <w:p>
      <w:pPr>
        <w:spacing w:after="0" w:line="139"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4.2. has requisite knowledge and experience in financial and business matters to be capable of evaluating the merits and risks of an investment in the Company and is an accredited investor as defined in Rule 501(a) under the Securities Act;</w:t>
      </w:r>
    </w:p>
    <w:p>
      <w:pPr>
        <w:spacing w:after="0" w:line="139"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4.3. understands that none of the Capital Notes issued and to be issued under this Agreement have been, or will be, registered under the Securities Act, or the laws of any jurisdiction;</w:t>
      </w:r>
    </w:p>
    <w:p>
      <w:pPr>
        <w:spacing w:after="0" w:line="140"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4.4. agrees that none of the securities issued and to be issued to the Bank pursuant to this Agreement may be sold, offered for sale, transferred, pledged, hypothecated or otherwise disposed of except by registration under the Securities Act or otherwise in compliance with the Securities Act, the Israeli Securities Law or any applicable securities laws of any jurisdiction (including pursuant to an exemption therefrom); and</w:t>
      </w:r>
    </w:p>
    <w:p>
      <w:pPr>
        <w:spacing w:after="0" w:line="141" w:lineRule="exact"/>
        <w:rPr>
          <w:sz w:val="20"/>
          <w:szCs w:val="20"/>
          <w:color w:val="auto"/>
        </w:rPr>
      </w:pPr>
    </w:p>
    <w:p>
      <w:pPr>
        <w:ind w:left="4" w:right="4419" w:firstLine="368"/>
        <w:spacing w:after="0" w:line="251" w:lineRule="auto"/>
        <w:rPr>
          <w:sz w:val="20"/>
          <w:szCs w:val="20"/>
          <w:color w:val="auto"/>
        </w:rPr>
      </w:pPr>
      <w:r>
        <w:rPr>
          <w:rFonts w:ascii="Courier New" w:cs="Courier New" w:eastAsia="Courier New" w:hAnsi="Courier New"/>
          <w:sz w:val="12"/>
          <w:szCs w:val="12"/>
          <w:color w:val="auto"/>
        </w:rPr>
        <w:t>4.5. acknowledges that the securities, upon issuance, will, unless in the reasonable opinion of counsel for the Company such legend is not required in order to ensure compliance under the Securities Act, bear the following legend:</w:t>
      </w:r>
    </w:p>
    <w:p>
      <w:pPr>
        <w:spacing w:after="0" w:line="140" w:lineRule="exact"/>
        <w:rPr>
          <w:sz w:val="20"/>
          <w:szCs w:val="20"/>
          <w:color w:val="auto"/>
        </w:rPr>
      </w:pPr>
    </w:p>
    <w:p>
      <w:pPr>
        <w:ind w:left="4" w:right="4419" w:firstLine="368"/>
        <w:spacing w:after="0" w:line="250" w:lineRule="auto"/>
        <w:rPr>
          <w:sz w:val="20"/>
          <w:szCs w:val="20"/>
          <w:color w:val="auto"/>
        </w:rPr>
      </w:pPr>
      <w:r>
        <w:rPr>
          <w:rFonts w:ascii="Courier New" w:cs="Courier New" w:eastAsia="Courier New" w:hAnsi="Courier New"/>
          <w:sz w:val="12"/>
          <w:szCs w:val="12"/>
          <w:color w:val="auto"/>
        </w:rPr>
        <w:t>THESE SECURITIES [(INCLUDING THE SECURITIES ISSUABLE PURSUANT HERETO)](1) HAVE NOT BEEN REGISTERED OR QUALIFIED UNDER THE U.S. SECURITIES ACT OF 1933, AS AMENDED, OR ANY U.S. STATE OR OTHER JURISDICTION'S SECURITIES LAWS. THESE SECURITIES (INCLUDING THE SECURITIES ISSUABLE PURSUANT HERETO) MAY NOT BE SOLD, OFFERED FOR SALE OR PLEDGED, HYPOTHECATED OR OTHERWISE TRANSFERRED IN THE ABSENCE OF A REGISTRATION STATEMENT IN EFFECT UNDER THE U.S. SECURITIES ACT OF 1933, AS AMENDED, (THE "ACT")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141" w:lineRule="exact"/>
        <w:rPr>
          <w:sz w:val="20"/>
          <w:szCs w:val="20"/>
          <w:color w:val="auto"/>
        </w:rPr>
      </w:pPr>
    </w:p>
    <w:p>
      <w:pPr>
        <w:ind w:left="4" w:right="4499" w:firstLine="368"/>
        <w:spacing w:after="0" w:line="253" w:lineRule="auto"/>
        <w:rPr>
          <w:sz w:val="20"/>
          <w:szCs w:val="20"/>
          <w:color w:val="auto"/>
        </w:rPr>
      </w:pPr>
      <w:r>
        <w:rPr>
          <w:rFonts w:ascii="Courier New" w:cs="Courier New" w:eastAsia="Courier New" w:hAnsi="Courier New"/>
          <w:sz w:val="12"/>
          <w:szCs w:val="12"/>
          <w:color w:val="auto"/>
        </w:rPr>
        <w:t>For the avoidance of doubt, nothing in this Section 4 shall derogate from the Company's obligations under the Registration Rights Agreement.</w:t>
      </w:r>
    </w:p>
    <w:p>
      <w:pPr>
        <w:spacing w:after="0" w:line="280"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 ----------</w:t>
      </w:r>
    </w:p>
    <w:p>
      <w:pPr>
        <w:spacing w:after="0" w:line="147" w:lineRule="exact"/>
        <w:rPr>
          <w:sz w:val="20"/>
          <w:szCs w:val="20"/>
          <w:color w:val="auto"/>
        </w:rPr>
      </w:pPr>
    </w:p>
    <w:p>
      <w:pPr>
        <w:ind w:left="4" w:right="4359" w:hanging="4"/>
        <w:spacing w:after="0" w:line="250" w:lineRule="auto"/>
        <w:tabs>
          <w:tab w:leader="none" w:pos="299" w:val="left"/>
        </w:tabs>
        <w:numPr>
          <w:ilvl w:val="0"/>
          <w:numId w:val="1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effective date of the Registration Statement covering the Conversion Shares, if applicable, bracketed language to be removed from all future Capital Notes and convertible debentures to be issued and, at the request of the holder, a substitute Capital Note omitting the bracketed language will promptly be delivered to the holder. If shares are directly issued in the Clause 9.4 Equity Issuance, the first sentence of the legend and the first parenthetical in the second sentence will be removed following the effective date of the Registration Statement covering such shares.</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1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5 -</w:t>
      </w:r>
    </w:p>
    <w:p>
      <w:pPr>
        <w:sectPr>
          <w:pgSz w:w="11900" w:h="16838" w:orient="portrait"/>
          <w:cols w:equalWidth="0" w:num="1">
            <w:col w:w="10244"/>
          </w:cols>
          <w:pgMar w:left="216" w:top="689" w:right="1440" w:bottom="1440" w:gutter="0" w:footer="0" w:header="0"/>
        </w:sectPr>
      </w:pPr>
    </w:p>
    <w:bookmarkStart w:id="140" w:name="page141"/>
    <w:bookmarkEnd w:id="140"/>
    <w:p>
      <w:pPr>
        <w:ind w:left="364" w:hanging="364"/>
        <w:spacing w:after="0"/>
        <w:tabs>
          <w:tab w:leader="none" w:pos="364" w:val="left"/>
        </w:tabs>
        <w:numPr>
          <w:ilvl w:val="0"/>
          <w:numId w:val="1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UNDERTAKINGS BY THE COMPANY.</w:t>
      </w:r>
    </w:p>
    <w:p>
      <w:pPr>
        <w:spacing w:after="0" w:line="147"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5.1. For so long as (a) any shares or Capital Notes are issuable to the Bank and/or its subsidiaries (for the avoidance of doubt, as defined in Section 1.1.2 above) pursuant to this Agreement and (b) any securities of the Company (including Capital Notes, Warrants and shares), constituting or convertible into 5% or more of any class of voting securities (as defined in the United States Code of Federal Regulations - 12 C.F.R. Section 225.2(q)) of the Company are beneficially owned by the Bank and/or its subsidiaries (for the avoidance of doubt, as defined in Section 1.1.2 above), the Company shall use its best efforts in order:</w:t>
      </w:r>
    </w:p>
    <w:p>
      <w:pPr>
        <w:spacing w:after="0" w:line="141" w:lineRule="exact"/>
        <w:rPr>
          <w:sz w:val="20"/>
          <w:szCs w:val="20"/>
          <w:color w:val="auto"/>
        </w:rPr>
      </w:pPr>
    </w:p>
    <w:p>
      <w:pPr>
        <w:jc w:val="center"/>
        <w:ind w:right="3775"/>
        <w:spacing w:after="0"/>
        <w:rPr>
          <w:sz w:val="20"/>
          <w:szCs w:val="20"/>
          <w:color w:val="auto"/>
        </w:rPr>
      </w:pPr>
      <w:r>
        <w:rPr>
          <w:rFonts w:ascii="Courier New" w:cs="Courier New" w:eastAsia="Courier New" w:hAnsi="Courier New"/>
          <w:sz w:val="12"/>
          <w:szCs w:val="12"/>
          <w:color w:val="auto"/>
        </w:rPr>
        <w:t>5.1.1. that more than 50% (fifty percent) of the consolidated assets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of the Company as of December 31 of each calendar year are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located outside of the United States (the "ASSET TEST");</w:t>
      </w:r>
    </w:p>
    <w:p>
      <w:pPr>
        <w:spacing w:after="0" w:line="147" w:lineRule="exact"/>
        <w:rPr>
          <w:sz w:val="20"/>
          <w:szCs w:val="20"/>
          <w:color w:val="auto"/>
        </w:rPr>
      </w:pPr>
    </w:p>
    <w:p>
      <w:pPr>
        <w:ind w:left="1104" w:right="4359" w:hanging="367"/>
        <w:spacing w:after="0" w:line="251" w:lineRule="auto"/>
        <w:rPr>
          <w:sz w:val="20"/>
          <w:szCs w:val="20"/>
          <w:color w:val="auto"/>
        </w:rPr>
      </w:pPr>
      <w:r>
        <w:rPr>
          <w:rFonts w:ascii="Courier New" w:cs="Courier New" w:eastAsia="Courier New" w:hAnsi="Courier New"/>
          <w:sz w:val="12"/>
          <w:szCs w:val="12"/>
          <w:color w:val="auto"/>
        </w:rPr>
        <w:t>5.1.2. that more than 50% (fifty percent) of the consolidated revenues of the Company as of December 31 of each calendar year are derived from outside the United States (the "REVENUE TEST");</w:t>
      </w:r>
    </w:p>
    <w:p>
      <w:pPr>
        <w:spacing w:after="0" w:line="140" w:lineRule="exact"/>
        <w:rPr>
          <w:sz w:val="20"/>
          <w:szCs w:val="20"/>
          <w:color w:val="auto"/>
        </w:rPr>
      </w:pPr>
    </w:p>
    <w:p>
      <w:pPr>
        <w:ind w:left="1104" w:right="4359" w:hanging="367"/>
        <w:spacing w:after="0" w:line="251" w:lineRule="auto"/>
        <w:rPr>
          <w:sz w:val="20"/>
          <w:szCs w:val="20"/>
          <w:color w:val="auto"/>
        </w:rPr>
      </w:pPr>
      <w:r>
        <w:rPr>
          <w:rFonts w:ascii="Courier New" w:cs="Courier New" w:eastAsia="Courier New" w:hAnsi="Courier New"/>
          <w:sz w:val="12"/>
          <w:szCs w:val="12"/>
          <w:color w:val="auto"/>
        </w:rPr>
        <w:t>5.1.3. that the activities of the Company within the United States and the activities of the U.S. Subsidiaries are of the same kind as or support the activities of the Company or its Non-U.S. Subsidiaries outside the United States (the "SAME LINE OF BUSINESS TEST");</w:t>
      </w:r>
    </w:p>
    <w:p>
      <w:pPr>
        <w:spacing w:after="0" w:line="281"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5.1.4. that neither the Company nor any of its subsidiaries will</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conduct activities in the United States that consist of engaging</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in the business of banking, securities, insurance or real estate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(the "FINANCIAL ACTIVITIES TEST") (for the avoidance of doubt,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nothing in the aforesaid shall derogate from the obligations of</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the Company under the Restated Facility Agreement);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5.1.5. not to engage, or permit any of its subsidiaries to engage, or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to own or permit any of its subsidiaries to own more than 5%</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(five percent) of a class of voting securities of a person that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engages, in the business of securities' underwriting or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distribution in the United States (the "NO UNDERWRITING Test")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(for the avoidance of doubt, nothing in the aforesaid shall</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derogate from the obligations of the Company under the Restated</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Facility Agreement);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5.1.6. Nothing in Sections 5.1, 5.1.1, 5.1.2, 5.1.3, 5.1.4 or 5.1.5</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above shall require the Company to prejudice the business or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financial interests of the Company and the Company may take such</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actions or refrain from taking actions that may cause it not to</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satisfy the Asset Test, the Revenue Test, the Same Line of</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Business Test, the Financial Activities Test and/or the No</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Underwriting Test, provided that the taking of such actions, or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refraining from taking such actions, are in the business or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financial interests of the Company as reasonably determined by</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the Company;</w:t>
      </w: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- 6 -</w:t>
      </w:r>
    </w:p>
    <w:p>
      <w:pPr>
        <w:sectPr>
          <w:pgSz w:w="11900" w:h="16838" w:orient="portrait"/>
          <w:cols w:equalWidth="0" w:num="1">
            <w:col w:w="10244"/>
          </w:cols>
          <w:pgMar w:left="216" w:top="689" w:right="1440" w:bottom="1440" w:gutter="0" w:footer="0" w:header="0"/>
        </w:sectPr>
      </w:pPr>
    </w:p>
    <w:bookmarkStart w:id="141" w:name="page142"/>
    <w:bookmarkEnd w:id="141"/>
    <w:p>
      <w:pPr>
        <w:ind w:left="1104" w:right="4359" w:hanging="367"/>
        <w:spacing w:after="0" w:line="249" w:lineRule="auto"/>
        <w:rPr>
          <w:sz w:val="20"/>
          <w:szCs w:val="20"/>
          <w:color w:val="auto"/>
        </w:rPr>
      </w:pPr>
      <w:r>
        <w:rPr>
          <w:rFonts w:ascii="Courier New" w:cs="Courier New" w:eastAsia="Courier New" w:hAnsi="Courier New"/>
          <w:sz w:val="12"/>
          <w:szCs w:val="12"/>
          <w:color w:val="auto"/>
        </w:rPr>
        <w:t>5.1.7. furnish to the Bank and, subsequent to the Clause 9.4 Closing Date, any nominee of the Bank pursuant to clause 6 below, as soon as practicable (and, in any event, within thirty (30) days after the end of each calendar year), a certificate of the Chief Financial Officer of the Company, in a form reasonably satisfactory to the Bank (i) confirming whether the Company is in compliance with each of the Asset Test, the Revenue Test, the Same Line of Business Test, the Financial Activities Test and the No Underwriting Test, provided that if the Company is not in compliance with the Asset Test or the Revenue Test in a particular calendar year, the Chief Financial Officer shall describe the steps, if any, being taken by the Company to ensure compliance in the immediately following calendar year (for the removal of doubt, without derogating from Section 5.1.6 above); and (ii) setting out (a) the amount and percentage of the consolidated revenues of the Company derived from outside the United States during the immediately preceding calendar year, and</w:t>
      </w:r>
    </w:p>
    <w:p>
      <w:pPr>
        <w:spacing w:after="0" w:line="9" w:lineRule="exact"/>
        <w:rPr>
          <w:sz w:val="20"/>
          <w:szCs w:val="20"/>
          <w:color w:val="auto"/>
        </w:rPr>
      </w:pPr>
    </w:p>
    <w:p>
      <w:pPr>
        <w:ind w:left="1104" w:right="4359"/>
        <w:spacing w:after="0" w:line="251" w:lineRule="auto"/>
        <w:tabs>
          <w:tab w:leader="none" w:pos="1399" w:val="left"/>
        </w:tabs>
        <w:numPr>
          <w:ilvl w:val="0"/>
          <w:numId w:val="1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amount and percentage of the consolidated assets of the Company located outside of the United States as of December 31 of such immediately preceding calendar year; and</w:t>
      </w:r>
    </w:p>
    <w:p>
      <w:pPr>
        <w:spacing w:after="0" w:line="140" w:lineRule="exact"/>
        <w:rPr>
          <w:sz w:val="20"/>
          <w:szCs w:val="20"/>
          <w:color w:val="auto"/>
        </w:rPr>
      </w:pPr>
    </w:p>
    <w:p>
      <w:pPr>
        <w:ind w:left="1104" w:right="4359" w:hanging="367"/>
        <w:spacing w:after="0" w:line="250" w:lineRule="auto"/>
        <w:rPr>
          <w:sz w:val="20"/>
          <w:szCs w:val="20"/>
          <w:color w:val="auto"/>
        </w:rPr>
      </w:pPr>
      <w:r>
        <w:rPr>
          <w:rFonts w:ascii="Courier New" w:cs="Courier New" w:eastAsia="Courier New" w:hAnsi="Courier New"/>
          <w:sz w:val="12"/>
          <w:szCs w:val="12"/>
          <w:color w:val="auto"/>
        </w:rPr>
        <w:t>5.1.8. furnish promptly to the Bank and, subsequent to the Clause 9.4 Closing Date, any nominee of the Bank pursuant to clause 6 below, such other information as such person may reasonably request in order to satisfy their obligations to file certain reports or assess its compliance with applicable legal or regulatory requirements relating to the transactions contemplated herein.</w:t>
      </w:r>
    </w:p>
    <w:p>
      <w:pPr>
        <w:spacing w:after="0" w:line="141" w:lineRule="exact"/>
        <w:rPr>
          <w:sz w:val="20"/>
          <w:szCs w:val="20"/>
          <w:color w:val="auto"/>
        </w:rPr>
      </w:pPr>
    </w:p>
    <w:p>
      <w:pPr>
        <w:ind w:left="4" w:right="4799" w:firstLine="368"/>
        <w:spacing w:after="0" w:line="251" w:lineRule="auto"/>
        <w:rPr>
          <w:sz w:val="20"/>
          <w:szCs w:val="20"/>
          <w:color w:val="auto"/>
        </w:rPr>
      </w:pPr>
      <w:r>
        <w:rPr>
          <w:rFonts w:ascii="Courier New" w:cs="Courier New" w:eastAsia="Courier New" w:hAnsi="Courier New"/>
          <w:sz w:val="12"/>
          <w:szCs w:val="12"/>
          <w:color w:val="auto"/>
        </w:rPr>
        <w:t>5.2. The Company shall fulfil all of its obligations under the Equity Documents, including the Capital Notes issued pursuant hereto and the Registration Rights Agreement.</w:t>
      </w:r>
    </w:p>
    <w:p>
      <w:pPr>
        <w:spacing w:after="0" w:line="140" w:lineRule="exact"/>
        <w:rPr>
          <w:sz w:val="20"/>
          <w:szCs w:val="20"/>
          <w:color w:val="auto"/>
        </w:rPr>
      </w:pPr>
    </w:p>
    <w:p>
      <w:pPr>
        <w:ind w:left="4" w:right="4419" w:firstLine="368"/>
        <w:spacing w:after="0" w:line="250" w:lineRule="auto"/>
        <w:rPr>
          <w:sz w:val="20"/>
          <w:szCs w:val="20"/>
          <w:color w:val="auto"/>
        </w:rPr>
      </w:pPr>
      <w:r>
        <w:rPr>
          <w:rFonts w:ascii="Courier New" w:cs="Courier New" w:eastAsia="Courier New" w:hAnsi="Courier New"/>
          <w:sz w:val="12"/>
          <w:szCs w:val="12"/>
          <w:color w:val="auto"/>
        </w:rPr>
        <w:t>5.3. In the event that the adjustment provisions of any Capital Notes issued pursuant hereto result in additional Conversion Shares to be issued upon conversion of the Capital Notes, the Company shall promptly furnish the Bank with a copy of the approval of the TASE for listing such additional Conversion Shares (if the Company's shares are then traded on the TASE).</w:t>
      </w:r>
    </w:p>
    <w:p>
      <w:pPr>
        <w:spacing w:after="0" w:line="141"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5.4. To the extent that ordinary shares (or other shares of capital stock substituted therefor) of the Company are listed on one or more securities exchanges, including the NASDAQ and the TASE, the Company shall maintain, at its expense, the listing of the shares of the Company issued pursuant to this Agreement (including upon conversion of Capital Notes issued pursuant to this Agreement) on such exchanges or, in the event such shares of the Company are listed on only one securities exchange, such exchange. Nothing in this Section 5.4 shall constitute an obligation of the Company to list or maintain the listing of its ordinary shares (or other shares of capital stock substituted therefor) on any securities exchanges, including the NASDAQ and the TASE.</w:t>
      </w:r>
    </w:p>
    <w:p>
      <w:pPr>
        <w:spacing w:after="0" w:line="141" w:lineRule="exact"/>
        <w:rPr>
          <w:sz w:val="20"/>
          <w:szCs w:val="20"/>
          <w:color w:val="auto"/>
        </w:rPr>
      </w:pPr>
    </w:p>
    <w:p>
      <w:pPr>
        <w:ind w:left="364" w:hanging="364"/>
        <w:spacing w:after="0"/>
        <w:tabs>
          <w:tab w:leader="none" w:pos="364" w:val="left"/>
        </w:tabs>
        <w:numPr>
          <w:ilvl w:val="0"/>
          <w:numId w:val="1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CLAUSE 9.4 CLOSING; CONDITIONS PRECEDENT.</w:t>
      </w:r>
    </w:p>
    <w:p>
      <w:pPr>
        <w:spacing w:after="0" w:line="147"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The issuance and allotment of the shares of the Company, or the issuance of Capital Notes, pursuant to and in accordance with clause 9.4 of the Restated Facility Agreement (such date, the "CLAUSE 9.4 CLOSING DATE"), to the Bank or its nominee (which shall be an Affiliate of the Bank) shall be subject to the conditions set forth in clause 9.4.6 of the Restated Facility Agreement and to the conditions precedent that the Bank shall have received, by no later than 2 (two) Business Days prior to the Clause 9.4 Closing Date, all of the following documents, matters and things in form and substance satisfactory to the Bank:</w:t>
      </w:r>
    </w:p>
    <w:p>
      <w:pPr>
        <w:spacing w:after="0" w:line="283"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- 7 -</w:t>
      </w:r>
    </w:p>
    <w:p>
      <w:pPr>
        <w:sectPr>
          <w:pgSz w:w="11900" w:h="16838" w:orient="portrait"/>
          <w:cols w:equalWidth="0" w:num="1">
            <w:col w:w="10244"/>
          </w:cols>
          <w:pgMar w:left="216" w:top="688" w:right="1440" w:bottom="1440" w:gutter="0" w:footer="0" w:header="0"/>
        </w:sectPr>
      </w:pPr>
    </w:p>
    <w:bookmarkStart w:id="142" w:name="page143"/>
    <w:bookmarkEnd w:id="142"/>
    <w:p>
      <w:pPr>
        <w:ind w:left="4" w:right="4419" w:firstLine="368"/>
        <w:spacing w:after="0" w:line="250" w:lineRule="auto"/>
        <w:rPr>
          <w:sz w:val="20"/>
          <w:szCs w:val="20"/>
          <w:color w:val="auto"/>
        </w:rPr>
      </w:pPr>
      <w:r>
        <w:rPr>
          <w:rFonts w:ascii="Courier New" w:cs="Courier New" w:eastAsia="Courier New" w:hAnsi="Courier New"/>
          <w:sz w:val="12"/>
          <w:szCs w:val="12"/>
          <w:color w:val="auto"/>
        </w:rPr>
        <w:t>6.1. copies of all resolutions of the Board of Directors of the Company and, if necessary, its Audit Committee and shareholders, authorizing all agreements and acts to be performed by the Company as conditions precedent to, or otherwise in connection with, the Clause 9.4 Equity Issuances, to the extent not already authorized in the resolutions delivered on or about the Amendment Closing Date;</w:t>
      </w:r>
    </w:p>
    <w:p>
      <w:pPr>
        <w:spacing w:after="0" w:line="141" w:lineRule="exact"/>
        <w:rPr>
          <w:sz w:val="20"/>
          <w:szCs w:val="20"/>
          <w:color w:val="auto"/>
        </w:rPr>
      </w:pPr>
    </w:p>
    <w:p>
      <w:pPr>
        <w:ind w:left="4" w:right="4579" w:firstLine="368"/>
        <w:spacing w:after="0" w:line="250" w:lineRule="auto"/>
        <w:rPr>
          <w:sz w:val="20"/>
          <w:szCs w:val="20"/>
          <w:color w:val="auto"/>
        </w:rPr>
      </w:pPr>
      <w:r>
        <w:rPr>
          <w:rFonts w:ascii="Courier New" w:cs="Courier New" w:eastAsia="Courier New" w:hAnsi="Courier New"/>
          <w:sz w:val="12"/>
          <w:szCs w:val="12"/>
          <w:color w:val="auto"/>
        </w:rPr>
        <w:t>6.2. an opinion of the Company's external legal counsel, satisfactory to the Bank, addressed to the Bank and, if applicable, its nominee, MUTATIS MUTANDIS, to the Clause 9.4 Equity Issuances in the form of such opinion delivered by Yigal Arnon &amp; Co., Advocates to the Banks, on or about the Amendment Closing Date, provided that paragraphs 4.7 (i) and 5.4 shall be omitted;</w:t>
      </w:r>
    </w:p>
    <w:p>
      <w:pPr>
        <w:spacing w:after="0" w:line="141" w:lineRule="exact"/>
        <w:rPr>
          <w:sz w:val="20"/>
          <w:szCs w:val="20"/>
          <w:color w:val="auto"/>
        </w:rPr>
      </w:pPr>
    </w:p>
    <w:p>
      <w:pPr>
        <w:ind w:left="4" w:right="4359" w:firstLine="368"/>
        <w:spacing w:after="0" w:line="249" w:lineRule="auto"/>
        <w:rPr>
          <w:sz w:val="20"/>
          <w:szCs w:val="20"/>
          <w:color w:val="auto"/>
        </w:rPr>
      </w:pPr>
      <w:r>
        <w:rPr>
          <w:rFonts w:ascii="Courier New" w:cs="Courier New" w:eastAsia="Courier New" w:hAnsi="Courier New"/>
          <w:sz w:val="12"/>
          <w:szCs w:val="12"/>
          <w:color w:val="auto"/>
        </w:rPr>
        <w:t>6.3. an opinion of U.S. counsel, satisfactory to the Bank, to the effect that, based upon their review of United States federal or New York State statutes, rules and regulations which, in their opinion, based on their experience, are normally applicable to transactions of the types contemplated by clause 9.4 of the Restated Facility Agreement ("UNITED STATES APPLICABLE LAWS"),</w:t>
      </w:r>
    </w:p>
    <w:p>
      <w:pPr>
        <w:spacing w:after="0" w:line="3" w:lineRule="exact"/>
        <w:rPr>
          <w:sz w:val="20"/>
          <w:szCs w:val="20"/>
          <w:color w:val="auto"/>
        </w:rPr>
      </w:pPr>
    </w:p>
    <w:p>
      <w:pPr>
        <w:ind w:left="4" w:right="4359" w:hanging="4"/>
        <w:spacing w:after="0" w:line="250" w:lineRule="auto"/>
        <w:tabs>
          <w:tab w:leader="none" w:pos="299" w:val="left"/>
        </w:tabs>
        <w:numPr>
          <w:ilvl w:val="0"/>
          <w:numId w:val="1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subject to the effectiveness of the registration statement to be filed by the Company with respect to the Clause 9.4 Equity Issuances pursuant to the Registration Rights Agreement, no consent, approval, authorization, order, registration or qualification of or with any United States federal or New York State court or governmental agency or body is required for the sale in the United States (including through the Nasdaq Stock Market) by the Bank or its nominee of the ordinary shares to be issued or issuable upon conversion of Capital Notes or convertible debentures to be issued to the Bank or its nominee pursuant to clause 9.4 of the Restated Facility Agreement and this Agreement, provided that no opinion need be expressed with respect to state securities or Blue Sky laws; (ii) the acquisition and indefinite holding of the Capital Notes or convertible debentures (provided that, with respect to the convertible debentures, counsel shall assume, solely for purposes of rendering such opinion, that the condition set forth in Section 6.6.2 has been satisfied and that if the Company is, as of the Clause 9.4 Closing Date, satisfying the Tests (as set forth in Section 6.6.1 below) that it shall continue to satisfy the Tests) or the shares issuable in connection with the Clause 9.4 Equity Issuances by the Bank or its nominee is permissible under United States Applicable Laws, including under the Bank Holding Company Act of 1956, as amended; and (iii) the acquisition and holding of either the Capital Notes or the shares issuable in connection with the Clause 9.4 Equity Issuances by the Bank or its nominee will not be subject to the notification and filing requirements under the Hart-Scott-Rodino Antitrust Improvements Act of 1976, as amended. Such opinion shall be based upon and subject to reasonable assumptions (without derogating from the parenthetical phrase in subsection (ii) above) and limitations, provided that, if such opinion cannot be delivered, at the request of the Company, such counsel shall describe the legal basis or bases for why such opinion cannot be delivered;</w:t>
      </w:r>
    </w:p>
    <w:p>
      <w:pPr>
        <w:spacing w:after="0" w:line="283"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6.4. all of the Company's (a) representations and warranties given pursuant to this Agreement shall be repeated on the Clause 9.4 Closing Date as if made on the Clause 9.4 Closing Date, other than the representations and warranties given pursuant to the last sentence of Section 3.2 above and pursuant to Section 3.8 above, and (b) all of the Company's obligations under this Agreement and the Registration Rights Agreement to be performed on or prior to the Clause 9.4 Closing Date shall have been fulfilled, and the Company shall have delivered a certificate of its Chief Executive Officer or Chief Financial Officer to the effect of (a) and (b) in form and substance satisfactory to the Bank;</w:t>
      </w:r>
    </w:p>
    <w:p>
      <w:pPr>
        <w:spacing w:after="0" w:line="283"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- 8 -</w:t>
      </w:r>
    </w:p>
    <w:p>
      <w:pPr>
        <w:sectPr>
          <w:pgSz w:w="11900" w:h="16838" w:orient="portrait"/>
          <w:cols w:equalWidth="0" w:num="1">
            <w:col w:w="10244"/>
          </w:cols>
          <w:pgMar w:left="216" w:top="688" w:right="1440" w:bottom="1440" w:gutter="0" w:footer="0" w:header="0"/>
        </w:sectPr>
      </w:pPr>
    </w:p>
    <w:bookmarkStart w:id="143" w:name="page144"/>
    <w:bookmarkEnd w:id="143"/>
    <w:p>
      <w:pPr>
        <w:jc w:val="both"/>
        <w:ind w:right="4499" w:firstLine="368"/>
        <w:spacing w:after="0" w:line="251" w:lineRule="auto"/>
        <w:rPr>
          <w:sz w:val="20"/>
          <w:szCs w:val="20"/>
          <w:color w:val="auto"/>
        </w:rPr>
      </w:pPr>
      <w:r>
        <w:rPr>
          <w:rFonts w:ascii="Courier New" w:cs="Courier New" w:eastAsia="Courier New" w:hAnsi="Courier New"/>
          <w:sz w:val="12"/>
          <w:szCs w:val="12"/>
          <w:color w:val="auto"/>
        </w:rPr>
        <w:t>6.5. all Governmental Authorisations and third party consents required to be obtained by the Company in connection with the Clause 9.4 Equity Issuances shall have been received, including, if applicable:</w:t>
      </w:r>
    </w:p>
    <w:p>
      <w:pPr>
        <w:spacing w:after="0" w:line="140" w:lineRule="exact"/>
        <w:rPr>
          <w:sz w:val="20"/>
          <w:szCs w:val="20"/>
          <w:color w:val="auto"/>
        </w:rPr>
      </w:pPr>
    </w:p>
    <w:p>
      <w:pPr>
        <w:ind w:left="1100" w:right="4359" w:hanging="367"/>
        <w:spacing w:after="0" w:line="250" w:lineRule="auto"/>
        <w:rPr>
          <w:sz w:val="20"/>
          <w:szCs w:val="20"/>
          <w:color w:val="auto"/>
        </w:rPr>
      </w:pPr>
      <w:r>
        <w:rPr>
          <w:rFonts w:ascii="Courier New" w:cs="Courier New" w:eastAsia="Courier New" w:hAnsi="Courier New"/>
          <w:sz w:val="12"/>
          <w:szCs w:val="12"/>
          <w:color w:val="auto"/>
        </w:rPr>
        <w:t>6.5.1. confirmation of the Controller of Restrictive Trade Practices (the "CONTROLLER") that no approval is required in connection with the Clause 9.4 Equity Issuances or, if any such approval is considered by the Controller to be required, the unconditional receipt of same (provided that if the Controller shall refuse to provide such confirmation for the reason that the Controller does not see a reason to review the request for the same, such confirmation shall be deemed to have been obtained) (for the removal of doubt, if required, the Bank shall also make such a request);</w:t>
      </w:r>
    </w:p>
    <w:p>
      <w:pPr>
        <w:spacing w:after="0" w:line="141" w:lineRule="exact"/>
        <w:rPr>
          <w:sz w:val="20"/>
          <w:szCs w:val="20"/>
          <w:color w:val="auto"/>
        </w:rPr>
      </w:pPr>
    </w:p>
    <w:p>
      <w:pPr>
        <w:ind w:left="1100" w:right="4359" w:hanging="367"/>
        <w:spacing w:after="0" w:line="250" w:lineRule="auto"/>
        <w:rPr>
          <w:sz w:val="20"/>
          <w:szCs w:val="20"/>
          <w:color w:val="auto"/>
        </w:rPr>
      </w:pPr>
      <w:r>
        <w:rPr>
          <w:rFonts w:ascii="Courier New" w:cs="Courier New" w:eastAsia="Courier New" w:hAnsi="Courier New"/>
          <w:sz w:val="12"/>
          <w:szCs w:val="12"/>
          <w:color w:val="auto"/>
        </w:rPr>
        <w:t>6.5.2. the consent of the Investment Centre to the issue of shares, capital notes or convertible debentures (and shares issuable upon conversion of the Capital Notes or convertible debentures) to the Bank and, if applicable, its nominee as contemplated under clause 9.4 to the Restated Facility Agreement;</w:t>
      </w:r>
    </w:p>
    <w:p>
      <w:pPr>
        <w:spacing w:after="0" w:line="141" w:lineRule="exact"/>
        <w:rPr>
          <w:sz w:val="20"/>
          <w:szCs w:val="20"/>
          <w:color w:val="auto"/>
        </w:rPr>
      </w:pPr>
    </w:p>
    <w:p>
      <w:pPr>
        <w:ind w:left="1100" w:right="4359" w:hanging="367"/>
        <w:spacing w:after="0" w:line="250" w:lineRule="auto"/>
        <w:rPr>
          <w:sz w:val="20"/>
          <w:szCs w:val="20"/>
          <w:color w:val="auto"/>
        </w:rPr>
      </w:pPr>
      <w:r>
        <w:rPr>
          <w:rFonts w:ascii="Courier New" w:cs="Courier New" w:eastAsia="Courier New" w:hAnsi="Courier New"/>
          <w:sz w:val="12"/>
          <w:szCs w:val="12"/>
          <w:color w:val="auto"/>
        </w:rPr>
        <w:t>6.5.3. the approval of the ILA under the Existing ILA Leases, and any other long term lease agreements between the Company and the ILA, to the issue of shares, capital notes or convertible debentures (and shares issuable upon conversion of the Capital Notes or convertible debentures) to the Bank and, if applicable, its nominee as contemplated under clause 9.4 to the Restated Facility Agreement; and</w:t>
      </w:r>
    </w:p>
    <w:p>
      <w:pPr>
        <w:spacing w:after="0" w:line="141" w:lineRule="exact"/>
        <w:rPr>
          <w:sz w:val="20"/>
          <w:szCs w:val="20"/>
          <w:color w:val="auto"/>
        </w:rPr>
      </w:pPr>
    </w:p>
    <w:p>
      <w:pPr>
        <w:jc w:val="both"/>
        <w:ind w:right="4879" w:firstLine="368"/>
        <w:spacing w:after="0" w:line="251" w:lineRule="auto"/>
        <w:rPr>
          <w:sz w:val="20"/>
          <w:szCs w:val="20"/>
          <w:color w:val="auto"/>
        </w:rPr>
      </w:pPr>
      <w:r>
        <w:rPr>
          <w:rFonts w:ascii="Courier New" w:cs="Courier New" w:eastAsia="Courier New" w:hAnsi="Courier New"/>
          <w:sz w:val="12"/>
          <w:szCs w:val="12"/>
          <w:color w:val="auto"/>
        </w:rPr>
        <w:t>6.6. provided that the first paragraph of Section 5.1 is applicable, confirmation from the Chief Financial Officer of the Company, in form and substance satisfactory to the Bank, that the Company:</w:t>
      </w:r>
    </w:p>
    <w:p>
      <w:pPr>
        <w:spacing w:after="0" w:line="140"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2"/>
          <w:szCs w:val="12"/>
          <w:color w:val="auto"/>
        </w:rPr>
        <w:t>6.6.1. has satisfied the Asset Test, the Revenue Test, the Same Line</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of Business Test, the Financial Activities Test and the No</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Underwriting Test (collectively, the "TESTS") as of December 31</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in each of the two years immediately prior to the year in which</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the Clause 9.4 Closing Date falls, and meets, on the Clause 9.4</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Closing Date, the Same Line of Business Test, the Financial</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Activities Test and the No Underwriting Test; and</w:t>
      </w:r>
    </w:p>
    <w:p>
      <w:pPr>
        <w:spacing w:after="0" w:line="147" w:lineRule="exact"/>
        <w:rPr>
          <w:sz w:val="20"/>
          <w:szCs w:val="20"/>
          <w:color w:val="auto"/>
        </w:rPr>
      </w:pPr>
    </w:p>
    <w:p>
      <w:pPr>
        <w:ind w:left="1100" w:right="4359" w:hanging="367"/>
        <w:spacing w:after="0" w:line="251" w:lineRule="auto"/>
        <w:rPr>
          <w:sz w:val="20"/>
          <w:szCs w:val="20"/>
          <w:color w:val="auto"/>
        </w:rPr>
      </w:pPr>
      <w:r>
        <w:rPr>
          <w:rFonts w:ascii="Courier New" w:cs="Courier New" w:eastAsia="Courier New" w:hAnsi="Courier New"/>
          <w:sz w:val="12"/>
          <w:szCs w:val="12"/>
          <w:color w:val="auto"/>
        </w:rPr>
        <w:t>6.6.2. is not aware of any reason why it would not continue to satisfy each of the Tests during the then current year and the immediately following year.</w:t>
      </w:r>
    </w:p>
    <w:p>
      <w:pPr>
        <w:spacing w:after="0" w:line="281"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- 9 -</w:t>
      </w:r>
    </w:p>
    <w:p>
      <w:pPr>
        <w:sectPr>
          <w:pgSz w:w="11900" w:h="16838" w:orient="portrait"/>
          <w:cols w:equalWidth="0" w:num="1">
            <w:col w:w="10239"/>
          </w:cols>
          <w:pgMar w:left="220" w:top="688" w:right="1440" w:bottom="1440" w:gutter="0" w:footer="0" w:header="0"/>
        </w:sectPr>
      </w:pPr>
    </w:p>
    <w:bookmarkStart w:id="144" w:name="page145"/>
    <w:bookmarkEnd w:id="144"/>
    <w:tbl>
      <w:tblPr>
        <w:tblLayout w:type="fixed"/>
        <w:tblInd w:w="4" w:type="dxa"/>
        <w:tblCellMar>
          <w:top w:w="0" w:type="dxa"/>
          <w:left w:w="0" w:type="dxa"/>
          <w:bottom w:w="0" w:type="dxa"/>
          <w:right w:w="0" w:type="dxa"/>
        </w:tblCellMar>
      </w:tblPr>
      <w:tr>
        <w:trPr>
          <w:trHeight w:val="138"/>
        </w:trPr>
        <w:tc>
          <w:tcPr>
            <w:tcW w:w="3720" w:type="dxa"/>
            <w:vAlign w:val="bottom"/>
          </w:tcPr>
          <w:p>
            <w:pPr>
              <w:spacing w:after="0"/>
              <w:rPr>
                <w:sz w:val="20"/>
                <w:szCs w:val="20"/>
                <w:color w:val="auto"/>
              </w:rPr>
            </w:pPr>
            <w:r>
              <w:rPr>
                <w:rFonts w:ascii="Courier New" w:cs="Courier New" w:eastAsia="Courier New" w:hAnsi="Courier New"/>
                <w:sz w:val="12"/>
                <w:szCs w:val="12"/>
                <w:color w:val="auto"/>
              </w:rPr>
              <w:t>In the event that the conditions precedent set out</w:t>
            </w:r>
          </w:p>
        </w:tc>
        <w:tc>
          <w:tcPr>
            <w:tcW w:w="1320" w:type="dxa"/>
            <w:vAlign w:val="bottom"/>
          </w:tcPr>
          <w:p>
            <w:pPr>
              <w:ind w:left="40"/>
              <w:spacing w:after="0"/>
              <w:rPr>
                <w:sz w:val="20"/>
                <w:szCs w:val="20"/>
                <w:color w:val="auto"/>
              </w:rPr>
            </w:pPr>
            <w:r>
              <w:rPr>
                <w:rFonts w:ascii="Courier New" w:cs="Courier New" w:eastAsia="Courier New" w:hAnsi="Courier New"/>
                <w:sz w:val="12"/>
                <w:szCs w:val="12"/>
                <w:color w:val="auto"/>
              </w:rPr>
              <w:t>in this Section 6</w:t>
            </w:r>
          </w:p>
        </w:tc>
        <w:tc>
          <w:tcPr>
            <w:tcW w:w="84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above and</w:t>
            </w:r>
          </w:p>
        </w:tc>
      </w:tr>
      <w:tr>
        <w:trPr>
          <w:trHeight w:val="142"/>
        </w:trPr>
        <w:tc>
          <w:tcPr>
            <w:tcW w:w="3720" w:type="dxa"/>
            <w:vAlign w:val="bottom"/>
          </w:tcPr>
          <w:p>
            <w:pPr>
              <w:spacing w:after="0"/>
              <w:rPr>
                <w:sz w:val="20"/>
                <w:szCs w:val="20"/>
                <w:color w:val="auto"/>
              </w:rPr>
            </w:pPr>
            <w:r>
              <w:rPr>
                <w:rFonts w:ascii="Courier New" w:cs="Courier New" w:eastAsia="Courier New" w:hAnsi="Courier New"/>
                <w:sz w:val="12"/>
                <w:szCs w:val="12"/>
                <w:color w:val="auto"/>
              </w:rPr>
              <w:t>in clause 9.4.6 of the Restated Facility Agreement</w:t>
            </w:r>
          </w:p>
        </w:tc>
        <w:tc>
          <w:tcPr>
            <w:tcW w:w="17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are not satisfied by no</w:t>
            </w:r>
          </w:p>
        </w:tc>
        <w:tc>
          <w:tcPr>
            <w:tcW w:w="400" w:type="dxa"/>
            <w:vAlign w:val="bottom"/>
          </w:tcPr>
          <w:p>
            <w:pPr>
              <w:ind w:left="40"/>
              <w:spacing w:after="0"/>
              <w:rPr>
                <w:sz w:val="20"/>
                <w:szCs w:val="20"/>
                <w:color w:val="auto"/>
              </w:rPr>
            </w:pPr>
            <w:r>
              <w:rPr>
                <w:rFonts w:ascii="Courier New" w:cs="Courier New" w:eastAsia="Courier New" w:hAnsi="Courier New"/>
                <w:sz w:val="12"/>
                <w:szCs w:val="12"/>
                <w:color w:val="auto"/>
                <w:w w:val="94"/>
              </w:rPr>
              <w:t>later</w:t>
            </w:r>
          </w:p>
        </w:tc>
      </w:tr>
      <w:tr>
        <w:trPr>
          <w:trHeight w:val="142"/>
        </w:trPr>
        <w:tc>
          <w:tcPr>
            <w:tcW w:w="3720" w:type="dxa"/>
            <w:vAlign w:val="bottom"/>
          </w:tcPr>
          <w:p>
            <w:pPr>
              <w:spacing w:after="0"/>
              <w:rPr>
                <w:sz w:val="20"/>
                <w:szCs w:val="20"/>
                <w:color w:val="auto"/>
              </w:rPr>
            </w:pPr>
            <w:r>
              <w:rPr>
                <w:rFonts w:ascii="Courier New" w:cs="Courier New" w:eastAsia="Courier New" w:hAnsi="Courier New"/>
                <w:sz w:val="12"/>
                <w:szCs w:val="12"/>
                <w:color w:val="auto"/>
              </w:rPr>
              <w:t>than 2 (two) Business Days prior to the Clause 9.4</w:t>
            </w:r>
          </w:p>
        </w:tc>
        <w:tc>
          <w:tcPr>
            <w:tcW w:w="17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Closing Date, including</w:t>
            </w:r>
          </w:p>
        </w:tc>
        <w:tc>
          <w:tcPr>
            <w:tcW w:w="400" w:type="dxa"/>
            <w:vAlign w:val="bottom"/>
          </w:tcPr>
          <w:p>
            <w:pPr>
              <w:ind w:left="40"/>
              <w:spacing w:after="0"/>
              <w:rPr>
                <w:sz w:val="20"/>
                <w:szCs w:val="20"/>
                <w:color w:val="auto"/>
              </w:rPr>
            </w:pPr>
            <w:r>
              <w:rPr>
                <w:rFonts w:ascii="Courier New" w:cs="Courier New" w:eastAsia="Courier New" w:hAnsi="Courier New"/>
                <w:sz w:val="12"/>
                <w:szCs w:val="12"/>
                <w:color w:val="auto"/>
              </w:rPr>
              <w:t>if a</w:t>
            </w:r>
          </w:p>
        </w:tc>
      </w:tr>
      <w:tr>
        <w:trPr>
          <w:trHeight w:val="142"/>
        </w:trPr>
        <w:tc>
          <w:tcPr>
            <w:tcW w:w="3720" w:type="dxa"/>
            <w:vAlign w:val="bottom"/>
          </w:tcPr>
          <w:p>
            <w:pPr>
              <w:spacing w:after="0"/>
              <w:rPr>
                <w:sz w:val="20"/>
                <w:szCs w:val="20"/>
                <w:color w:val="auto"/>
              </w:rPr>
            </w:pPr>
            <w:r>
              <w:rPr>
                <w:rFonts w:ascii="Courier New" w:cs="Courier New" w:eastAsia="Courier New" w:hAnsi="Courier New"/>
                <w:sz w:val="12"/>
                <w:szCs w:val="12"/>
                <w:color w:val="auto"/>
              </w:rPr>
              <w:t>representation and warranty that is to be repeated</w:t>
            </w:r>
          </w:p>
        </w:tc>
        <w:tc>
          <w:tcPr>
            <w:tcW w:w="216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cannot be repeated, then the</w:t>
            </w:r>
          </w:p>
        </w:tc>
      </w:tr>
      <w:tr>
        <w:trPr>
          <w:trHeight w:val="142"/>
        </w:trPr>
        <w:tc>
          <w:tcPr>
            <w:tcW w:w="3720" w:type="dxa"/>
            <w:vAlign w:val="bottom"/>
          </w:tcPr>
          <w:p>
            <w:pPr>
              <w:spacing w:after="0"/>
              <w:rPr>
                <w:sz w:val="20"/>
                <w:szCs w:val="20"/>
                <w:color w:val="auto"/>
              </w:rPr>
            </w:pPr>
            <w:r>
              <w:rPr>
                <w:rFonts w:ascii="Courier New" w:cs="Courier New" w:eastAsia="Courier New" w:hAnsi="Courier New"/>
                <w:sz w:val="12"/>
                <w:szCs w:val="12"/>
                <w:color w:val="auto"/>
              </w:rPr>
              <w:t>Clause 9.4.1 Amount or the Clause 9.4.2 Amount, as</w:t>
            </w:r>
          </w:p>
        </w:tc>
        <w:tc>
          <w:tcPr>
            <w:tcW w:w="216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applicable, shall be paid in</w:t>
            </w:r>
          </w:p>
        </w:tc>
      </w:tr>
    </w:tbl>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cash by the Company to the Bank or its nominee on the Clause 9.4 Closing Date,</w:t>
      </w:r>
    </w:p>
    <w:p>
      <w:pPr>
        <w:spacing w:after="0" w:line="6" w:lineRule="exact"/>
        <w:rPr>
          <w:sz w:val="20"/>
          <w:szCs w:val="20"/>
          <w:color w:val="auto"/>
        </w:rPr>
      </w:pPr>
    </w:p>
    <w:p>
      <w:pPr>
        <w:ind w:left="4" w:right="4359" w:hanging="4"/>
        <w:spacing w:after="0" w:line="250" w:lineRule="auto"/>
        <w:tabs>
          <w:tab w:leader="none" w:pos="299" w:val="left"/>
        </w:tabs>
        <w:numPr>
          <w:ilvl w:val="0"/>
          <w:numId w:val="1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provided however, if said conditions precedent set out in this Section 6 above and in Clause 9.4.6 of the Restated Facility Agreement are otherwise satisfied, by no later than 2 (two) Business Days prior to the Clause 9.4 Closing Date, with respect to the issuance of Capital Notes instead of shares, then the Clause 9.4.1 Amount or the Clause 9.4.2 Amount, as applicable, will not be paid in cash by the Company and Capital Notes shall be issued as contemplated by Section 7.1 below; and (b) provided further that, if all said conditions precedent, other than as set forth in Section 6.6.2 above, are satisfied by no later than 2 (two) Business Days prior to the Clause 9.4 Closing Date, then the Clause 9.4.1 Amount or the Clause 9.4.2 Amount, as applicable, will, at the option of the Company, in its sole discretion, either be paid in cash or by way of issue of convertible debentures that will (except for consequential changes flowing from the redemption right described below) have the same terms as the Capital Notes (including, for the removal of doubt, that such convertible debentures will not bear interest or be linked to any index), save that the Bank or its nominee or other Affiliate thereof holding said convertible debentures (the "HOLDER") shall have the right to require the Company to redeem the convertible debentures, in whole or in part, on the date which is 30 (thirty) months after the Clause 9.4 Closing Date (or, if such date is not a Business Day, on the Business Day immediately prior to such anniversary) (the "REDEMPTION DATE"), for an amount in cash equal to the then principal amount thereof submitted for redemption, upon the giving by the Holder to the Company of at least 30 (thirty) days prior written notice. For the avoidance of doubt, if such redemption right is not exercised by a Holder as aforesaid, said convertible debentures shall remain convertible into shares of the Company and shall, subsequent to the Redemption Date, only be payable in accordance with clause 2 of the Capital Note.</w:t>
      </w:r>
    </w:p>
    <w:p>
      <w:pPr>
        <w:spacing w:after="0" w:line="141" w:lineRule="exact"/>
        <w:rPr>
          <w:sz w:val="20"/>
          <w:szCs w:val="20"/>
          <w:color w:val="auto"/>
        </w:rPr>
      </w:pPr>
    </w:p>
    <w:p>
      <w:pPr>
        <w:ind w:left="364" w:hanging="364"/>
        <w:spacing w:after="0"/>
        <w:tabs>
          <w:tab w:leader="none" w:pos="364" w:val="left"/>
        </w:tabs>
        <w:numPr>
          <w:ilvl w:val="0"/>
          <w:numId w:val="1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TRANSACTIONS UPON THE CLAUSE 9.4 CLOSING.</w:t>
      </w:r>
    </w:p>
    <w:p>
      <w:pPr>
        <w:spacing w:after="0" w:line="147" w:lineRule="exact"/>
        <w:rPr>
          <w:sz w:val="20"/>
          <w:szCs w:val="20"/>
          <w:color w:val="auto"/>
        </w:rPr>
      </w:pPr>
    </w:p>
    <w:p>
      <w:pPr>
        <w:jc w:val="both"/>
        <w:ind w:left="4" w:right="4359" w:firstLine="368"/>
        <w:spacing w:after="0" w:line="251" w:lineRule="auto"/>
        <w:rPr>
          <w:sz w:val="20"/>
          <w:szCs w:val="20"/>
          <w:color w:val="auto"/>
        </w:rPr>
      </w:pPr>
      <w:r>
        <w:rPr>
          <w:rFonts w:ascii="Courier New" w:cs="Courier New" w:eastAsia="Courier New" w:hAnsi="Courier New"/>
          <w:sz w:val="12"/>
          <w:szCs w:val="12"/>
          <w:color w:val="auto"/>
        </w:rPr>
        <w:t>Subject to the fulfilment of the conditions precedent set out in Section 6 above and in clause 9.4.6 of the Restated Facility Agreement, on the Clause 9.4 Closing Date (unless cash is payable pursuant to Section 6 above or clause 9.4.6 of the Restated Facility Agreement):</w:t>
      </w:r>
    </w:p>
    <w:p>
      <w:pPr>
        <w:spacing w:after="0" w:line="139"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7.1. the Company shall issue (and, in the case of shares, allot) to the Bank or its nominee either (a) such number of shares in the name of the Bank or its nominee as provided in clause 9.4.1 or clause 9.4.2 (as adjusted, if applicable, pursuant to clauses 9.4.7 and 9.4.9) of the Restated Facility Agreement and shall send irrevocable instructions to its stock transfer agent to issue a share certificate in respect of such shares (the Bank or its nominee may elect to deliver to Tower an undertaking not to exercise means of control in respect of such shares for a certain period) or (b) (i) at the election of the Bank or its nominee, or if the proviso set forth in subsection (a) in the last paragraph of Section 6 is applicable, Capital Notes or (ii) if the proviso set forth in subsection (b) in the last paragraph of Section 6 is applicable (and the Company has not elected to pay cash), convertible debentures, in each case, substantially in the form attached as EXHIBIT 1 hereto (save that, in the case of the convertible debentures, a provision granting the redemption right described in subsection (b) in the last paragraph of Section 6 and consequential changes flowing from such redemption right shall be made, in form and substance satisfactory to the Holder), as the case may be, in the principal amounts provided in clause 9.4.1 or clause 9.4.2 (as adjusted, if applicable, pursuant to clauses 9.4.7 and 9.4.9) of the Restated Facility Agreement, as applicable, convertible into shares at the Average Closing Price (as defined in clause 9.4.1 of the Restated Facility Agreement) (subject to adjustments as provided in the Capital Notes);</w:t>
      </w:r>
    </w:p>
    <w:p>
      <w:pPr>
        <w:spacing w:after="0" w:line="141"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7.2. the Company shall deliver to the Bank or, if applicable, its nominee a copy of the approval of the TASE for listing the shares issued or issuable pursuant to clause 7.1 above (if the Company's shares are then traded on the TASE); and</w:t>
      </w:r>
    </w:p>
    <w:p>
      <w:pPr>
        <w:spacing w:after="0" w:line="139" w:lineRule="exact"/>
        <w:rPr>
          <w:sz w:val="20"/>
          <w:szCs w:val="20"/>
          <w:color w:val="auto"/>
        </w:rPr>
      </w:pPr>
    </w:p>
    <w:p>
      <w:pPr>
        <w:jc w:val="both"/>
        <w:ind w:left="4" w:right="4499" w:firstLine="368"/>
        <w:spacing w:after="0" w:line="251" w:lineRule="auto"/>
        <w:rPr>
          <w:sz w:val="20"/>
          <w:szCs w:val="20"/>
          <w:color w:val="auto"/>
        </w:rPr>
      </w:pPr>
      <w:r>
        <w:rPr>
          <w:rFonts w:ascii="Courier New" w:cs="Courier New" w:eastAsia="Courier New" w:hAnsi="Courier New"/>
          <w:sz w:val="12"/>
          <w:szCs w:val="12"/>
          <w:color w:val="auto"/>
        </w:rPr>
        <w:t>7.3. the Company shall record such issuance of the shares or Capital Note in the name of the Bank, or, if applicable, its nominee on the records of the Company.</w:t>
      </w:r>
    </w:p>
    <w:p>
      <w:pPr>
        <w:spacing w:after="0" w:line="281"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- 10 -</w:t>
      </w:r>
    </w:p>
    <w:p>
      <w:pPr>
        <w:sectPr>
          <w:pgSz w:w="11900" w:h="16838" w:orient="portrait"/>
          <w:cols w:equalWidth="0" w:num="1">
            <w:col w:w="10244"/>
          </w:cols>
          <w:pgMar w:left="216" w:top="688" w:right="1440" w:bottom="1440" w:gutter="0" w:footer="0" w:header="0"/>
        </w:sectPr>
      </w:pPr>
    </w:p>
    <w:bookmarkStart w:id="145" w:name="page146"/>
    <w:bookmarkEnd w:id="145"/>
    <w:p>
      <w:pPr>
        <w:ind w:left="364" w:hanging="364"/>
        <w:spacing w:after="0"/>
        <w:tabs>
          <w:tab w:leader="none" w:pos="364" w:val="left"/>
        </w:tabs>
        <w:numPr>
          <w:ilvl w:val="0"/>
          <w:numId w:val="1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MISCELLANEOUS.</w:t>
      </w:r>
    </w:p>
    <w:p>
      <w:pPr>
        <w:spacing w:after="0" w:line="147" w:lineRule="exact"/>
        <w:rPr>
          <w:sz w:val="20"/>
          <w:szCs w:val="20"/>
          <w:color w:val="auto"/>
        </w:rPr>
      </w:pPr>
    </w:p>
    <w:p>
      <w:pPr>
        <w:ind w:left="4" w:right="4419" w:firstLine="368"/>
        <w:spacing w:after="0" w:line="250" w:lineRule="auto"/>
        <w:rPr>
          <w:sz w:val="20"/>
          <w:szCs w:val="20"/>
          <w:color w:val="auto"/>
        </w:rPr>
      </w:pPr>
      <w:r>
        <w:rPr>
          <w:rFonts w:ascii="Courier New" w:cs="Courier New" w:eastAsia="Courier New" w:hAnsi="Courier New"/>
          <w:sz w:val="12"/>
          <w:szCs w:val="12"/>
          <w:color w:val="auto"/>
        </w:rPr>
        <w:t>8.1. GOVERNING LAW; JURISDICTION. This Agreement shall be governed by and shall be construed in accordance with Israeli law and the courts of Tel-Aviv-Jaffa shall have exclusive jurisdiction to hear any matters, provided that the Bank and any other Affiliate of the Bank party to this Agreement shall be entitled to sue Tower in any jurisdiction in which it has an office or holds assets.</w:t>
      </w:r>
    </w:p>
    <w:p>
      <w:pPr>
        <w:spacing w:after="0" w:line="141" w:lineRule="exact"/>
        <w:rPr>
          <w:sz w:val="20"/>
          <w:szCs w:val="20"/>
          <w:color w:val="auto"/>
        </w:rPr>
      </w:pPr>
    </w:p>
    <w:p>
      <w:pPr>
        <w:ind w:left="4" w:right="4419" w:firstLine="368"/>
        <w:spacing w:after="0" w:line="250" w:lineRule="auto"/>
        <w:rPr>
          <w:sz w:val="20"/>
          <w:szCs w:val="20"/>
          <w:color w:val="auto"/>
        </w:rPr>
      </w:pPr>
      <w:r>
        <w:rPr>
          <w:rFonts w:ascii="Courier New" w:cs="Courier New" w:eastAsia="Courier New" w:hAnsi="Courier New"/>
          <w:sz w:val="12"/>
          <w:szCs w:val="12"/>
          <w:color w:val="auto"/>
        </w:rPr>
        <w:t>8.2. SUCCESSORS AND ASSIGNS; ASSIGNMENT. Except as otherwise expressly limited herein, the provisions hereof shall inure to the benefit of, and be binding upon, the successors and permitted assigns of the parties hereto. This Agreement may not be assigned by any party without the prior written consent of the other party hereto, provided that the Bank may assign this Agreement, in whole or in part, to any Affiliate of the Bank or add an Affiliate of the Bank as an additional party hereto, including, for the avoidance of doubt, any nominee of the Bank in connection with the Clause 9.4 Equity Issuances. Nothing in this Agreement shall be deemed to restrict the (a) transferability of the shares, convertible debentures and Capital Notes to be issued pursuant to this Agreement or the Conversion Shares, in each case, in whole or in part at any time and from time to time, except for restrictions on transfer imposed by applicable securities laws or (b) the assignability of the registration rights in accordance with the Registration Rights Agreement.</w:t>
      </w:r>
    </w:p>
    <w:p>
      <w:pPr>
        <w:spacing w:after="0" w:line="141"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8.3. EXPENSES. The Company shall bear the expenses and costs of all the parties to the transactions contemplated hereby (including the fees and expenses of counsel to the Bank and any nominee of the Bank that is an Affiliate of the Bank in connection with the Clause 9.4 Equity Issuances).</w:t>
      </w:r>
    </w:p>
    <w:p>
      <w:pPr>
        <w:spacing w:after="0" w:line="139"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8.4. ENTIRE AGREEMENT; AMENDMENT AND WAIVER. This Agreement constitutes the full and entire understanding and agreement between the parties with regard to the subject matter 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141"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8.5. NOTICES, ETC. 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ectPr>
          <w:pgSz w:w="11900" w:h="16838" w:orient="portrait"/>
          <w:cols w:equalWidth="0" w:num="1">
            <w:col w:w="10244"/>
          </w:cols>
          <w:pgMar w:left="216" w:top="689" w:right="1440" w:bottom="1440" w:gutter="0" w:footer="0" w:header="0"/>
        </w:sectPr>
      </w:pPr>
    </w:p>
    <w:p>
      <w:pPr>
        <w:spacing w:after="0" w:line="141" w:lineRule="exact"/>
        <w:rPr>
          <w:sz w:val="20"/>
          <w:szCs w:val="20"/>
          <w:color w:val="auto"/>
        </w:rPr>
      </w:pPr>
    </w:p>
    <w:p>
      <w:pPr>
        <w:ind w:left="804"/>
        <w:spacing w:after="0"/>
        <w:rPr>
          <w:sz w:val="20"/>
          <w:szCs w:val="20"/>
          <w:color w:val="auto"/>
        </w:rPr>
      </w:pPr>
      <w:r>
        <w:rPr>
          <w:rFonts w:ascii="Courier New" w:cs="Courier New" w:eastAsia="Courier New" w:hAnsi="Courier New"/>
          <w:sz w:val="12"/>
          <w:szCs w:val="12"/>
          <w:color w:val="auto"/>
        </w:rPr>
        <w:t>If to the Bank:</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Corporate Division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Migdal Levenstein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23 Menachem Begin Road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Tel-Aviv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Israel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Fax. 972-3-5672995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Attn: Head of Corporate Division</w:t>
      </w:r>
    </w:p>
    <w:p>
      <w:pPr>
        <w:spacing w:after="0" w:line="147" w:lineRule="exact"/>
        <w:rPr>
          <w:sz w:val="20"/>
          <w:szCs w:val="20"/>
          <w:color w:val="auto"/>
        </w:rPr>
      </w:pPr>
    </w:p>
    <w:p>
      <w:pPr>
        <w:sectPr>
          <w:pgSz w:w="11900" w:h="16838" w:orient="portrait"/>
          <w:cols w:equalWidth="0" w:num="2">
            <w:col w:w="2664" w:space="720"/>
            <w:col w:w="6859"/>
          </w:cols>
          <w:pgMar w:left="216" w:top="689" w:right="1440" w:bottom="1440" w:gutter="0" w:footer="0" w:header="0"/>
          <w:type w:val="continuous"/>
        </w:sectPr>
      </w:pPr>
    </w:p>
    <w:p>
      <w:pPr>
        <w:ind w:left="804"/>
        <w:spacing w:after="0"/>
        <w:rPr>
          <w:sz w:val="20"/>
          <w:szCs w:val="20"/>
          <w:color w:val="auto"/>
        </w:rPr>
      </w:pPr>
      <w:r>
        <w:rPr>
          <w:rFonts w:ascii="Courier New" w:cs="Courier New" w:eastAsia="Courier New" w:hAnsi="Courier New"/>
          <w:sz w:val="12"/>
          <w:szCs w:val="12"/>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Tower Semiconductor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Ramat Gavriel Industrial Area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P.O. Box 619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Migdal Haemek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Israel 23105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Fax. 972-4-6047242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Attn: Oren Shirazi, Acting CFO</w:t>
      </w:r>
    </w:p>
    <w:p>
      <w:pPr>
        <w:spacing w:after="0" w:line="200" w:lineRule="exact"/>
        <w:rPr>
          <w:sz w:val="20"/>
          <w:szCs w:val="20"/>
          <w:color w:val="auto"/>
        </w:rPr>
      </w:pPr>
    </w:p>
    <w:p>
      <w:pPr>
        <w:sectPr>
          <w:pgSz w:w="11900" w:h="16838" w:orient="portrait"/>
          <w:cols w:equalWidth="0" w:num="2">
            <w:col w:w="2664" w:space="720"/>
            <w:col w:w="6859"/>
          </w:cols>
          <w:pgMar w:left="216" w:top="689" w:right="1440" w:bottom="1440" w:gutter="0" w:footer="0" w:header="0"/>
          <w:type w:val="continuous"/>
        </w:sectPr>
      </w:pPr>
    </w:p>
    <w:p>
      <w:pPr>
        <w:spacing w:after="0" w:line="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- 11 -</w:t>
      </w:r>
    </w:p>
    <w:p>
      <w:pPr>
        <w:sectPr>
          <w:pgSz w:w="11900" w:h="16838" w:orient="portrait"/>
          <w:cols w:equalWidth="0" w:num="1">
            <w:col w:w="10244"/>
          </w:cols>
          <w:pgMar w:left="216" w:top="689" w:right="1440" w:bottom="1440" w:gutter="0" w:footer="0" w:header="0"/>
          <w:type w:val="continuous"/>
        </w:sectPr>
      </w:pPr>
    </w:p>
    <w:bookmarkStart w:id="146" w:name="page147"/>
    <w:bookmarkEnd w:id="146"/>
    <w:p>
      <w:pPr>
        <w:ind w:left="800"/>
        <w:spacing w:after="0"/>
        <w:rPr>
          <w:sz w:val="20"/>
          <w:szCs w:val="20"/>
          <w:color w:val="auto"/>
        </w:rPr>
      </w:pPr>
      <w:r>
        <w:rPr>
          <w:rFonts w:ascii="Courier New" w:cs="Courier New" w:eastAsia="Courier New" w:hAnsi="Courier New"/>
          <w:sz w:val="12"/>
          <w:szCs w:val="12"/>
          <w:color w:val="auto"/>
        </w:rPr>
        <w:t>with a copy to</w:t>
      </w:r>
    </w:p>
    <w:p>
      <w:pPr>
        <w:spacing w:after="0" w:line="6" w:lineRule="exact"/>
        <w:rPr>
          <w:sz w:val="20"/>
          <w:szCs w:val="20"/>
          <w:color w:val="auto"/>
        </w:rPr>
      </w:pPr>
    </w:p>
    <w:p>
      <w:pPr>
        <w:ind w:left="800"/>
        <w:spacing w:after="0"/>
        <w:rPr>
          <w:sz w:val="20"/>
          <w:szCs w:val="20"/>
          <w:color w:val="auto"/>
        </w:rPr>
      </w:pPr>
      <w:r>
        <w:rPr>
          <w:rFonts w:ascii="Courier New" w:cs="Courier New" w:eastAsia="Courier New" w:hAnsi="Courier New"/>
          <w:sz w:val="12"/>
          <w:szCs w:val="12"/>
          <w:color w:val="auto"/>
        </w:rPr>
        <w:t>(which shall not</w:t>
      </w:r>
    </w:p>
    <w:p>
      <w:pPr>
        <w:spacing w:after="0" w:line="6" w:lineRule="exact"/>
        <w:rPr>
          <w:sz w:val="20"/>
          <w:szCs w:val="20"/>
          <w:color w:val="auto"/>
        </w:rPr>
      </w:pPr>
    </w:p>
    <w:p>
      <w:pPr>
        <w:ind w:left="800"/>
        <w:spacing w:after="0"/>
        <w:tabs>
          <w:tab w:leader="none" w:pos="3360" w:val="left"/>
        </w:tabs>
        <w:rPr>
          <w:sz w:val="20"/>
          <w:szCs w:val="20"/>
          <w:color w:val="auto"/>
        </w:rPr>
      </w:pPr>
      <w:r>
        <w:rPr>
          <w:rFonts w:ascii="Courier New" w:cs="Courier New" w:eastAsia="Courier New" w:hAnsi="Courier New"/>
          <w:sz w:val="12"/>
          <w:szCs w:val="12"/>
          <w:color w:val="auto"/>
        </w:rPr>
        <w:t>constitute notice):</w:t>
      </w:r>
      <w:r>
        <w:rPr>
          <w:sz w:val="20"/>
          <w:szCs w:val="20"/>
          <w:color w:val="auto"/>
        </w:rPr>
        <w:tab/>
      </w:r>
      <w:r>
        <w:rPr>
          <w:rFonts w:ascii="Courier New" w:cs="Courier New" w:eastAsia="Courier New" w:hAnsi="Courier New"/>
          <w:sz w:val="12"/>
          <w:szCs w:val="12"/>
          <w:color w:val="auto"/>
        </w:rPr>
        <w:t>Yigal Arnon &amp; Co.</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2"/>
          <w:szCs w:val="12"/>
          <w:color w:val="auto"/>
        </w:rPr>
        <w:t>1 Azrieli Center</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2"/>
          <w:szCs w:val="12"/>
          <w:color w:val="auto"/>
        </w:rPr>
        <w:t>46th Floor</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2"/>
          <w:szCs w:val="12"/>
          <w:color w:val="auto"/>
        </w:rPr>
        <w:t>Tel-Aviv, Israel, 67021</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2"/>
          <w:szCs w:val="12"/>
          <w:color w:val="auto"/>
        </w:rPr>
        <w:t>Fax: 972-3-6087714</w:t>
      </w:r>
    </w:p>
    <w:p>
      <w:pPr>
        <w:spacing w:after="0" w:line="6"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2"/>
          <w:szCs w:val="12"/>
          <w:color w:val="auto"/>
        </w:rPr>
        <w:t>Attn:</w:t>
        <w:tab/>
        <w:t>David Schapiro, Adv.</w:t>
      </w:r>
    </w:p>
    <w:p>
      <w:pPr>
        <w:spacing w:after="0" w:line="147" w:lineRule="exact"/>
        <w:rPr>
          <w:sz w:val="20"/>
          <w:szCs w:val="20"/>
          <w:color w:val="auto"/>
        </w:rPr>
      </w:pPr>
    </w:p>
    <w:p>
      <w:pPr>
        <w:ind w:right="4499" w:firstLine="368"/>
        <w:spacing w:after="0" w:line="250" w:lineRule="auto"/>
        <w:rPr>
          <w:sz w:val="20"/>
          <w:szCs w:val="20"/>
          <w:color w:val="auto"/>
        </w:rPr>
      </w:pPr>
      <w:r>
        <w:rPr>
          <w:rFonts w:ascii="Courier New" w:cs="Courier New" w:eastAsia="Courier New" w:hAnsi="Courier New"/>
          <w:sz w:val="12"/>
          <w:szCs w:val="12"/>
          <w:color w:val="auto"/>
        </w:rPr>
        <w:t>or such other address with respect to a party as such party shall notify each other party in writing as above provided. Any notice sent in accordance with this Section 8.5 shall be effective (i) if mailed, five (5) business days after mailing, (ii) if sent by messenger, upon delivery, and (iii) if sent via facsimile, one (1) business day following transmission and electronic confirmation of receipt.</w:t>
      </w:r>
    </w:p>
    <w:p>
      <w:pPr>
        <w:spacing w:after="0" w:line="141" w:lineRule="exact"/>
        <w:rPr>
          <w:sz w:val="20"/>
          <w:szCs w:val="20"/>
          <w:color w:val="auto"/>
        </w:rPr>
      </w:pPr>
    </w:p>
    <w:p>
      <w:pPr>
        <w:ind w:right="4359" w:firstLine="368"/>
        <w:spacing w:after="0" w:line="250" w:lineRule="auto"/>
        <w:rPr>
          <w:sz w:val="20"/>
          <w:szCs w:val="20"/>
          <w:color w:val="auto"/>
        </w:rPr>
      </w:pPr>
      <w:r>
        <w:rPr>
          <w:rFonts w:ascii="Courier New" w:cs="Courier New" w:eastAsia="Courier New" w:hAnsi="Courier New"/>
          <w:sz w:val="12"/>
          <w:szCs w:val="12"/>
          <w:color w:val="auto"/>
        </w:rPr>
        <w:t>8.6. DELAYS OR OMISSIONS.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141" w:lineRule="exact"/>
        <w:rPr>
          <w:sz w:val="20"/>
          <w:szCs w:val="20"/>
          <w:color w:val="auto"/>
        </w:rPr>
      </w:pPr>
    </w:p>
    <w:p>
      <w:pPr>
        <w:ind w:right="4359" w:firstLine="368"/>
        <w:spacing w:after="0" w:line="250" w:lineRule="auto"/>
        <w:rPr>
          <w:sz w:val="20"/>
          <w:szCs w:val="20"/>
          <w:color w:val="auto"/>
        </w:rPr>
      </w:pPr>
      <w:r>
        <w:rPr>
          <w:rFonts w:ascii="Courier New" w:cs="Courier New" w:eastAsia="Courier New" w:hAnsi="Courier New"/>
          <w:sz w:val="12"/>
          <w:szCs w:val="12"/>
          <w:color w:val="auto"/>
        </w:rPr>
        <w:t>8.7. SEVERABILITY.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283" w:lineRule="exact"/>
        <w:rPr>
          <w:sz w:val="20"/>
          <w:szCs w:val="20"/>
          <w:color w:val="auto"/>
        </w:rPr>
      </w:pPr>
    </w:p>
    <w:p>
      <w:pPr>
        <w:ind w:right="4499" w:firstLine="368"/>
        <w:spacing w:after="0" w:line="251" w:lineRule="auto"/>
        <w:rPr>
          <w:sz w:val="20"/>
          <w:szCs w:val="20"/>
          <w:color w:val="auto"/>
        </w:rPr>
      </w:pPr>
      <w:r>
        <w:rPr>
          <w:rFonts w:ascii="Courier New" w:cs="Courier New" w:eastAsia="Courier New" w:hAnsi="Courier New"/>
          <w:sz w:val="12"/>
          <w:szCs w:val="12"/>
          <w:color w:val="auto"/>
        </w:rPr>
        <w:t>8.8. COUNTERPARTS. This Agreement may be executed in any number of counterparts (including facsimile counterparts), each of which shall be deemed an original, and all of which together shall constitute one and the same instrument.</w:t>
      </w:r>
    </w:p>
    <w:p>
      <w:pPr>
        <w:spacing w:after="0" w:line="139" w:lineRule="exact"/>
        <w:rPr>
          <w:sz w:val="20"/>
          <w:szCs w:val="20"/>
          <w:color w:val="auto"/>
        </w:rPr>
      </w:pPr>
    </w:p>
    <w:p>
      <w:pPr>
        <w:jc w:val="both"/>
        <w:ind w:right="5019" w:firstLine="368"/>
        <w:spacing w:after="0" w:line="251" w:lineRule="auto"/>
        <w:rPr>
          <w:sz w:val="20"/>
          <w:szCs w:val="20"/>
          <w:color w:val="auto"/>
        </w:rPr>
      </w:pPr>
      <w:r>
        <w:rPr>
          <w:rFonts w:ascii="Courier New" w:cs="Courier New" w:eastAsia="Courier New" w:hAnsi="Courier New"/>
          <w:sz w:val="12"/>
          <w:szCs w:val="12"/>
          <w:color w:val="auto"/>
        </w:rPr>
        <w:t>8.9. HEADINGS. The headings of the sections and paragraphs of this Agreement are inserted for convenience only and shall not be deemed to constitute part of this Agreement or to affect the construction hereof.</w:t>
      </w:r>
    </w:p>
    <w:p>
      <w:pPr>
        <w:spacing w:after="0" w:line="140" w:lineRule="exact"/>
        <w:rPr>
          <w:sz w:val="20"/>
          <w:szCs w:val="20"/>
          <w:color w:val="auto"/>
        </w:rPr>
      </w:pPr>
    </w:p>
    <w:p>
      <w:pPr>
        <w:ind w:right="4499" w:firstLine="368"/>
        <w:spacing w:after="0" w:line="250" w:lineRule="auto"/>
        <w:rPr>
          <w:sz w:val="20"/>
          <w:szCs w:val="20"/>
          <w:color w:val="auto"/>
        </w:rPr>
      </w:pPr>
      <w:r>
        <w:rPr>
          <w:rFonts w:ascii="Courier New" w:cs="Courier New" w:eastAsia="Courier New" w:hAnsi="Courier New"/>
          <w:sz w:val="12"/>
          <w:szCs w:val="12"/>
          <w:color w:val="auto"/>
        </w:rPr>
        <w:t>8.10. FURTHER ASSURANCES. Each of the parties hereto shall perform such further acts and execute such further documents as may reasonably be necessary to carry out and give full effect to the provisions of this Agreement and the intentions of the parties as reflected thereby, including the provision by the Bank to the Company of such information as shall be required in order to determine the adjustments, if any, required under clause 9.4.7 of the Restated Facility Agreement.</w:t>
      </w:r>
    </w:p>
    <w:p>
      <w:pPr>
        <w:spacing w:after="0" w:line="283"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- 12 -</w:t>
      </w:r>
    </w:p>
    <w:p>
      <w:pPr>
        <w:sectPr>
          <w:pgSz w:w="11900" w:h="16838" w:orient="portrait"/>
          <w:cols w:equalWidth="0" w:num="1">
            <w:col w:w="10239"/>
          </w:cols>
          <w:pgMar w:left="220" w:top="688" w:right="1440" w:bottom="1440" w:gutter="0" w:footer="0" w:header="0"/>
        </w:sectPr>
      </w:pPr>
    </w:p>
    <w:bookmarkStart w:id="147" w:name="page148"/>
    <w:bookmarkEnd w:id="147"/>
    <w:p>
      <w:pPr>
        <w:ind w:right="4359" w:firstLine="368"/>
        <w:spacing w:after="0" w:line="253" w:lineRule="auto"/>
        <w:rPr>
          <w:sz w:val="20"/>
          <w:szCs w:val="20"/>
          <w:color w:val="auto"/>
        </w:rPr>
      </w:pPr>
      <w:r>
        <w:rPr>
          <w:rFonts w:ascii="Courier New" w:cs="Courier New" w:eastAsia="Courier New" w:hAnsi="Courier New"/>
          <w:sz w:val="12"/>
          <w:szCs w:val="12"/>
          <w:color w:val="auto"/>
        </w:rPr>
        <w:t>IN WITNESS WHEREOF, each of the parties has signed this Agreement as of the date first hereinabove set forth.</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80" w:type="dxa"/>
            <w:vAlign w:val="bottom"/>
            <w:gridSpan w:val="2"/>
          </w:tcPr>
          <w:p>
            <w:pPr>
              <w:spacing w:after="0"/>
              <w:rPr>
                <w:sz w:val="20"/>
                <w:szCs w:val="20"/>
                <w:color w:val="auto"/>
              </w:rPr>
            </w:pPr>
            <w:r>
              <w:rPr>
                <w:rFonts w:ascii="Courier New" w:cs="Courier New" w:eastAsia="Courier New" w:hAnsi="Courier New"/>
                <w:sz w:val="12"/>
                <w:szCs w:val="12"/>
                <w:color w:val="auto"/>
              </w:rPr>
              <w:t>TOWER SEMICONDUCTOR LTD.</w:t>
            </w:r>
          </w:p>
        </w:tc>
        <w:tc>
          <w:tcPr>
            <w:tcW w:w="3020" w:type="dxa"/>
            <w:vAlign w:val="bottom"/>
            <w:gridSpan w:val="2"/>
          </w:tcPr>
          <w:p>
            <w:pPr>
              <w:ind w:left="580"/>
              <w:spacing w:after="0"/>
              <w:rPr>
                <w:sz w:val="20"/>
                <w:szCs w:val="20"/>
                <w:color w:val="auto"/>
              </w:rPr>
            </w:pPr>
            <w:r>
              <w:rPr>
                <w:rFonts w:ascii="Courier New" w:cs="Courier New" w:eastAsia="Courier New" w:hAnsi="Courier New"/>
                <w:sz w:val="12"/>
                <w:szCs w:val="12"/>
                <w:color w:val="auto"/>
              </w:rPr>
              <w:t>BANK HAPOALIM B.M.</w:t>
            </w:r>
          </w:p>
        </w:tc>
      </w:tr>
      <w:tr>
        <w:trPr>
          <w:trHeight w:val="283"/>
        </w:trPr>
        <w:tc>
          <w:tcPr>
            <w:tcW w:w="540" w:type="dxa"/>
            <w:vAlign w:val="bottom"/>
          </w:tcPr>
          <w:p>
            <w:pPr>
              <w:spacing w:after="0"/>
              <w:rPr>
                <w:sz w:val="20"/>
                <w:szCs w:val="20"/>
                <w:color w:val="auto"/>
              </w:rPr>
            </w:pPr>
            <w:r>
              <w:rPr>
                <w:rFonts w:ascii="Courier New" w:cs="Courier New" w:eastAsia="Courier New" w:hAnsi="Courier New"/>
                <w:sz w:val="12"/>
                <w:szCs w:val="12"/>
                <w:color w:val="auto"/>
              </w:rPr>
              <w:t>By:</w:t>
            </w:r>
          </w:p>
        </w:tc>
        <w:tc>
          <w:tcPr>
            <w:tcW w:w="2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________________________</w:t>
            </w:r>
          </w:p>
        </w:tc>
        <w:tc>
          <w:tcPr>
            <w:tcW w:w="1140" w:type="dxa"/>
            <w:vAlign w:val="bottom"/>
          </w:tcPr>
          <w:p>
            <w:pPr>
              <w:ind w:left="580"/>
              <w:spacing w:after="0"/>
              <w:rPr>
                <w:sz w:val="20"/>
                <w:szCs w:val="20"/>
                <w:color w:val="auto"/>
              </w:rPr>
            </w:pPr>
            <w:r>
              <w:rPr>
                <w:rFonts w:ascii="Courier New" w:cs="Courier New" w:eastAsia="Courier New" w:hAnsi="Courier New"/>
                <w:sz w:val="12"/>
                <w:szCs w:val="12"/>
                <w:color w:val="auto"/>
              </w:rPr>
              <w:t>By:</w:t>
            </w:r>
          </w:p>
        </w:tc>
        <w:tc>
          <w:tcPr>
            <w:tcW w:w="1880" w:type="dxa"/>
            <w:vAlign w:val="bottom"/>
          </w:tcPr>
          <w:p>
            <w:pPr>
              <w:jc w:val="right"/>
              <w:spacing w:after="0"/>
              <w:rPr>
                <w:sz w:val="20"/>
                <w:szCs w:val="20"/>
                <w:color w:val="auto"/>
              </w:rPr>
            </w:pPr>
            <w:r>
              <w:rPr>
                <w:rFonts w:ascii="Courier New" w:cs="Courier New" w:eastAsia="Courier New" w:hAnsi="Courier New"/>
                <w:sz w:val="12"/>
                <w:szCs w:val="12"/>
                <w:color w:val="auto"/>
              </w:rPr>
              <w:t>________________________</w:t>
            </w:r>
          </w:p>
        </w:tc>
      </w:tr>
      <w:tr>
        <w:trPr>
          <w:trHeight w:val="425"/>
        </w:trPr>
        <w:tc>
          <w:tcPr>
            <w:tcW w:w="540" w:type="dxa"/>
            <w:vAlign w:val="bottom"/>
          </w:tcPr>
          <w:p>
            <w:pPr>
              <w:spacing w:after="0"/>
              <w:rPr>
                <w:sz w:val="20"/>
                <w:szCs w:val="20"/>
                <w:color w:val="auto"/>
              </w:rPr>
            </w:pPr>
            <w:r>
              <w:rPr>
                <w:rFonts w:ascii="Courier New" w:cs="Courier New" w:eastAsia="Courier New" w:hAnsi="Courier New"/>
                <w:sz w:val="12"/>
                <w:szCs w:val="12"/>
                <w:color w:val="auto"/>
              </w:rPr>
              <w:t>Name:</w:t>
            </w:r>
          </w:p>
        </w:tc>
        <w:tc>
          <w:tcPr>
            <w:tcW w:w="2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________________________</w:t>
            </w:r>
          </w:p>
        </w:tc>
        <w:tc>
          <w:tcPr>
            <w:tcW w:w="1140" w:type="dxa"/>
            <w:vAlign w:val="bottom"/>
          </w:tcPr>
          <w:p>
            <w:pPr>
              <w:ind w:left="580"/>
              <w:spacing w:after="0"/>
              <w:rPr>
                <w:sz w:val="20"/>
                <w:szCs w:val="20"/>
                <w:color w:val="auto"/>
              </w:rPr>
            </w:pPr>
            <w:r>
              <w:rPr>
                <w:rFonts w:ascii="Courier New" w:cs="Courier New" w:eastAsia="Courier New" w:hAnsi="Courier New"/>
                <w:sz w:val="12"/>
                <w:szCs w:val="12"/>
                <w:color w:val="auto"/>
              </w:rPr>
              <w:t>Name:</w:t>
            </w:r>
          </w:p>
        </w:tc>
        <w:tc>
          <w:tcPr>
            <w:tcW w:w="1880" w:type="dxa"/>
            <w:vAlign w:val="bottom"/>
          </w:tcPr>
          <w:p>
            <w:pPr>
              <w:jc w:val="right"/>
              <w:spacing w:after="0"/>
              <w:rPr>
                <w:sz w:val="20"/>
                <w:szCs w:val="20"/>
                <w:color w:val="auto"/>
              </w:rPr>
            </w:pPr>
            <w:r>
              <w:rPr>
                <w:rFonts w:ascii="Courier New" w:cs="Courier New" w:eastAsia="Courier New" w:hAnsi="Courier New"/>
                <w:sz w:val="12"/>
                <w:szCs w:val="12"/>
                <w:color w:val="auto"/>
              </w:rPr>
              <w:t>________________________</w:t>
            </w:r>
          </w:p>
        </w:tc>
      </w:tr>
      <w:tr>
        <w:trPr>
          <w:trHeight w:val="425"/>
        </w:trPr>
        <w:tc>
          <w:tcPr>
            <w:tcW w:w="540" w:type="dxa"/>
            <w:vAlign w:val="bottom"/>
          </w:tcPr>
          <w:p>
            <w:pPr>
              <w:spacing w:after="0"/>
              <w:rPr>
                <w:sz w:val="20"/>
                <w:szCs w:val="20"/>
                <w:color w:val="auto"/>
              </w:rPr>
            </w:pPr>
            <w:r>
              <w:rPr>
                <w:rFonts w:ascii="Courier New" w:cs="Courier New" w:eastAsia="Courier New" w:hAnsi="Courier New"/>
                <w:sz w:val="12"/>
                <w:szCs w:val="12"/>
                <w:color w:val="auto"/>
              </w:rPr>
              <w:t>Title:</w:t>
            </w:r>
          </w:p>
        </w:tc>
        <w:tc>
          <w:tcPr>
            <w:tcW w:w="2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________________________</w:t>
            </w:r>
          </w:p>
        </w:tc>
        <w:tc>
          <w:tcPr>
            <w:tcW w:w="1140" w:type="dxa"/>
            <w:vAlign w:val="bottom"/>
          </w:tcPr>
          <w:p>
            <w:pPr>
              <w:ind w:left="580"/>
              <w:spacing w:after="0"/>
              <w:rPr>
                <w:sz w:val="20"/>
                <w:szCs w:val="20"/>
                <w:color w:val="auto"/>
              </w:rPr>
            </w:pPr>
            <w:r>
              <w:rPr>
                <w:rFonts w:ascii="Courier New" w:cs="Courier New" w:eastAsia="Courier New" w:hAnsi="Courier New"/>
                <w:sz w:val="12"/>
                <w:szCs w:val="12"/>
                <w:color w:val="auto"/>
              </w:rPr>
              <w:t>Title:</w:t>
            </w:r>
          </w:p>
        </w:tc>
        <w:tc>
          <w:tcPr>
            <w:tcW w:w="1880" w:type="dxa"/>
            <w:vAlign w:val="bottom"/>
          </w:tcPr>
          <w:p>
            <w:pPr>
              <w:jc w:val="right"/>
              <w:spacing w:after="0"/>
              <w:rPr>
                <w:sz w:val="20"/>
                <w:szCs w:val="20"/>
                <w:color w:val="auto"/>
              </w:rPr>
            </w:pPr>
            <w:r>
              <w:rPr>
                <w:rFonts w:ascii="Courier New" w:cs="Courier New" w:eastAsia="Courier New" w:hAnsi="Courier New"/>
                <w:sz w:val="12"/>
                <w:szCs w:val="12"/>
                <w:color w:val="auto"/>
              </w:rPr>
              <w:t>________________________</w:t>
            </w:r>
          </w:p>
        </w:tc>
      </w:tr>
      <w:tr>
        <w:trPr>
          <w:trHeight w:val="566"/>
        </w:trPr>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40" w:type="dxa"/>
            <w:vAlign w:val="bottom"/>
          </w:tcPr>
          <w:p>
            <w:pPr>
              <w:ind w:left="140"/>
              <w:spacing w:after="0"/>
              <w:rPr>
                <w:sz w:val="20"/>
                <w:szCs w:val="20"/>
                <w:color w:val="auto"/>
              </w:rPr>
            </w:pPr>
            <w:r>
              <w:rPr>
                <w:rFonts w:ascii="Courier New" w:cs="Courier New" w:eastAsia="Courier New" w:hAnsi="Courier New"/>
                <w:sz w:val="12"/>
                <w:szCs w:val="12"/>
                <w:color w:val="auto"/>
              </w:rPr>
              <w:t>- 13 -</w:t>
            </w:r>
          </w:p>
        </w:tc>
        <w:tc>
          <w:tcPr>
            <w:tcW w:w="1880" w:type="dxa"/>
            <w:vAlign w:val="bottom"/>
          </w:tcPr>
          <w:p>
            <w:pPr>
              <w:spacing w:after="0"/>
              <w:rPr>
                <w:sz w:val="24"/>
                <w:szCs w:val="24"/>
                <w:color w:val="auto"/>
              </w:rPr>
            </w:pPr>
          </w:p>
        </w:tc>
      </w:tr>
    </w:tbl>
    <w:p>
      <w:pPr>
        <w:sectPr>
          <w:pgSz w:w="11900" w:h="16838" w:orient="portrait"/>
          <w:cols w:equalWidth="0" w:num="1">
            <w:col w:w="10239"/>
          </w:cols>
          <w:pgMar w:left="220" w:top="688" w:right="1440" w:bottom="1440" w:gutter="0" w:footer="0" w:header="0"/>
        </w:sectPr>
      </w:pPr>
    </w:p>
    <w:bookmarkStart w:id="148" w:name="page149"/>
    <w:bookmarkEnd w:id="148"/>
    <w:p>
      <w:pPr>
        <w:spacing w:after="0" w:line="50"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2"/>
          <w:szCs w:val="12"/>
          <w:color w:val="auto"/>
        </w:rPr>
        <w:t>EXHIBIT 99.9</w:t>
      </w:r>
    </w:p>
    <w:p>
      <w:pPr>
        <w:spacing w:after="0" w:line="147" w:lineRule="exact"/>
        <w:rPr>
          <w:sz w:val="20"/>
          <w:szCs w:val="20"/>
          <w:color w:val="auto"/>
        </w:rPr>
      </w:pPr>
    </w:p>
    <w:p>
      <w:pPr>
        <w:jc w:val="center"/>
        <w:ind w:right="4355"/>
        <w:spacing w:after="0"/>
        <w:rPr>
          <w:sz w:val="20"/>
          <w:szCs w:val="20"/>
          <w:color w:val="auto"/>
        </w:rPr>
      </w:pPr>
      <w:r>
        <w:rPr>
          <w:rFonts w:ascii="Courier New" w:cs="Courier New" w:eastAsia="Courier New" w:hAnsi="Courier New"/>
          <w:sz w:val="12"/>
          <w:szCs w:val="12"/>
          <w:color w:val="auto"/>
        </w:rPr>
        <w:t>CONVERSION AGREEMENT</w:t>
      </w:r>
    </w:p>
    <w:p>
      <w:pPr>
        <w:spacing w:after="0" w:line="147" w:lineRule="exact"/>
        <w:rPr>
          <w:sz w:val="20"/>
          <w:szCs w:val="20"/>
          <w:color w:val="auto"/>
        </w:rPr>
      </w:pPr>
    </w:p>
    <w:p>
      <w:pPr>
        <w:ind w:left="4" w:right="4419" w:firstLine="368"/>
        <w:spacing w:after="0" w:line="250" w:lineRule="auto"/>
        <w:rPr>
          <w:sz w:val="20"/>
          <w:szCs w:val="20"/>
          <w:color w:val="auto"/>
        </w:rPr>
      </w:pPr>
      <w:r>
        <w:rPr>
          <w:rFonts w:ascii="Courier New" w:cs="Courier New" w:eastAsia="Courier New" w:hAnsi="Courier New"/>
          <w:sz w:val="12"/>
          <w:szCs w:val="12"/>
          <w:color w:val="auto"/>
        </w:rPr>
        <w:t>This Conversion Agreement (this "AGREEMENT") is made and entered into effective as of September 28th, 2006 by and between TOWER SEMICONDUCTOR LTD. (the "COMPANY" or "TOWER"), a company organized under the laws of the State of Israel and BANK LEUMI LE-ISRAEL B.M., a banking corporation organized under the laws of the State of Israel (the "BANK").</w:t>
      </w:r>
    </w:p>
    <w:p>
      <w:pPr>
        <w:spacing w:after="0" w:line="141" w:lineRule="exact"/>
        <w:rPr>
          <w:sz w:val="20"/>
          <w:szCs w:val="20"/>
          <w:color w:val="auto"/>
        </w:rPr>
      </w:pPr>
    </w:p>
    <w:p>
      <w:pPr>
        <w:ind w:left="4" w:right="4579" w:firstLine="368"/>
        <w:spacing w:after="0" w:line="251" w:lineRule="auto"/>
        <w:rPr>
          <w:sz w:val="20"/>
          <w:szCs w:val="20"/>
          <w:color w:val="auto"/>
        </w:rPr>
      </w:pPr>
      <w:r>
        <w:rPr>
          <w:rFonts w:ascii="Courier New" w:cs="Courier New" w:eastAsia="Courier New" w:hAnsi="Courier New"/>
          <w:sz w:val="12"/>
          <w:szCs w:val="12"/>
          <w:color w:val="auto"/>
        </w:rPr>
        <w:t>WHEREAS, Tower is an independent manufacturer of wafers whose Ordinary Shares are traded on the Nasdaq Stock Market ("NASDAQ") under the symbol TSEM and whose Ordinary Shares and certain other securities are traded on the Tel-Aviv Stock Exchange ("TASE") under the symbol TSEM;</w:t>
      </w:r>
    </w:p>
    <w:p>
      <w:pPr>
        <w:spacing w:after="0" w:line="139" w:lineRule="exact"/>
        <w:rPr>
          <w:sz w:val="20"/>
          <w:szCs w:val="20"/>
          <w:color w:val="auto"/>
        </w:rPr>
      </w:pPr>
    </w:p>
    <w:p>
      <w:pPr>
        <w:jc w:val="both"/>
        <w:ind w:left="4" w:right="4579" w:firstLine="368"/>
        <w:spacing w:after="0" w:line="251" w:lineRule="auto"/>
        <w:rPr>
          <w:sz w:val="20"/>
          <w:szCs w:val="20"/>
          <w:color w:val="auto"/>
        </w:rPr>
      </w:pPr>
      <w:r>
        <w:rPr>
          <w:rFonts w:ascii="Courier New" w:cs="Courier New" w:eastAsia="Courier New" w:hAnsi="Courier New"/>
          <w:sz w:val="12"/>
          <w:szCs w:val="12"/>
          <w:color w:val="auto"/>
        </w:rPr>
        <w:t>WHEREAS, the Bank and Bank Hapoalim B.M. (collectively, the "BANKS") and Tower are parties to a Facility Agreement dated January 18, 2001, as amended (the "FACILITY AGREEMENT"); and</w:t>
      </w:r>
    </w:p>
    <w:p>
      <w:pPr>
        <w:spacing w:after="0" w:line="140"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WHEREAS, at the request of Tower, the Banks and Tower have entered into an Amending Agreement dated August 24, 2006 (the "AMENDING AGREEMENT"), the conditions to the effectiveness of which include, INTER ALIA, the conversion by each Bank of US $79,000,000 (seventy-nine million US dollars) of its loans made to Tower pursuant to the Facility Agreement (the "LOANS") into an equity-equivalent convertible capital note to be issued to the Bank (a "CAPITAL NOTE") in the amount of US $39,500,000 (thirty-nine million five hundred thousand US dollars) which will in turn be convertible, in whole or in part, by the Bank at any time and from time to time into 25,986,842 (twenty-five million, nine hundred and eighty-six thousand and eight hundred forty-two) ordinary shares of Tower at a conversion price of US $1.52 (one US dollar and fifty-two cents) per share (such number of shares and conversion price, in each case, subject to adjustment from time to time as provided in the Capital Note) and the entering into by the Bank and Tower of a Registration Rights Agreement (the "REGISTRATION RIGHTS AGREEMENT") and of this Agreement, in each case, on the date of the effectiveness of the Amending Agreement (the "AMENDMENT CLOSING DATE"); and</w:t>
      </w:r>
    </w:p>
    <w:p>
      <w:pPr>
        <w:spacing w:after="0" w:line="283"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WHEREAS, clause 9.4 of the amended and restated Facility Agreement that will become effective pursuant to the Amending Agreement on the Amendment Closing Date, as the same may be further amended from time to time (the "RESTATED FACILITY AGREEMENT") obligates the Company to make certain compensatory payments in January, 2011 to the Banks or their nominees on account of the Banks' agreement to reduce the rate of Interest on the Loans, which payments may, subject to said clause 9.4 and this Agreement, be made in the form of shares and/or Capital Notes and/or convertible debentures (the "CLAUSE 9.4 EQUITY ISSUANCES"), which issuances are subject, INTER ALIA, to the terms and conditions of this Agreement;</w:t>
      </w:r>
    </w:p>
    <w:p>
      <w:pPr>
        <w:spacing w:after="0" w:line="141" w:lineRule="exact"/>
        <w:rPr>
          <w:sz w:val="20"/>
          <w:szCs w:val="20"/>
          <w:color w:val="auto"/>
        </w:rPr>
      </w:pPr>
    </w:p>
    <w:p>
      <w:pPr>
        <w:ind w:left="4" w:right="4499" w:firstLine="368"/>
        <w:spacing w:after="0" w:line="251" w:lineRule="auto"/>
        <w:rPr>
          <w:sz w:val="20"/>
          <w:szCs w:val="20"/>
          <w:color w:val="auto"/>
        </w:rPr>
      </w:pPr>
      <w:r>
        <w:rPr>
          <w:rFonts w:ascii="Courier New" w:cs="Courier New" w:eastAsia="Courier New" w:hAnsi="Courier New"/>
          <w:sz w:val="12"/>
          <w:szCs w:val="12"/>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140" w:lineRule="exact"/>
        <w:rPr>
          <w:sz w:val="20"/>
          <w:szCs w:val="20"/>
          <w:color w:val="auto"/>
        </w:rPr>
      </w:pPr>
    </w:p>
    <w:p>
      <w:pPr>
        <w:ind w:left="364" w:hanging="364"/>
        <w:spacing w:after="0"/>
        <w:tabs>
          <w:tab w:leader="none" w:pos="364" w:val="left"/>
        </w:tabs>
        <w:numPr>
          <w:ilvl w:val="0"/>
          <w:numId w:val="1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INTERPRETATION.</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1.1. As used in Sections 3.8 and 5.1 of this Agreement: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1.1.1. "CONTROL" (including the terms "CONTROLLING", "CONTROLLED BY"</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or "UNDER COMMON CONTROL WITH", means the possession direct or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indirect, of the power to direct or cause the direction of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management and policies of a person, whether through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ownership of voting securities, by contract or otherwise; and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104" w:right="4359" w:hanging="367"/>
        <w:spacing w:after="0" w:line="250" w:lineRule="auto"/>
        <w:rPr>
          <w:sz w:val="20"/>
          <w:szCs w:val="20"/>
          <w:color w:val="auto"/>
        </w:rPr>
      </w:pPr>
      <w:r>
        <w:rPr>
          <w:rFonts w:ascii="Courier New" w:cs="Courier New" w:eastAsia="Courier New" w:hAnsi="Courier New"/>
          <w:sz w:val="12"/>
          <w:szCs w:val="12"/>
          <w:color w:val="auto"/>
        </w:rPr>
        <w:t>1.1.2. "SUBSIDIARY" of a person means any company (a) in which such person, directly or indirectly, owns 25% (twenty-five percent) or more of a class of voting securities or (b) which is otherwise directly or indirectly controlled by such person. For the avoidance of doubt, a subsidiary need not be consolidated for financial statement purposes with such person in order to be deemed a subsidiary in this Agreement.</w:t>
      </w:r>
    </w:p>
    <w:p>
      <w:pPr>
        <w:spacing w:after="0" w:line="141"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1.2. DEFINITIONS. Except as otherwise defined herein, terms and expressions defined in the Restated Facility Agreement shall have the same meanings when used in this Agreement and all provisions of the Facility Agreement concerning matters of construction and interpretation shall apply to this Agreement.</w:t>
      </w:r>
    </w:p>
    <w:p>
      <w:pPr>
        <w:spacing w:after="0" w:line="139" w:lineRule="exact"/>
        <w:rPr>
          <w:sz w:val="20"/>
          <w:szCs w:val="20"/>
          <w:color w:val="auto"/>
        </w:rPr>
      </w:pPr>
    </w:p>
    <w:p>
      <w:pPr>
        <w:ind w:left="4" w:right="4419" w:firstLine="368"/>
        <w:spacing w:after="0" w:line="253" w:lineRule="auto"/>
        <w:rPr>
          <w:sz w:val="20"/>
          <w:szCs w:val="20"/>
          <w:color w:val="auto"/>
        </w:rPr>
      </w:pPr>
      <w:r>
        <w:rPr>
          <w:rFonts w:ascii="Courier New" w:cs="Courier New" w:eastAsia="Courier New" w:hAnsi="Courier New"/>
          <w:sz w:val="12"/>
          <w:szCs w:val="12"/>
          <w:color w:val="auto"/>
        </w:rPr>
        <w:t>1.3. PREAMBLE. The preamble to this Agreement constitutes an integral part thereof.</w:t>
      </w:r>
    </w:p>
    <w:p>
      <w:pPr>
        <w:spacing w:after="0" w:line="138" w:lineRule="exact"/>
        <w:rPr>
          <w:sz w:val="20"/>
          <w:szCs w:val="20"/>
          <w:color w:val="auto"/>
        </w:rPr>
      </w:pPr>
    </w:p>
    <w:p>
      <w:pPr>
        <w:ind w:left="364" w:right="4359" w:hanging="364"/>
        <w:spacing w:after="0" w:line="499" w:lineRule="auto"/>
        <w:tabs>
          <w:tab w:leader="none" w:pos="364" w:val="left"/>
        </w:tabs>
        <w:numPr>
          <w:ilvl w:val="0"/>
          <w:numId w:val="1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CONVERSION OF LOAN AND ISSUE OF CAPITAL NOTE ON THE AMENDMENT CLOSING DATE. The Company hereby:</w:t>
      </w:r>
    </w:p>
    <w:p>
      <w:pPr>
        <w:spacing w:after="0" w:line="1"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2.1. issues to the Bank, and the Bank hereby receives from the Company, in conversion of US $79,000,000 (seventy-nine million US dollars) of the Loans, an executed Capital Note in the principal amount of US $39,500,000 (thirty nine million five hundred thousand US dollars) in the form attached as EXHIBIT 1 hereto. For the avoidance of doubt, as of the Amendment Closing Date, the principal amount of Loans outstanding and owed by Tower to the Banks shall be as set forth in the second sentence of clause 2.1 of the Restated Facility Agreement;</w:t>
      </w:r>
    </w:p>
    <w:p>
      <w:pPr>
        <w:spacing w:after="0" w:line="141"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2.2. furnishes to the Bank a copy of the approval of the TASE for listing the 25,986,842 (twenty-five million, nine hundred and eighty-six thousand, eight hundred and forty-two) shares issuable upon conversion of said Capital Note; and</w:t>
      </w:r>
    </w:p>
    <w:p>
      <w:pPr>
        <w:spacing w:after="0" w:line="140" w:lineRule="exact"/>
        <w:rPr>
          <w:sz w:val="20"/>
          <w:szCs w:val="20"/>
          <w:color w:val="auto"/>
        </w:rPr>
      </w:pPr>
    </w:p>
    <w:p>
      <w:pPr>
        <w:ind w:left="4" w:right="4579" w:firstLine="368"/>
        <w:spacing w:after="0" w:line="253" w:lineRule="auto"/>
        <w:rPr>
          <w:sz w:val="20"/>
          <w:szCs w:val="20"/>
          <w:color w:val="auto"/>
        </w:rPr>
      </w:pPr>
      <w:r>
        <w:rPr>
          <w:rFonts w:ascii="Courier New" w:cs="Courier New" w:eastAsia="Courier New" w:hAnsi="Courier New"/>
          <w:sz w:val="12"/>
          <w:szCs w:val="12"/>
          <w:color w:val="auto"/>
        </w:rPr>
        <w:t>2.3. confirms that the Company has recorded such issuance of the Capital Note in the name of Bank on the records of the Company.</w:t>
      </w:r>
    </w:p>
    <w:p>
      <w:pPr>
        <w:spacing w:after="0" w:line="138" w:lineRule="exact"/>
        <w:rPr>
          <w:sz w:val="20"/>
          <w:szCs w:val="20"/>
          <w:color w:val="auto"/>
        </w:rPr>
      </w:pPr>
    </w:p>
    <w:p>
      <w:pPr>
        <w:ind w:left="364" w:hanging="364"/>
        <w:spacing w:after="0"/>
        <w:tabs>
          <w:tab w:leader="none" w:pos="364" w:val="left"/>
        </w:tabs>
        <w:numPr>
          <w:ilvl w:val="0"/>
          <w:numId w:val="1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AND WARRANTIES OF THE COMPANY.</w:t>
      </w:r>
    </w:p>
    <w:p>
      <w:pPr>
        <w:spacing w:after="0" w:line="147" w:lineRule="exact"/>
        <w:rPr>
          <w:sz w:val="20"/>
          <w:szCs w:val="20"/>
          <w:color w:val="auto"/>
        </w:rPr>
      </w:pPr>
    </w:p>
    <w:p>
      <w:pPr>
        <w:ind w:left="4" w:right="4639" w:firstLine="368"/>
        <w:spacing w:after="0" w:line="253" w:lineRule="auto"/>
        <w:rPr>
          <w:sz w:val="20"/>
          <w:szCs w:val="20"/>
          <w:color w:val="auto"/>
        </w:rPr>
      </w:pPr>
      <w:r>
        <w:rPr>
          <w:rFonts w:ascii="Courier New" w:cs="Courier New" w:eastAsia="Courier New" w:hAnsi="Courier New"/>
          <w:sz w:val="12"/>
          <w:szCs w:val="12"/>
          <w:color w:val="auto"/>
        </w:rPr>
        <w:t>The Company hereby represents and warrants to the Bank on the Amendment Closing Date as follows:</w:t>
      </w:r>
    </w:p>
    <w:p>
      <w:pPr>
        <w:spacing w:after="0" w:line="138"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3.1. ORGANIZATION. The Company is duly organized and validly existing under the laws of its jurisdiction of incorporation and has full corporate power and authority to own, lease and operate its properties and assets and to conduct its business as now being conducted and to perform all its obligations under this Agreement.</w:t>
      </w:r>
    </w:p>
    <w:p>
      <w:pPr>
        <w:spacing w:after="0" w:line="141"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3.2. SHARE CAPITAL. All issued and outstanding share capital of the Company has been duly authorized and is validly issued. The shares to be issued upon conversion of any Capital Note or convertible debentures issued pursuant to this</w:t>
      </w:r>
    </w:p>
    <w:p>
      <w:pPr>
        <w:sectPr>
          <w:pgSz w:w="11900" w:h="16889" w:orient="portrait"/>
          <w:cols w:equalWidth="0" w:num="1">
            <w:col w:w="10244"/>
          </w:cols>
          <w:pgMar w:left="216" w:top="283" w:right="1440" w:bottom="0" w:gutter="0" w:footer="0" w:header="0"/>
        </w:sectPr>
      </w:pPr>
    </w:p>
    <w:bookmarkStart w:id="149" w:name="page150"/>
    <w:bookmarkEnd w:id="149"/>
    <w:p>
      <w:pPr>
        <w:ind w:right="4419"/>
        <w:spacing w:after="0" w:line="250" w:lineRule="auto"/>
        <w:rPr>
          <w:sz w:val="20"/>
          <w:szCs w:val="20"/>
          <w:color w:val="auto"/>
        </w:rPr>
      </w:pPr>
      <w:r>
        <w:rPr>
          <w:rFonts w:ascii="Courier New" w:cs="Courier New" w:eastAsia="Courier New" w:hAnsi="Courier New"/>
          <w:sz w:val="12"/>
          <w:szCs w:val="12"/>
          <w:color w:val="auto"/>
        </w:rPr>
        <w:t>Agreement (the "CONVERSION SHARES") and, if applicable, on the Clause 9.4 Closing Date, are duly authorized and reserved for issuance by the Company and, when issued in accordance with the terms of such Capital Note or convertible debentures or, as applicable, this Agreement and Clause 9.4 of the Restated Facility Agreement, will be validly issued, fully paid, nonassessable and not subject to any pledge, lien or restriction on transfer, except for restrictions on transfer imposed by applicable securities laws. The entering into and performance of this Agreement and the issuance of any shares, Capital Notes or convertible debentures hereunder do not, and the issuance of any Conversion Shares will not, conflict with the Memorandum of Association or the Articles of Association of the Company nor with any outstanding convertible security, warrant, option, call, preemptive right or commitment of any type relating to the Company's capital stock (collectively, "EQUITY RIGHTS"). The entering into and performance of this Agreement, the issuance of any shares or Capital Notes hereunder and the issuance of the Conversion Shares do not require, or give any holder of Equity Rights the right to have made, any adjustments to be made in the conversion or exercise price, the number of shares issuable upon conversion or exercise or any other provision of the aforegoing Equity Rights.</w:t>
      </w:r>
    </w:p>
    <w:p>
      <w:pPr>
        <w:spacing w:after="0" w:line="283"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- 2 -</w:t>
      </w:r>
    </w:p>
    <w:p>
      <w:pPr>
        <w:sectPr>
          <w:pgSz w:w="11900" w:h="16838" w:orient="portrait"/>
          <w:cols w:equalWidth="0" w:num="1">
            <w:col w:w="10239"/>
          </w:cols>
          <w:pgMar w:left="220" w:top="141" w:right="1440" w:bottom="1440" w:gutter="0" w:footer="0" w:header="0"/>
        </w:sectPr>
      </w:pPr>
    </w:p>
    <w:bookmarkStart w:id="150" w:name="page151"/>
    <w:bookmarkEnd w:id="150"/>
    <w:p>
      <w:pPr>
        <w:ind w:right="4359" w:firstLine="368"/>
        <w:spacing w:after="0" w:line="250" w:lineRule="auto"/>
        <w:rPr>
          <w:sz w:val="20"/>
          <w:szCs w:val="20"/>
          <w:color w:val="auto"/>
        </w:rPr>
      </w:pPr>
      <w:r>
        <w:rPr>
          <w:rFonts w:ascii="Courier New" w:cs="Courier New" w:eastAsia="Courier New" w:hAnsi="Courier New"/>
          <w:sz w:val="12"/>
          <w:szCs w:val="12"/>
          <w:color w:val="auto"/>
        </w:rPr>
        <w:t>3.3. AUTHORIZATION; APPROVALS. All corporate action on the part of the Company necessary for the execution, delivery and performance of this Agreement and the issuance of any shares, Capital Notes, convertible debentures and Conversion Shares has been taken. Except as set forth in Schedule 3.3 hereto, save for any consents, approvals, authorisations or exemptions already obtained, and filings already made, no consent, approval or authorization of, exemption by, or filing with, any governmental or regulatory authority, including any approval of, or filings with, the Israeli Securities Authority (the "ISA"), the TASE or any third party is required in connection with the execution, delivery and performance by the Company of this Agreement and the consummation by the Company of the transactions contemplated hereby, including the issuance by way of private placement pursuant to this Agreement of any Capital Notes, convertible debentures or shares. This Agreement and all Capital Notes or convertible debentures issued hereunder on the date which this representation is given have been executed and delivered by the Company, and each constitutes the valid and legally binding obligations of the Company, legally enforceable against the Company in accordance with its terms, subject to applicable bankruptcy, insolvency, fraudulent conveyance, reorganization, moratorium and other laws relating to creditor's rights generally and general principles of equity.</w:t>
      </w:r>
    </w:p>
    <w:p>
      <w:pPr>
        <w:spacing w:after="0" w:line="283" w:lineRule="exact"/>
        <w:rPr>
          <w:sz w:val="20"/>
          <w:szCs w:val="20"/>
          <w:color w:val="auto"/>
        </w:rPr>
      </w:pPr>
    </w:p>
    <w:p>
      <w:pPr>
        <w:ind w:right="4939" w:firstLine="368"/>
        <w:spacing w:after="0" w:line="253" w:lineRule="auto"/>
        <w:rPr>
          <w:sz w:val="20"/>
          <w:szCs w:val="20"/>
          <w:color w:val="auto"/>
        </w:rPr>
      </w:pPr>
      <w:r>
        <w:rPr>
          <w:rFonts w:ascii="Courier New" w:cs="Courier New" w:eastAsia="Courier New" w:hAnsi="Courier New"/>
          <w:sz w:val="12"/>
          <w:szCs w:val="12"/>
          <w:color w:val="auto"/>
        </w:rPr>
        <w:t>3.4. CROSS-DEFAULT. No Default or Event of Default exists under the Facility Agreement.</w:t>
      </w:r>
    </w:p>
    <w:p>
      <w:pPr>
        <w:spacing w:after="0" w:line="138" w:lineRule="exact"/>
        <w:rPr>
          <w:sz w:val="20"/>
          <w:szCs w:val="20"/>
          <w:color w:val="auto"/>
        </w:rPr>
      </w:pPr>
    </w:p>
    <w:p>
      <w:pPr>
        <w:ind w:right="4359" w:firstLine="368"/>
        <w:spacing w:after="0" w:line="250" w:lineRule="auto"/>
        <w:rPr>
          <w:sz w:val="20"/>
          <w:szCs w:val="20"/>
          <w:color w:val="auto"/>
        </w:rPr>
      </w:pPr>
      <w:r>
        <w:rPr>
          <w:rFonts w:ascii="Courier New" w:cs="Courier New" w:eastAsia="Courier New" w:hAnsi="Courier New"/>
          <w:sz w:val="12"/>
          <w:szCs w:val="12"/>
          <w:color w:val="auto"/>
        </w:rPr>
        <w:t>3.5. NO CONFLICTS. Neither the execution and delivery of this Agreement by Tower, nor the compliance with the terms and provisions of this Agreement on the part of Tower, including the issuance of shares, Capital Notes, convertible debentures or Conversion Shares, will: (i) violate any statute or regulation of any governmental authority, domestic or foreign, affecting Tower; (ii) require the issuance of any authorization, license, consent or approval of any governmental agency, or any other person which has not been obtained, save as set forth in Schedule 3.5 hereto; or (iii) conflict with or result in a breach of any of the terms, conditions or provisions of any judgment, order, injunction, decree, loan agreement or other material agreement or instrument to which Tower is a party, or by which Tower is bound, or constitute a default thereunder, the effect of which might have a material adverse effect on Tower.</w:t>
      </w:r>
    </w:p>
    <w:p>
      <w:pPr>
        <w:spacing w:after="0" w:line="141" w:lineRule="exact"/>
        <w:rPr>
          <w:sz w:val="20"/>
          <w:szCs w:val="20"/>
          <w:color w:val="auto"/>
        </w:rPr>
      </w:pPr>
    </w:p>
    <w:p>
      <w:pPr>
        <w:jc w:val="both"/>
        <w:ind w:right="4359" w:firstLine="368"/>
        <w:spacing w:after="0" w:line="251" w:lineRule="auto"/>
        <w:rPr>
          <w:sz w:val="20"/>
          <w:szCs w:val="20"/>
          <w:color w:val="auto"/>
        </w:rPr>
      </w:pPr>
      <w:r>
        <w:rPr>
          <w:rFonts w:ascii="Courier New" w:cs="Courier New" w:eastAsia="Courier New" w:hAnsi="Courier New"/>
          <w:sz w:val="12"/>
          <w:szCs w:val="12"/>
          <w:color w:val="auto"/>
        </w:rPr>
        <w:t>3.6. NO LITIGATION. There are no actions, suits, proceedings, or injunctive orders, pending or threatened against or affecting Tower relating to the subject matter of this Agreement.</w:t>
      </w:r>
    </w:p>
    <w:p>
      <w:pPr>
        <w:spacing w:after="0" w:line="140" w:lineRule="exact"/>
        <w:rPr>
          <w:sz w:val="20"/>
          <w:szCs w:val="20"/>
          <w:color w:val="auto"/>
        </w:rPr>
      </w:pPr>
    </w:p>
    <w:p>
      <w:pPr>
        <w:ind w:right="4359" w:firstLine="368"/>
        <w:spacing w:after="0" w:line="251" w:lineRule="auto"/>
        <w:rPr>
          <w:sz w:val="20"/>
          <w:szCs w:val="20"/>
          <w:color w:val="auto"/>
        </w:rPr>
      </w:pPr>
      <w:r>
        <w:rPr>
          <w:rFonts w:ascii="Courier New" w:cs="Courier New" w:eastAsia="Courier New" w:hAnsi="Courier New"/>
          <w:sz w:val="12"/>
          <w:szCs w:val="12"/>
          <w:color w:val="auto"/>
        </w:rPr>
        <w:t>3.7. NO BROKERS. Except as set forth in Schedule 3.7 hereto, Tower has not engaged any broker or finder in connection with the transactions contemplated by this Agreement, and no broker or other person is entitled to any commission or finder's fee in connection with such transactions.</w:t>
      </w:r>
    </w:p>
    <w:p>
      <w:pPr>
        <w:spacing w:after="0" w:line="281"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- 3 -</w:t>
      </w:r>
    </w:p>
    <w:p>
      <w:pPr>
        <w:sectPr>
          <w:pgSz w:w="11900" w:h="16838" w:orient="portrait"/>
          <w:cols w:equalWidth="0" w:num="1">
            <w:col w:w="10239"/>
          </w:cols>
          <w:pgMar w:left="220" w:top="689"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2"/>
          <w:szCs w:val="12"/>
          <w:color w:val="auto"/>
        </w:rPr>
        <w:t>3.8. ACTIVITIES IN THE UNITED STATES.</w:t>
      </w:r>
    </w:p>
    <w:p>
      <w:pPr>
        <w:spacing w:after="0" w:line="147" w:lineRule="exact"/>
        <w:rPr>
          <w:sz w:val="20"/>
          <w:szCs w:val="20"/>
          <w:color w:val="auto"/>
        </w:rPr>
      </w:pPr>
    </w:p>
    <w:p>
      <w:pPr>
        <w:ind w:left="740" w:right="4359" w:hanging="367"/>
        <w:spacing w:after="0" w:line="250" w:lineRule="auto"/>
        <w:rPr>
          <w:sz w:val="20"/>
          <w:szCs w:val="20"/>
          <w:color w:val="auto"/>
        </w:rPr>
      </w:pPr>
      <w:r>
        <w:rPr>
          <w:rFonts w:ascii="Courier New" w:cs="Courier New" w:eastAsia="Courier New" w:hAnsi="Courier New"/>
          <w:sz w:val="12"/>
          <w:szCs w:val="12"/>
          <w:color w:val="auto"/>
        </w:rPr>
        <w:t>3.8.1. More than 50% (fifty percent) of the consolidated assets of the Company as shown or would be shown on its consolidated financial statements (a) as of the last day of the immediately preceding calendar year and (b) as of the date hereof are, in each case, are located outside of the United States.</w:t>
      </w:r>
    </w:p>
    <w:p>
      <w:pPr>
        <w:spacing w:after="0" w:line="141"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2"/>
          <w:szCs w:val="12"/>
          <w:color w:val="auto"/>
        </w:rPr>
        <w:t>3.8.2. More than 50% (fifty percent) of the consolidated revenues of</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the Company as shown or would be shown on its consolidated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financial statements (a) for the immediately preceding calendar</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year; and (b) during the current calendar year to date, in each</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case, are derived from outside the United States.</w:t>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3.8.3. For the purposes of Section 3.8.1, Section 3.8.2, Section</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5.1.1, Section 5.1.2, Section 5.1.6, Section 5.1.7 and Section</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6.6 herein, assets and revenues of the Company will be deemed to</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be located or derived from "outside the United States" if they</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are recorded on the books of the Company or of any subsidiaries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of the Company incorporated outside the United States ("NON-U.S.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SUBSIDIARIES") (provided that such revenues are not recorded on</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the books of any offices of the Company or of its Non-U.S.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Subsidiaries located in the United States ("U.S. OFFICES")) and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will be deemed to be located in or derived from the United States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if they are recorded on the books of any U.S. Offices or of any</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subsidiaries of the Company incorporated in the United States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("U.S. SUBSIDIARIES"). By way of example, revenues recorded on</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the books of the Company itself (but not on the books of any U.S.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Offices) will be considered revenues derived from outside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United States, even if the revenues derive from a sale of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Company's products to a U.S. person and even if the Company's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U.S. Subsidiary was involved in marketing, sales or post-sales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support efforts.</w:t>
      </w:r>
    </w:p>
    <w:p>
      <w:pPr>
        <w:spacing w:after="0" w:line="147" w:lineRule="exact"/>
        <w:rPr>
          <w:sz w:val="20"/>
          <w:szCs w:val="20"/>
          <w:color w:val="auto"/>
        </w:rPr>
      </w:pPr>
    </w:p>
    <w:p>
      <w:pPr>
        <w:ind w:left="740" w:right="4419" w:hanging="367"/>
        <w:spacing w:after="0" w:line="250" w:lineRule="auto"/>
        <w:rPr>
          <w:sz w:val="20"/>
          <w:szCs w:val="20"/>
          <w:color w:val="auto"/>
        </w:rPr>
      </w:pPr>
      <w:r>
        <w:rPr>
          <w:rFonts w:ascii="Courier New" w:cs="Courier New" w:eastAsia="Courier New" w:hAnsi="Courier New"/>
          <w:sz w:val="12"/>
          <w:szCs w:val="12"/>
          <w:color w:val="auto"/>
        </w:rPr>
        <w:t>3.8.4. The activities, if any, of the Company and its Non-U.S. Subsidiaries within the United States and the activities of all U.S. Subsidiaries are the same kind as or support the Company's or its Non-U.S. Subsidiaries' activities outside of the United States. For purposes of this Section 3.8.4, Section 5.1.3, Section 5.1.6, Section 5.1.7 and Section 6.6 below (a) "the same kind as" shall mean activities that are within the same "establishment" categories of the North American Classification System published by the United States Census Bureau, and (b) "support" shall mean supply, distribution, sales, marketing, servicing, research and development, licensing, design, customer relations and/or similar activities.</w:t>
      </w:r>
    </w:p>
    <w:p>
      <w:pPr>
        <w:spacing w:after="0" w:line="141" w:lineRule="exact"/>
        <w:rPr>
          <w:sz w:val="20"/>
          <w:szCs w:val="20"/>
          <w:color w:val="auto"/>
        </w:rPr>
      </w:pPr>
    </w:p>
    <w:p>
      <w:pPr>
        <w:ind w:left="740" w:right="4499" w:hanging="367"/>
        <w:spacing w:after="0" w:line="251" w:lineRule="auto"/>
        <w:rPr>
          <w:sz w:val="20"/>
          <w:szCs w:val="20"/>
          <w:color w:val="auto"/>
        </w:rPr>
      </w:pPr>
      <w:r>
        <w:rPr>
          <w:rFonts w:ascii="Courier New" w:cs="Courier New" w:eastAsia="Courier New" w:hAnsi="Courier New"/>
          <w:sz w:val="12"/>
          <w:szCs w:val="12"/>
          <w:color w:val="auto"/>
        </w:rPr>
        <w:t>3.8.5. Neither the Company nor any of its subsidiaries conducts activities in the United States that consist of engaging in the business of banking, securities, insurance or real estate.</w:t>
      </w:r>
    </w:p>
    <w:p>
      <w:pPr>
        <w:spacing w:after="0" w:line="140" w:lineRule="exact"/>
        <w:rPr>
          <w:sz w:val="20"/>
          <w:szCs w:val="20"/>
          <w:color w:val="auto"/>
        </w:rPr>
      </w:pPr>
    </w:p>
    <w:p>
      <w:pPr>
        <w:ind w:left="740" w:right="4359" w:hanging="367"/>
        <w:spacing w:after="0" w:line="251" w:lineRule="auto"/>
        <w:rPr>
          <w:sz w:val="20"/>
          <w:szCs w:val="20"/>
          <w:color w:val="auto"/>
        </w:rPr>
      </w:pPr>
      <w:r>
        <w:rPr>
          <w:rFonts w:ascii="Courier New" w:cs="Courier New" w:eastAsia="Courier New" w:hAnsi="Courier New"/>
          <w:sz w:val="12"/>
          <w:szCs w:val="12"/>
          <w:color w:val="auto"/>
        </w:rPr>
        <w:t>3.8.6. Neither the Company nor any of its subsidiaries engages, nor do either own more than 5% (five percent) of a class of voting securities of a person that engages, in the business of securities underwriting or distribution in the United States.</w:t>
      </w:r>
    </w:p>
    <w:p>
      <w:pPr>
        <w:spacing w:after="0" w:line="281"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- 4 -</w:t>
      </w:r>
    </w:p>
    <w:p>
      <w:pPr>
        <w:sectPr>
          <w:pgSz w:w="11900" w:h="16838" w:orient="portrait"/>
          <w:cols w:equalWidth="0" w:num="1">
            <w:col w:w="9879"/>
          </w:cols>
          <w:pgMar w:left="580" w:top="689" w:right="1440" w:bottom="1440" w:gutter="0" w:footer="0" w:header="0"/>
        </w:sectPr>
      </w:pPr>
    </w:p>
    <w:bookmarkStart w:id="152" w:name="page153"/>
    <w:bookmarkEnd w:id="152"/>
    <w:p>
      <w:pPr>
        <w:ind w:left="4" w:right="4419" w:firstLine="368"/>
        <w:spacing w:after="0" w:line="251" w:lineRule="auto"/>
        <w:rPr>
          <w:sz w:val="20"/>
          <w:szCs w:val="20"/>
          <w:color w:val="auto"/>
        </w:rPr>
      </w:pPr>
      <w:r>
        <w:rPr>
          <w:rFonts w:ascii="Courier New" w:cs="Courier New" w:eastAsia="Courier New" w:hAnsi="Courier New"/>
          <w:sz w:val="12"/>
          <w:szCs w:val="12"/>
          <w:color w:val="auto"/>
        </w:rPr>
        <w:t>3.9. The Company acknowledges that the Bank is acquiring the Capital Notes on the Amendment Closing Date in full reliance upon the representations and warranties made by the Company in this Agreement, including in Section 3.8 above.</w:t>
      </w:r>
    </w:p>
    <w:p>
      <w:pPr>
        <w:spacing w:after="0" w:line="139" w:lineRule="exact"/>
        <w:rPr>
          <w:sz w:val="20"/>
          <w:szCs w:val="20"/>
          <w:color w:val="auto"/>
        </w:rPr>
      </w:pPr>
    </w:p>
    <w:p>
      <w:pPr>
        <w:ind w:left="364" w:hanging="364"/>
        <w:spacing w:after="0"/>
        <w:tabs>
          <w:tab w:leader="none" w:pos="364" w:val="left"/>
        </w:tabs>
        <w:numPr>
          <w:ilvl w:val="0"/>
          <w:numId w:val="1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AND WARRANTIES OF THE BANK.</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Bank hereby represents and warrants to the Company that it:</w:t>
      </w:r>
    </w:p>
    <w:p>
      <w:pPr>
        <w:spacing w:after="0" w:line="147" w:lineRule="exact"/>
        <w:rPr>
          <w:sz w:val="20"/>
          <w:szCs w:val="20"/>
          <w:color w:val="auto"/>
        </w:rPr>
      </w:pPr>
    </w:p>
    <w:p>
      <w:pPr>
        <w:ind w:left="4" w:right="4579" w:firstLine="368"/>
        <w:spacing w:after="0" w:line="251" w:lineRule="auto"/>
        <w:rPr>
          <w:sz w:val="20"/>
          <w:szCs w:val="20"/>
          <w:color w:val="auto"/>
        </w:rPr>
      </w:pPr>
      <w:r>
        <w:rPr>
          <w:rFonts w:ascii="Courier New" w:cs="Courier New" w:eastAsia="Courier New" w:hAnsi="Courier New"/>
          <w:sz w:val="12"/>
          <w:szCs w:val="12"/>
          <w:color w:val="auto"/>
        </w:rPr>
        <w:t>4.1. is acquiring the securities issued and to be issued to the Bank pursuant to this Agreement for investment and not with a view to distribution without registration under the U.S. Securities Act of 1933 (the "Securities Act");</w:t>
      </w:r>
    </w:p>
    <w:p>
      <w:pPr>
        <w:spacing w:after="0" w:line="139"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4.2. has requisite knowledge and experience in financial and business matters to be capable of evaluating the merits and risks of an investment in the Company and is an accredited investor as defined in Rule 501(a) under the Securities Act;</w:t>
      </w:r>
    </w:p>
    <w:p>
      <w:pPr>
        <w:spacing w:after="0" w:line="139"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4.3. understands that none of the Capital Notes issued and to be issued under this Agreement have been, or will be, registered under the Securities Act, or the laws of any jurisdiction;</w:t>
      </w:r>
    </w:p>
    <w:p>
      <w:pPr>
        <w:spacing w:after="0" w:line="140"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4.4. agrees that none of the securities issued and to be issued to the Bank pursuant to this Agreement may be sold, offered for sale, transferred, pledged, hypothecated or otherwise disposed of except by registration under the Securities Act or otherwise in compliance with the Securities Act, the Israeli Securities Law or any applicable securities laws of any jurisdiction (including pursuant to an exemption therefrom); and</w:t>
      </w:r>
    </w:p>
    <w:p>
      <w:pPr>
        <w:spacing w:after="0" w:line="141" w:lineRule="exact"/>
        <w:rPr>
          <w:sz w:val="20"/>
          <w:szCs w:val="20"/>
          <w:color w:val="auto"/>
        </w:rPr>
      </w:pPr>
    </w:p>
    <w:p>
      <w:pPr>
        <w:ind w:left="4" w:right="4419" w:firstLine="368"/>
        <w:spacing w:after="0" w:line="251" w:lineRule="auto"/>
        <w:rPr>
          <w:sz w:val="20"/>
          <w:szCs w:val="20"/>
          <w:color w:val="auto"/>
        </w:rPr>
      </w:pPr>
      <w:r>
        <w:rPr>
          <w:rFonts w:ascii="Courier New" w:cs="Courier New" w:eastAsia="Courier New" w:hAnsi="Courier New"/>
          <w:sz w:val="12"/>
          <w:szCs w:val="12"/>
          <w:color w:val="auto"/>
        </w:rPr>
        <w:t>4.5. acknowledges that the securities, upon issuance, will, unless in the reasonable opinion of counsel for the Company such legend is not required in order to ensure compliance under the Securities Act, bear the following legend:</w:t>
      </w:r>
    </w:p>
    <w:p>
      <w:pPr>
        <w:spacing w:after="0" w:line="140" w:lineRule="exact"/>
        <w:rPr>
          <w:sz w:val="20"/>
          <w:szCs w:val="20"/>
          <w:color w:val="auto"/>
        </w:rPr>
      </w:pPr>
    </w:p>
    <w:p>
      <w:pPr>
        <w:ind w:left="4" w:right="4419" w:firstLine="368"/>
        <w:spacing w:after="0" w:line="250" w:lineRule="auto"/>
        <w:rPr>
          <w:sz w:val="20"/>
          <w:szCs w:val="20"/>
          <w:color w:val="auto"/>
        </w:rPr>
      </w:pPr>
      <w:r>
        <w:rPr>
          <w:rFonts w:ascii="Courier New" w:cs="Courier New" w:eastAsia="Courier New" w:hAnsi="Courier New"/>
          <w:sz w:val="12"/>
          <w:szCs w:val="12"/>
          <w:color w:val="auto"/>
        </w:rPr>
        <w:t>THESE SECURITIES [(INCLUDING THE SECURITIES ISSUABLE PURSUANT HERETO)](1) HAVE NOT BEEN REGISTERED OR QUALIFIED UNDER THE U.S. SECURITIES ACT OF 1933, AS AMENDED, OR ANY U.S. STATE OR OTHER JURISDICTION'S SECURITIES LAWS. THESE SECURITIES (INCLUDING THE SECURITIES ISSUABLE PURSUANT HERETO) MAY NOT BE SOLD, OFFERED FOR SALE OR PLEDGED, HYPOTHECATED OR OTHERWISE TRANSFERRED IN THE ABSENCE OF A REGISTRATION STATEMENT IN EFFECT UNDER THE U.S. SECURITIES ACT OF 1933, AS AMENDED, (THE "ACT")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141" w:lineRule="exact"/>
        <w:rPr>
          <w:sz w:val="20"/>
          <w:szCs w:val="20"/>
          <w:color w:val="auto"/>
        </w:rPr>
      </w:pPr>
    </w:p>
    <w:p>
      <w:pPr>
        <w:ind w:left="4" w:right="4499" w:firstLine="368"/>
        <w:spacing w:after="0" w:line="253" w:lineRule="auto"/>
        <w:rPr>
          <w:sz w:val="20"/>
          <w:szCs w:val="20"/>
          <w:color w:val="auto"/>
        </w:rPr>
      </w:pPr>
      <w:r>
        <w:rPr>
          <w:rFonts w:ascii="Courier New" w:cs="Courier New" w:eastAsia="Courier New" w:hAnsi="Courier New"/>
          <w:sz w:val="12"/>
          <w:szCs w:val="12"/>
          <w:color w:val="auto"/>
        </w:rPr>
        <w:t>For the avoidance of doubt, nothing in this Section 4 shall derogate from the Company's obligations under the Registration Rights Agreement.</w:t>
      </w:r>
    </w:p>
    <w:p>
      <w:pPr>
        <w:spacing w:after="0" w:line="138"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 ----------</w:t>
      </w:r>
    </w:p>
    <w:p>
      <w:pPr>
        <w:spacing w:after="0" w:line="147" w:lineRule="exact"/>
        <w:rPr>
          <w:sz w:val="20"/>
          <w:szCs w:val="20"/>
          <w:color w:val="auto"/>
        </w:rPr>
      </w:pPr>
    </w:p>
    <w:p>
      <w:pPr>
        <w:ind w:left="4" w:right="4359" w:hanging="4"/>
        <w:spacing w:after="0" w:line="250" w:lineRule="auto"/>
        <w:tabs>
          <w:tab w:leader="none" w:pos="299" w:val="left"/>
        </w:tabs>
        <w:numPr>
          <w:ilvl w:val="0"/>
          <w:numId w:val="1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effective date of the Registration Statement covering the Conversion Shares, if applicable, bracketed language to be removed from all future Capital Notes and convertible debentures to be issued and, at the request of the holder, a substitute Capital Note omitting the bracketed language will promptly be delivered to the holder. If shares are directly issued in the Clause 9.4 Equity Issuance, the first sentence of the legend and the first parenthetical in the second sentence will be removed following the effective date of the Registration Statement covering such shares.</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1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5 -</w:t>
      </w:r>
    </w:p>
    <w:p>
      <w:pPr>
        <w:sectPr>
          <w:pgSz w:w="11900" w:h="16838" w:orient="portrait"/>
          <w:cols w:equalWidth="0" w:num="1">
            <w:col w:w="10244"/>
          </w:cols>
          <w:pgMar w:left="216" w:top="688" w:right="1440" w:bottom="1440" w:gutter="0" w:footer="0" w:header="0"/>
        </w:sectPr>
      </w:pPr>
    </w:p>
    <w:bookmarkStart w:id="153" w:name="page154"/>
    <w:bookmarkEnd w:id="153"/>
    <w:p>
      <w:pPr>
        <w:ind w:left="364" w:hanging="364"/>
        <w:spacing w:after="0"/>
        <w:tabs>
          <w:tab w:leader="none" w:pos="364" w:val="left"/>
        </w:tabs>
        <w:numPr>
          <w:ilvl w:val="0"/>
          <w:numId w:val="1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UNDERTAKINGS BY THE COMPANY.</w:t>
      </w:r>
    </w:p>
    <w:p>
      <w:pPr>
        <w:spacing w:after="0" w:line="147"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5.1. For so long as (a) any shares or Capital Notes are issuable to the Bank and/or its subsidiaries (for the avoidance of doubt, as defined in Section 1.1.2 above) pursuant to this Agreement and (b) any securities of the Company (including Capital Notes, Warrants and shares), constituting or convertible into 5% or more of any class of voting securities (as defined in the United States Code of Federal Regulations - 12 C.F.R. Section 225.2(q)) of the Company are beneficially owned by the Bank and/or its subsidiaries (for the avoidance of doubt, as defined in Section 1.1.2 above), the Company shall use its best efforts in order:</w:t>
      </w:r>
    </w:p>
    <w:p>
      <w:pPr>
        <w:spacing w:after="0" w:line="141" w:lineRule="exact"/>
        <w:rPr>
          <w:sz w:val="20"/>
          <w:szCs w:val="20"/>
          <w:color w:val="auto"/>
        </w:rPr>
      </w:pPr>
    </w:p>
    <w:p>
      <w:pPr>
        <w:jc w:val="center"/>
        <w:ind w:right="3775"/>
        <w:spacing w:after="0"/>
        <w:rPr>
          <w:sz w:val="20"/>
          <w:szCs w:val="20"/>
          <w:color w:val="auto"/>
        </w:rPr>
      </w:pPr>
      <w:r>
        <w:rPr>
          <w:rFonts w:ascii="Courier New" w:cs="Courier New" w:eastAsia="Courier New" w:hAnsi="Courier New"/>
          <w:sz w:val="12"/>
          <w:szCs w:val="12"/>
          <w:color w:val="auto"/>
        </w:rPr>
        <w:t>5.1.1. that more than 50% (fifty percent) of the consolidated assets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of the Company as of December 31 of each calendar year are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located outside of the United States (the "ASSET TEST");</w:t>
      </w:r>
    </w:p>
    <w:p>
      <w:pPr>
        <w:spacing w:after="0" w:line="147" w:lineRule="exact"/>
        <w:rPr>
          <w:sz w:val="20"/>
          <w:szCs w:val="20"/>
          <w:color w:val="auto"/>
        </w:rPr>
      </w:pPr>
    </w:p>
    <w:p>
      <w:pPr>
        <w:ind w:left="1104" w:right="4359" w:hanging="367"/>
        <w:spacing w:after="0" w:line="251" w:lineRule="auto"/>
        <w:rPr>
          <w:sz w:val="20"/>
          <w:szCs w:val="20"/>
          <w:color w:val="auto"/>
        </w:rPr>
      </w:pPr>
      <w:r>
        <w:rPr>
          <w:rFonts w:ascii="Courier New" w:cs="Courier New" w:eastAsia="Courier New" w:hAnsi="Courier New"/>
          <w:sz w:val="12"/>
          <w:szCs w:val="12"/>
          <w:color w:val="auto"/>
        </w:rPr>
        <w:t>5.1.2. that more than 50% (fifty percent) of the consolidated revenues of the Company as of December 31 of each calendar year are derived from outside the United States (the "REVENUE TEST");</w:t>
      </w:r>
    </w:p>
    <w:p>
      <w:pPr>
        <w:spacing w:after="0" w:line="140" w:lineRule="exact"/>
        <w:rPr>
          <w:sz w:val="20"/>
          <w:szCs w:val="20"/>
          <w:color w:val="auto"/>
        </w:rPr>
      </w:pPr>
    </w:p>
    <w:p>
      <w:pPr>
        <w:ind w:left="1104" w:right="4359" w:hanging="367"/>
        <w:spacing w:after="0" w:line="251" w:lineRule="auto"/>
        <w:rPr>
          <w:sz w:val="20"/>
          <w:szCs w:val="20"/>
          <w:color w:val="auto"/>
        </w:rPr>
      </w:pPr>
      <w:r>
        <w:rPr>
          <w:rFonts w:ascii="Courier New" w:cs="Courier New" w:eastAsia="Courier New" w:hAnsi="Courier New"/>
          <w:sz w:val="12"/>
          <w:szCs w:val="12"/>
          <w:color w:val="auto"/>
        </w:rPr>
        <w:t>5.1.3. that the activities of the Company within the United States and the activities of the U.S. Subsidiaries are of the same kind as or support the activities of the Company or its Non-U.S. Subsidiaries outside the United States (the "SAME LINE OF BUSINESS TEST");</w:t>
      </w:r>
    </w:p>
    <w:p>
      <w:pPr>
        <w:spacing w:after="0" w:line="281"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5.1.4. that neither the Company nor any of its subsidiaries will</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conduct activities in the United States that consist of engaging</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in the business of banking, securities, insurance or real estate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(the "FINANCIAL ACTIVITIES TEST") (for the avoidance of doubt,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nothing in the aforesaid shall derogate from the obligations of</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the Company under the Restated Facility Agreement);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5.1.5. not to engage, or permit any of its subsidiaries to engage, or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to own or permit any of its subsidiaries to own more than 5%</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(five percent) of a class of voting securities of a person that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engages, in the business of securities' underwriting or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distribution in the United States (the "NO UNDERWRITING Test")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(for the avoidance of doubt, nothing in the aforesaid shall</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derogate from the obligations of the Company under the Restated</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Facility Agreement);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5.1.6. Nothing in Sections 5.1, 5.1.1, 5.1.2, 5.1.3, 5.1.4 or 5.1.5</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above shall require the Company to prejudice the business or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financial interests of the Company and the Company may take such</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actions or refrain from taking actions that may cause it not to</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satisfy the Asset Test, the Revenue Test, the Same Line of</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Business Test, the Financial Activities Test and/or the No</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Underwriting Test, provided that the taking of such actions, or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refraining from taking such actions, are in the business or</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financial interests of the Company as reasonably determined by</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the Company;</w:t>
      </w: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- 6 -</w:t>
      </w:r>
    </w:p>
    <w:p>
      <w:pPr>
        <w:sectPr>
          <w:pgSz w:w="11900" w:h="16838" w:orient="portrait"/>
          <w:cols w:equalWidth="0" w:num="1">
            <w:col w:w="10244"/>
          </w:cols>
          <w:pgMar w:left="216" w:top="689" w:right="1440" w:bottom="1440" w:gutter="0" w:footer="0" w:header="0"/>
        </w:sectPr>
      </w:pPr>
    </w:p>
    <w:bookmarkStart w:id="154" w:name="page155"/>
    <w:bookmarkEnd w:id="154"/>
    <w:p>
      <w:pPr>
        <w:ind w:left="1104" w:right="4359" w:hanging="367"/>
        <w:spacing w:after="0" w:line="249" w:lineRule="auto"/>
        <w:rPr>
          <w:sz w:val="20"/>
          <w:szCs w:val="20"/>
          <w:color w:val="auto"/>
        </w:rPr>
      </w:pPr>
      <w:r>
        <w:rPr>
          <w:rFonts w:ascii="Courier New" w:cs="Courier New" w:eastAsia="Courier New" w:hAnsi="Courier New"/>
          <w:sz w:val="12"/>
          <w:szCs w:val="12"/>
          <w:color w:val="auto"/>
        </w:rPr>
        <w:t>5.1.7. furnish to the Bank and, subsequent to the Clause 9.4 Closing Date, any nominee of the Bank pursuant to clause 6 below, as soon as practicable (and, in any event, within thirty (30) days after the end of each calendar year), a certificate of the Chief Financial Officer of the Company, in a form reasonably satisfactory to the Bank (i) confirming whether the Company is in compliance with each of the Asset Test, the Revenue Test, the Same Line of Business Test, the Financial Activities Test and the No Underwriting Test, provided that if the Company is not in compliance with the Asset Test or the Revenue Test in a particular calendar year, the Chief Financial Officer shall describe the steps, if any, being taken by the Company to ensure compliance in the immediately following calendar year (for the removal of doubt, without derogating from Section 5.1.6 above); and (ii) setting out (a) the amount and percentage of the consolidated revenues of the Company derived from outside the United States during the immediately preceding calendar year, and</w:t>
      </w:r>
    </w:p>
    <w:p>
      <w:pPr>
        <w:spacing w:after="0" w:line="9" w:lineRule="exact"/>
        <w:rPr>
          <w:sz w:val="20"/>
          <w:szCs w:val="20"/>
          <w:color w:val="auto"/>
        </w:rPr>
      </w:pPr>
    </w:p>
    <w:p>
      <w:pPr>
        <w:ind w:left="1104" w:right="4359"/>
        <w:spacing w:after="0" w:line="251" w:lineRule="auto"/>
        <w:tabs>
          <w:tab w:leader="none" w:pos="1399" w:val="left"/>
        </w:tabs>
        <w:numPr>
          <w:ilvl w:val="0"/>
          <w:numId w:val="1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amount and percentage of the consolidated assets of the Company located outside of the United States as of December 31 of such immediately preceding calendar year; and</w:t>
      </w:r>
    </w:p>
    <w:p>
      <w:pPr>
        <w:spacing w:after="0" w:line="140" w:lineRule="exact"/>
        <w:rPr>
          <w:sz w:val="20"/>
          <w:szCs w:val="20"/>
          <w:color w:val="auto"/>
        </w:rPr>
      </w:pPr>
    </w:p>
    <w:p>
      <w:pPr>
        <w:ind w:left="1104" w:right="4359" w:hanging="367"/>
        <w:spacing w:after="0" w:line="250" w:lineRule="auto"/>
        <w:rPr>
          <w:sz w:val="20"/>
          <w:szCs w:val="20"/>
          <w:color w:val="auto"/>
        </w:rPr>
      </w:pPr>
      <w:r>
        <w:rPr>
          <w:rFonts w:ascii="Courier New" w:cs="Courier New" w:eastAsia="Courier New" w:hAnsi="Courier New"/>
          <w:sz w:val="12"/>
          <w:szCs w:val="12"/>
          <w:color w:val="auto"/>
        </w:rPr>
        <w:t>5.1.8. furnish promptly to the Bank and, subsequent to the Clause 9.4 Closing Date, any nominee of the Bank pursuant to clause 6 below, such other information as such person may reasonably request in order to satisfy their obligations to file certain reports or assess its compliance with applicable legal or regulatory requirements relating to the transactions contemplated herein.</w:t>
      </w:r>
    </w:p>
    <w:p>
      <w:pPr>
        <w:spacing w:after="0" w:line="141" w:lineRule="exact"/>
        <w:rPr>
          <w:sz w:val="20"/>
          <w:szCs w:val="20"/>
          <w:color w:val="auto"/>
        </w:rPr>
      </w:pPr>
    </w:p>
    <w:p>
      <w:pPr>
        <w:ind w:left="4" w:right="4799" w:firstLine="368"/>
        <w:spacing w:after="0" w:line="251" w:lineRule="auto"/>
        <w:rPr>
          <w:sz w:val="20"/>
          <w:szCs w:val="20"/>
          <w:color w:val="auto"/>
        </w:rPr>
      </w:pPr>
      <w:r>
        <w:rPr>
          <w:rFonts w:ascii="Courier New" w:cs="Courier New" w:eastAsia="Courier New" w:hAnsi="Courier New"/>
          <w:sz w:val="12"/>
          <w:szCs w:val="12"/>
          <w:color w:val="auto"/>
        </w:rPr>
        <w:t>5.2. The Company shall fulfil all of its obligations under the Equity Documents, including the Capital Notes issued pursuant hereto and the Registration Rights Agreement.</w:t>
      </w:r>
    </w:p>
    <w:p>
      <w:pPr>
        <w:spacing w:after="0" w:line="140" w:lineRule="exact"/>
        <w:rPr>
          <w:sz w:val="20"/>
          <w:szCs w:val="20"/>
          <w:color w:val="auto"/>
        </w:rPr>
      </w:pPr>
    </w:p>
    <w:p>
      <w:pPr>
        <w:ind w:left="4" w:right="4419" w:firstLine="368"/>
        <w:spacing w:after="0" w:line="250" w:lineRule="auto"/>
        <w:rPr>
          <w:sz w:val="20"/>
          <w:szCs w:val="20"/>
          <w:color w:val="auto"/>
        </w:rPr>
      </w:pPr>
      <w:r>
        <w:rPr>
          <w:rFonts w:ascii="Courier New" w:cs="Courier New" w:eastAsia="Courier New" w:hAnsi="Courier New"/>
          <w:sz w:val="12"/>
          <w:szCs w:val="12"/>
          <w:color w:val="auto"/>
        </w:rPr>
        <w:t>5.3. In the event that the adjustment provisions of any Capital Notes issued pursuant hereto result in additional Conversion Shares to be issued upon conversion of the Capital Notes, the Company shall promptly furnish the Bank with a copy of the approval of the TASE for listing such additional Conversion Shares (if the Company's shares are then traded on the TASE).</w:t>
      </w:r>
    </w:p>
    <w:p>
      <w:pPr>
        <w:spacing w:after="0" w:line="141"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5.4. To the extent that ordinary shares (or other shares of capital stock substituted therefor) of the Company are listed on one or more securities exchanges, including the NASDAQ and the TASE, the Company shall maintain, at its expense, the listing of the shares of the Company issued pursuant to this Agreement (including upon conversion of Capital Notes issued pursuant to this Agreement) on such exchanges or, in the event such shares of the Company are listed on only one securities exchange, such exchange. Nothing in this Section 5.4 shall constitute an obligation of the Company to list or maintain the listing of its ordinary shares (or other shares of capital stock substituted therefor) on any securities exchanges, including the NASDAQ and the TASE.</w:t>
      </w:r>
    </w:p>
    <w:p>
      <w:pPr>
        <w:spacing w:after="0" w:line="141" w:lineRule="exact"/>
        <w:rPr>
          <w:sz w:val="20"/>
          <w:szCs w:val="20"/>
          <w:color w:val="auto"/>
        </w:rPr>
      </w:pPr>
    </w:p>
    <w:p>
      <w:pPr>
        <w:ind w:left="364" w:hanging="364"/>
        <w:spacing w:after="0"/>
        <w:tabs>
          <w:tab w:leader="none" w:pos="364" w:val="left"/>
        </w:tabs>
        <w:numPr>
          <w:ilvl w:val="0"/>
          <w:numId w:val="1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CLAUSE 9.4 CLOSING; CONDITIONS PRECEDENT.</w:t>
      </w:r>
    </w:p>
    <w:p>
      <w:pPr>
        <w:spacing w:after="0" w:line="147"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The issuance and allotment of the shares of the Company, or the issuance of Capital Notes, pursuant to and in accordance with clause 9.4 of the Restated Facility Agreement (such date, the "CLAUSE 9.4 CLOSING DATE"), to the Bank or its nominee (which shall be an Affiliate of the Bank) shall be subject to the conditions set forth in clause 9.4.6 of the Restated Facility Agreement and to the conditions precedent that the Bank shall have received, by no later than 2 (two) Business Days prior to the Clause 9.4 Closing Date, all of the following documents, matters and things in form and substance satisfactory to the Bank:</w:t>
      </w:r>
    </w:p>
    <w:p>
      <w:pPr>
        <w:spacing w:after="0" w:line="283"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- 7 -</w:t>
      </w:r>
    </w:p>
    <w:p>
      <w:pPr>
        <w:sectPr>
          <w:pgSz w:w="11900" w:h="16838" w:orient="portrait"/>
          <w:cols w:equalWidth="0" w:num="1">
            <w:col w:w="10244"/>
          </w:cols>
          <w:pgMar w:left="216" w:top="689" w:right="1440" w:bottom="1440" w:gutter="0" w:footer="0" w:header="0"/>
        </w:sectPr>
      </w:pPr>
    </w:p>
    <w:bookmarkStart w:id="155" w:name="page156"/>
    <w:bookmarkEnd w:id="155"/>
    <w:p>
      <w:pPr>
        <w:ind w:left="4" w:right="4419" w:firstLine="368"/>
        <w:spacing w:after="0" w:line="250" w:lineRule="auto"/>
        <w:rPr>
          <w:sz w:val="20"/>
          <w:szCs w:val="20"/>
          <w:color w:val="auto"/>
        </w:rPr>
      </w:pPr>
      <w:r>
        <w:rPr>
          <w:rFonts w:ascii="Courier New" w:cs="Courier New" w:eastAsia="Courier New" w:hAnsi="Courier New"/>
          <w:sz w:val="12"/>
          <w:szCs w:val="12"/>
          <w:color w:val="auto"/>
        </w:rPr>
        <w:t>6.1. copies of all resolutions of the Board of Directors of the Company and, if necessary, its Audit Committee and shareholders, authorizing all agreements and acts to be performed by the Company as conditions precedent to, or otherwise in connection with, the Clause 9.4 Equity Issuances, to the extent not already authorized in the resolutions delivered on or about the Amendment Closing Date;</w:t>
      </w:r>
    </w:p>
    <w:p>
      <w:pPr>
        <w:spacing w:after="0" w:line="141" w:lineRule="exact"/>
        <w:rPr>
          <w:sz w:val="20"/>
          <w:szCs w:val="20"/>
          <w:color w:val="auto"/>
        </w:rPr>
      </w:pPr>
    </w:p>
    <w:p>
      <w:pPr>
        <w:ind w:left="4" w:right="4579" w:firstLine="368"/>
        <w:spacing w:after="0" w:line="250" w:lineRule="auto"/>
        <w:rPr>
          <w:sz w:val="20"/>
          <w:szCs w:val="20"/>
          <w:color w:val="auto"/>
        </w:rPr>
      </w:pPr>
      <w:r>
        <w:rPr>
          <w:rFonts w:ascii="Courier New" w:cs="Courier New" w:eastAsia="Courier New" w:hAnsi="Courier New"/>
          <w:sz w:val="12"/>
          <w:szCs w:val="12"/>
          <w:color w:val="auto"/>
        </w:rPr>
        <w:t>6.2. an opinion of the Company's external legal counsel, satisfactory to the Bank, addressed to the Bank and, if applicable, its nominee, MUTATIS MUTANDIS, to the Clause 9.4 Equity Issuances in the form of such opinion delivered by Yigal Arnon &amp; Co., Advocates to the Banks, on or about the Amendment Closing Date, provided that paragraphs 4.7 (i) and 5.4 shall be omitted;</w:t>
      </w:r>
    </w:p>
    <w:p>
      <w:pPr>
        <w:spacing w:after="0" w:line="141" w:lineRule="exact"/>
        <w:rPr>
          <w:sz w:val="20"/>
          <w:szCs w:val="20"/>
          <w:color w:val="auto"/>
        </w:rPr>
      </w:pPr>
    </w:p>
    <w:p>
      <w:pPr>
        <w:ind w:left="4" w:right="4359" w:firstLine="368"/>
        <w:spacing w:after="0" w:line="249" w:lineRule="auto"/>
        <w:rPr>
          <w:sz w:val="20"/>
          <w:szCs w:val="20"/>
          <w:color w:val="auto"/>
        </w:rPr>
      </w:pPr>
      <w:r>
        <w:rPr>
          <w:rFonts w:ascii="Courier New" w:cs="Courier New" w:eastAsia="Courier New" w:hAnsi="Courier New"/>
          <w:sz w:val="12"/>
          <w:szCs w:val="12"/>
          <w:color w:val="auto"/>
        </w:rPr>
        <w:t>6.3. an opinion of U.S. counsel, satisfactory to the Bank, to the effect that, based upon their review of United States federal or New York State statutes, rules and regulations which, in their opinion, based on their experience, are normally applicable to transactions of the types contemplated by clause 9.4 of the Restated Facility Agreement ("UNITED STATES APPLICABLE LAWS"),</w:t>
      </w:r>
    </w:p>
    <w:p>
      <w:pPr>
        <w:spacing w:after="0" w:line="3" w:lineRule="exact"/>
        <w:rPr>
          <w:sz w:val="20"/>
          <w:szCs w:val="20"/>
          <w:color w:val="auto"/>
        </w:rPr>
      </w:pPr>
    </w:p>
    <w:p>
      <w:pPr>
        <w:ind w:left="4" w:right="4359" w:hanging="4"/>
        <w:spacing w:after="0" w:line="250" w:lineRule="auto"/>
        <w:tabs>
          <w:tab w:leader="none" w:pos="299" w:val="left"/>
        </w:tabs>
        <w:numPr>
          <w:ilvl w:val="0"/>
          <w:numId w:val="1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subject to the effectiveness of the registration statement to be filed by the Company with respect to the Clause 9.4 Equity Issuances pursuant to the Registration Rights Agreement, no consent, approval, authorization, order, registration or qualification of or with any United States federal or New York State court or governmental agency or body is required for the sale in the United States (including through the Nasdaq Stock Market) by the Bank or its nominee of the ordinary shares to be issued or issuable upon conversion of Capital Notes or convertible debentures to be issued to the Bank or its nominee pursuant to clause 9.4 of the Restated Facility Agreement and this Agreement, provided that no opinion need be expressed with respect to state securities or Blue Sky laws; (ii) the acquisition and indefinite holding of the Capital Notes or convertible debentures (provided that, with respect to the convertible debentures, counsel shall assume, solely for purposes of rendering such opinion, that the condition set forth in Section 6.6.2 has been satisfied and that if the Company is, as of the Clause 9.4 Closing Date, satisfying the Tests (as set forth in Section 6.6.1 below) that it shall continue to satisfy the Tests) or the shares issuable in connection with the Clause 9.4 Equity Issuances by the Bank or its nominee is permissible under United States Applicable Laws, including under the Bank Holding Company Act of 1956, as amended; and (iii) the acquisition and holding of either the Capital Notes or the shares issuable in connection with the Clause 9.4 Equity Issuances by the Bank or its nominee will not be subject to the notification and filing requirements under the Hart-Scott-Rodino Antitrust Improvements Act of 1976, as amended. Such opinion shall be based upon and subject to reasonable assumptions (without derogating from the parenthetical phrase in subsection (ii) above) and limitations, provided that, if such opinion cannot be delivered, at the request of the Company, such counsel shall describe the legal basis or bases for why such opinion cannot be delivered;</w:t>
      </w:r>
    </w:p>
    <w:p>
      <w:pPr>
        <w:spacing w:after="0" w:line="283"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6.4. all of the Company's (a) representations and warranties given pursuant to this Agreement shall be repeated on the Clause 9.4 Closing Date as if made on the Clause 9.4 Closing Date, other than the representations and warranties given pursuant to the last sentence of Section 3.2 above and pursuant to Section 3.8 above, and (b) all of the Company's obligations under this Agreement and the Registration Rights Agreement to be performed on or prior to the Clause 9.4 Closing Date shall have been fulfilled, and the Company shall have delivered a certificate of its Chief Executive Officer or Chief Financial Officer to the effect of (a) and (b) in form and substance satisfactory to the Bank;</w:t>
      </w:r>
    </w:p>
    <w:p>
      <w:pPr>
        <w:spacing w:after="0" w:line="283"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- 8 -</w:t>
      </w:r>
    </w:p>
    <w:p>
      <w:pPr>
        <w:sectPr>
          <w:pgSz w:w="11900" w:h="16838" w:orient="portrait"/>
          <w:cols w:equalWidth="0" w:num="1">
            <w:col w:w="10244"/>
          </w:cols>
          <w:pgMar w:left="216" w:top="689" w:right="1440" w:bottom="1440" w:gutter="0" w:footer="0" w:header="0"/>
        </w:sectPr>
      </w:pPr>
    </w:p>
    <w:bookmarkStart w:id="156" w:name="page157"/>
    <w:bookmarkEnd w:id="156"/>
    <w:p>
      <w:pPr>
        <w:jc w:val="both"/>
        <w:ind w:right="4499" w:firstLine="368"/>
        <w:spacing w:after="0" w:line="251" w:lineRule="auto"/>
        <w:rPr>
          <w:sz w:val="20"/>
          <w:szCs w:val="20"/>
          <w:color w:val="auto"/>
        </w:rPr>
      </w:pPr>
      <w:r>
        <w:rPr>
          <w:rFonts w:ascii="Courier New" w:cs="Courier New" w:eastAsia="Courier New" w:hAnsi="Courier New"/>
          <w:sz w:val="12"/>
          <w:szCs w:val="12"/>
          <w:color w:val="auto"/>
        </w:rPr>
        <w:t>6.5. all Governmental Authorisations and third party consents required to be obtained by the Company in connection with the Clause 9.4 Equity Issuances shall have been received, including, if applicable:</w:t>
      </w:r>
    </w:p>
    <w:p>
      <w:pPr>
        <w:spacing w:after="0" w:line="140" w:lineRule="exact"/>
        <w:rPr>
          <w:sz w:val="20"/>
          <w:szCs w:val="20"/>
          <w:color w:val="auto"/>
        </w:rPr>
      </w:pPr>
    </w:p>
    <w:p>
      <w:pPr>
        <w:ind w:left="1100" w:right="4359" w:hanging="367"/>
        <w:spacing w:after="0" w:line="250" w:lineRule="auto"/>
        <w:rPr>
          <w:sz w:val="20"/>
          <w:szCs w:val="20"/>
          <w:color w:val="auto"/>
        </w:rPr>
      </w:pPr>
      <w:r>
        <w:rPr>
          <w:rFonts w:ascii="Courier New" w:cs="Courier New" w:eastAsia="Courier New" w:hAnsi="Courier New"/>
          <w:sz w:val="12"/>
          <w:szCs w:val="12"/>
          <w:color w:val="auto"/>
        </w:rPr>
        <w:t>6.5.1. confirmation of the Controller of Restrictive Trade Practices (the "CONTROLLER") that no approval is required in connection with the Clause 9.4 Equity Issuances or, if any such approval is considered by the Controller to be required, the unconditional receipt of same (provided that if the Controller shall refuse to provide such confirmation for the reason that the Controller does not see a reason to review the request for the same, such confirmation shall be deemed to have been obtained) (for the removal of doubt, if required, the Bank shall also make such a request);</w:t>
      </w:r>
    </w:p>
    <w:p>
      <w:pPr>
        <w:spacing w:after="0" w:line="141" w:lineRule="exact"/>
        <w:rPr>
          <w:sz w:val="20"/>
          <w:szCs w:val="20"/>
          <w:color w:val="auto"/>
        </w:rPr>
      </w:pPr>
    </w:p>
    <w:p>
      <w:pPr>
        <w:ind w:left="1100" w:right="4359" w:hanging="367"/>
        <w:spacing w:after="0" w:line="250" w:lineRule="auto"/>
        <w:rPr>
          <w:sz w:val="20"/>
          <w:szCs w:val="20"/>
          <w:color w:val="auto"/>
        </w:rPr>
      </w:pPr>
      <w:r>
        <w:rPr>
          <w:rFonts w:ascii="Courier New" w:cs="Courier New" w:eastAsia="Courier New" w:hAnsi="Courier New"/>
          <w:sz w:val="12"/>
          <w:szCs w:val="12"/>
          <w:color w:val="auto"/>
        </w:rPr>
        <w:t>6.5.2. the consent of the Investment Centre to the issue of shares, capital notes or convertible debentures (and shares issuable upon conversion of the Capital Notes or convertible debentures) to the Bank and, if applicable, its nominee as contemplated under clause 9.4 to the Restated Facility Agreement;</w:t>
      </w:r>
    </w:p>
    <w:p>
      <w:pPr>
        <w:spacing w:after="0" w:line="141" w:lineRule="exact"/>
        <w:rPr>
          <w:sz w:val="20"/>
          <w:szCs w:val="20"/>
          <w:color w:val="auto"/>
        </w:rPr>
      </w:pPr>
    </w:p>
    <w:p>
      <w:pPr>
        <w:ind w:left="1100" w:right="4359" w:hanging="367"/>
        <w:spacing w:after="0" w:line="250" w:lineRule="auto"/>
        <w:rPr>
          <w:sz w:val="20"/>
          <w:szCs w:val="20"/>
          <w:color w:val="auto"/>
        </w:rPr>
      </w:pPr>
      <w:r>
        <w:rPr>
          <w:rFonts w:ascii="Courier New" w:cs="Courier New" w:eastAsia="Courier New" w:hAnsi="Courier New"/>
          <w:sz w:val="12"/>
          <w:szCs w:val="12"/>
          <w:color w:val="auto"/>
        </w:rPr>
        <w:t>6.5.3. the approval of the ILA under the Existing ILA Leases, and any other long term lease agreements between the Company and the ILA, to the issue of shares, capital notes or convertible debentures (and shares issuable upon conversion of the Capital Notes or convertible debentures) to the Bank and, if applicable, its nominee as contemplated under clause 9.4 to the Restated Facility Agreement; and</w:t>
      </w:r>
    </w:p>
    <w:p>
      <w:pPr>
        <w:spacing w:after="0" w:line="141" w:lineRule="exact"/>
        <w:rPr>
          <w:sz w:val="20"/>
          <w:szCs w:val="20"/>
          <w:color w:val="auto"/>
        </w:rPr>
      </w:pPr>
    </w:p>
    <w:p>
      <w:pPr>
        <w:jc w:val="both"/>
        <w:ind w:right="4879" w:firstLine="368"/>
        <w:spacing w:after="0" w:line="251" w:lineRule="auto"/>
        <w:rPr>
          <w:sz w:val="20"/>
          <w:szCs w:val="20"/>
          <w:color w:val="auto"/>
        </w:rPr>
      </w:pPr>
      <w:r>
        <w:rPr>
          <w:rFonts w:ascii="Courier New" w:cs="Courier New" w:eastAsia="Courier New" w:hAnsi="Courier New"/>
          <w:sz w:val="12"/>
          <w:szCs w:val="12"/>
          <w:color w:val="auto"/>
        </w:rPr>
        <w:t>6.6. provided that the first paragraph of Section 5.1 is applicable, confirmation from the Chief Financial Officer of the Company, in form and substance satisfactory to the Bank, that the Company:</w:t>
      </w:r>
    </w:p>
    <w:p>
      <w:pPr>
        <w:spacing w:after="0" w:line="140"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2"/>
          <w:szCs w:val="12"/>
          <w:color w:val="auto"/>
        </w:rPr>
        <w:t>6.6.1. has satisfied the Asset Test, the Revenue Test, the Same Line</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of Business Test, the Financial Activities Test and the No</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Underwriting Test (collectively, the "TESTS") as of December 31</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in each of the two years immediately prior to the year in which</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the Clause 9.4 Closing Date falls, and meets, on the Clause 9.4</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Closing Date, the Same Line of Business Test, the Financial</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Activities Test and the No Underwriting Test; and</w:t>
      </w:r>
    </w:p>
    <w:p>
      <w:pPr>
        <w:spacing w:after="0" w:line="147" w:lineRule="exact"/>
        <w:rPr>
          <w:sz w:val="20"/>
          <w:szCs w:val="20"/>
          <w:color w:val="auto"/>
        </w:rPr>
      </w:pPr>
    </w:p>
    <w:p>
      <w:pPr>
        <w:ind w:left="1100" w:right="4359" w:hanging="367"/>
        <w:spacing w:after="0" w:line="251" w:lineRule="auto"/>
        <w:rPr>
          <w:sz w:val="20"/>
          <w:szCs w:val="20"/>
          <w:color w:val="auto"/>
        </w:rPr>
      </w:pPr>
      <w:r>
        <w:rPr>
          <w:rFonts w:ascii="Courier New" w:cs="Courier New" w:eastAsia="Courier New" w:hAnsi="Courier New"/>
          <w:sz w:val="12"/>
          <w:szCs w:val="12"/>
          <w:color w:val="auto"/>
        </w:rPr>
        <w:t>6.6.2. is not aware of any reason why it would not continue to satisfy each of the Tests during the then current year and the immediately following year.</w:t>
      </w:r>
    </w:p>
    <w:p>
      <w:pPr>
        <w:spacing w:after="0" w:line="281"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- 9 -</w:t>
      </w:r>
    </w:p>
    <w:p>
      <w:pPr>
        <w:sectPr>
          <w:pgSz w:w="11900" w:h="16838" w:orient="portrait"/>
          <w:cols w:equalWidth="0" w:num="1">
            <w:col w:w="10239"/>
          </w:cols>
          <w:pgMar w:left="220" w:top="689" w:right="1440" w:bottom="1440" w:gutter="0" w:footer="0" w:header="0"/>
        </w:sectPr>
      </w:pPr>
    </w:p>
    <w:bookmarkStart w:id="157" w:name="page158"/>
    <w:bookmarkEnd w:id="157"/>
    <w:tbl>
      <w:tblPr>
        <w:tblLayout w:type="fixed"/>
        <w:tblInd w:w="4" w:type="dxa"/>
        <w:tblCellMar>
          <w:top w:w="0" w:type="dxa"/>
          <w:left w:w="0" w:type="dxa"/>
          <w:bottom w:w="0" w:type="dxa"/>
          <w:right w:w="0" w:type="dxa"/>
        </w:tblCellMar>
      </w:tblPr>
      <w:tr>
        <w:trPr>
          <w:trHeight w:val="138"/>
        </w:trPr>
        <w:tc>
          <w:tcPr>
            <w:tcW w:w="3720" w:type="dxa"/>
            <w:vAlign w:val="bottom"/>
          </w:tcPr>
          <w:p>
            <w:pPr>
              <w:spacing w:after="0"/>
              <w:rPr>
                <w:sz w:val="20"/>
                <w:szCs w:val="20"/>
                <w:color w:val="auto"/>
              </w:rPr>
            </w:pPr>
            <w:r>
              <w:rPr>
                <w:rFonts w:ascii="Courier New" w:cs="Courier New" w:eastAsia="Courier New" w:hAnsi="Courier New"/>
                <w:sz w:val="12"/>
                <w:szCs w:val="12"/>
                <w:color w:val="auto"/>
              </w:rPr>
              <w:t>In the event that the conditions precedent set out</w:t>
            </w:r>
          </w:p>
        </w:tc>
        <w:tc>
          <w:tcPr>
            <w:tcW w:w="1320" w:type="dxa"/>
            <w:vAlign w:val="bottom"/>
          </w:tcPr>
          <w:p>
            <w:pPr>
              <w:ind w:left="40"/>
              <w:spacing w:after="0"/>
              <w:rPr>
                <w:sz w:val="20"/>
                <w:szCs w:val="20"/>
                <w:color w:val="auto"/>
              </w:rPr>
            </w:pPr>
            <w:r>
              <w:rPr>
                <w:rFonts w:ascii="Courier New" w:cs="Courier New" w:eastAsia="Courier New" w:hAnsi="Courier New"/>
                <w:sz w:val="12"/>
                <w:szCs w:val="12"/>
                <w:color w:val="auto"/>
              </w:rPr>
              <w:t>in this Section 6</w:t>
            </w:r>
          </w:p>
        </w:tc>
        <w:tc>
          <w:tcPr>
            <w:tcW w:w="84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above and</w:t>
            </w:r>
          </w:p>
        </w:tc>
      </w:tr>
      <w:tr>
        <w:trPr>
          <w:trHeight w:val="142"/>
        </w:trPr>
        <w:tc>
          <w:tcPr>
            <w:tcW w:w="3720" w:type="dxa"/>
            <w:vAlign w:val="bottom"/>
          </w:tcPr>
          <w:p>
            <w:pPr>
              <w:spacing w:after="0"/>
              <w:rPr>
                <w:sz w:val="20"/>
                <w:szCs w:val="20"/>
                <w:color w:val="auto"/>
              </w:rPr>
            </w:pPr>
            <w:r>
              <w:rPr>
                <w:rFonts w:ascii="Courier New" w:cs="Courier New" w:eastAsia="Courier New" w:hAnsi="Courier New"/>
                <w:sz w:val="12"/>
                <w:szCs w:val="12"/>
                <w:color w:val="auto"/>
              </w:rPr>
              <w:t>in clause 9.4.6 of the Restated Facility Agreement</w:t>
            </w:r>
          </w:p>
        </w:tc>
        <w:tc>
          <w:tcPr>
            <w:tcW w:w="17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are not satisfied by no</w:t>
            </w:r>
          </w:p>
        </w:tc>
        <w:tc>
          <w:tcPr>
            <w:tcW w:w="400" w:type="dxa"/>
            <w:vAlign w:val="bottom"/>
          </w:tcPr>
          <w:p>
            <w:pPr>
              <w:ind w:left="40"/>
              <w:spacing w:after="0"/>
              <w:rPr>
                <w:sz w:val="20"/>
                <w:szCs w:val="20"/>
                <w:color w:val="auto"/>
              </w:rPr>
            </w:pPr>
            <w:r>
              <w:rPr>
                <w:rFonts w:ascii="Courier New" w:cs="Courier New" w:eastAsia="Courier New" w:hAnsi="Courier New"/>
                <w:sz w:val="12"/>
                <w:szCs w:val="12"/>
                <w:color w:val="auto"/>
                <w:w w:val="94"/>
              </w:rPr>
              <w:t>later</w:t>
            </w:r>
          </w:p>
        </w:tc>
      </w:tr>
      <w:tr>
        <w:trPr>
          <w:trHeight w:val="142"/>
        </w:trPr>
        <w:tc>
          <w:tcPr>
            <w:tcW w:w="3720" w:type="dxa"/>
            <w:vAlign w:val="bottom"/>
          </w:tcPr>
          <w:p>
            <w:pPr>
              <w:spacing w:after="0"/>
              <w:rPr>
                <w:sz w:val="20"/>
                <w:szCs w:val="20"/>
                <w:color w:val="auto"/>
              </w:rPr>
            </w:pPr>
            <w:r>
              <w:rPr>
                <w:rFonts w:ascii="Courier New" w:cs="Courier New" w:eastAsia="Courier New" w:hAnsi="Courier New"/>
                <w:sz w:val="12"/>
                <w:szCs w:val="12"/>
                <w:color w:val="auto"/>
              </w:rPr>
              <w:t>than 2 (two) Business Days prior to the Clause 9.4</w:t>
            </w:r>
          </w:p>
        </w:tc>
        <w:tc>
          <w:tcPr>
            <w:tcW w:w="17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Closing Date, including</w:t>
            </w:r>
          </w:p>
        </w:tc>
        <w:tc>
          <w:tcPr>
            <w:tcW w:w="400" w:type="dxa"/>
            <w:vAlign w:val="bottom"/>
          </w:tcPr>
          <w:p>
            <w:pPr>
              <w:ind w:left="40"/>
              <w:spacing w:after="0"/>
              <w:rPr>
                <w:sz w:val="20"/>
                <w:szCs w:val="20"/>
                <w:color w:val="auto"/>
              </w:rPr>
            </w:pPr>
            <w:r>
              <w:rPr>
                <w:rFonts w:ascii="Courier New" w:cs="Courier New" w:eastAsia="Courier New" w:hAnsi="Courier New"/>
                <w:sz w:val="12"/>
                <w:szCs w:val="12"/>
                <w:color w:val="auto"/>
              </w:rPr>
              <w:t>if a</w:t>
            </w:r>
          </w:p>
        </w:tc>
      </w:tr>
      <w:tr>
        <w:trPr>
          <w:trHeight w:val="142"/>
        </w:trPr>
        <w:tc>
          <w:tcPr>
            <w:tcW w:w="3720" w:type="dxa"/>
            <w:vAlign w:val="bottom"/>
          </w:tcPr>
          <w:p>
            <w:pPr>
              <w:spacing w:after="0"/>
              <w:rPr>
                <w:sz w:val="20"/>
                <w:szCs w:val="20"/>
                <w:color w:val="auto"/>
              </w:rPr>
            </w:pPr>
            <w:r>
              <w:rPr>
                <w:rFonts w:ascii="Courier New" w:cs="Courier New" w:eastAsia="Courier New" w:hAnsi="Courier New"/>
                <w:sz w:val="12"/>
                <w:szCs w:val="12"/>
                <w:color w:val="auto"/>
              </w:rPr>
              <w:t>representation and warranty that is to be repeated</w:t>
            </w:r>
          </w:p>
        </w:tc>
        <w:tc>
          <w:tcPr>
            <w:tcW w:w="216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cannot be repeated, then the</w:t>
            </w:r>
          </w:p>
        </w:tc>
      </w:tr>
      <w:tr>
        <w:trPr>
          <w:trHeight w:val="142"/>
        </w:trPr>
        <w:tc>
          <w:tcPr>
            <w:tcW w:w="3720" w:type="dxa"/>
            <w:vAlign w:val="bottom"/>
          </w:tcPr>
          <w:p>
            <w:pPr>
              <w:spacing w:after="0"/>
              <w:rPr>
                <w:sz w:val="20"/>
                <w:szCs w:val="20"/>
                <w:color w:val="auto"/>
              </w:rPr>
            </w:pPr>
            <w:r>
              <w:rPr>
                <w:rFonts w:ascii="Courier New" w:cs="Courier New" w:eastAsia="Courier New" w:hAnsi="Courier New"/>
                <w:sz w:val="12"/>
                <w:szCs w:val="12"/>
                <w:color w:val="auto"/>
              </w:rPr>
              <w:t>Clause 9.4.1 Amount or the Clause 9.4.2 Amount, as</w:t>
            </w:r>
          </w:p>
        </w:tc>
        <w:tc>
          <w:tcPr>
            <w:tcW w:w="216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applicable, shall be paid in</w:t>
            </w:r>
          </w:p>
        </w:tc>
      </w:tr>
    </w:tbl>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cash by the Company to the Bank or its nominee on the Clause 9.4 Closing Date,</w:t>
      </w:r>
    </w:p>
    <w:p>
      <w:pPr>
        <w:spacing w:after="0" w:line="6" w:lineRule="exact"/>
        <w:rPr>
          <w:sz w:val="20"/>
          <w:szCs w:val="20"/>
          <w:color w:val="auto"/>
        </w:rPr>
      </w:pPr>
    </w:p>
    <w:p>
      <w:pPr>
        <w:ind w:left="4" w:right="4359" w:hanging="4"/>
        <w:spacing w:after="0" w:line="250" w:lineRule="auto"/>
        <w:tabs>
          <w:tab w:leader="none" w:pos="299" w:val="left"/>
        </w:tabs>
        <w:numPr>
          <w:ilvl w:val="0"/>
          <w:numId w:val="1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provided however, if said conditions precedent set out in this Section 6 above and in Clause 9.4.6 of the Restated Facility Agreement are otherwise satisfied, by no later than 2 (two) Business Days prior to the Clause 9.4 Closing Date, with respect to the issuance of Capital Notes instead of shares, then the Clause 9.4.1 Amount or the Clause 9.4.2 Amount, as applicable, will not be paid in cash by the Company and Capital Notes shall be issued as contemplated by Section 7.1 below; and (b) provided further that, if all said conditions precedent, other than as set forth in Section 6.6.2 above, are satisfied by no later than 2 (two) Business Days prior to the Clause 9.4 Closing Date, then the Clause 9.4.1 Amount or the Clause 9.4.2 Amount, as applicable, will, at the option of the Company, in its sole discretion, either be paid in cash or by way of issue of convertible debentures that will (except for consequential changes flowing from the redemption right described below) have the same terms as the Capital Notes (including, for the removal of doubt, that such convertible debentures will not bear interest or be linked to any index), save that the Bank or its nominee or other Affiliate thereof holding said convertible debentures (the "HOLDER") shall have the right to require the Company to redeem the convertible debentures, in whole or in part, on the date which is 30 (thirty) months after the Clause 9.4 Closing Date (or, if such date is not a Business Day, on the Business Day immediately prior to such anniversary) (the "REDEMPTION DATE"), for an amount in cash equal to the then principal amount thereof submitted for redemption, upon the giving by the Holder to the Company of at least 30 (thirty) days prior written notice. For the avoidance of doubt, if such redemption right is not exercised by a Holder as aforesaid, said convertible debentures shall remain convertible into shares of the Company and shall, subsequent to the Redemption Date, only be payable in accordance with clause 2 of the Capital Note.</w:t>
      </w:r>
    </w:p>
    <w:p>
      <w:pPr>
        <w:spacing w:after="0" w:line="141" w:lineRule="exact"/>
        <w:rPr>
          <w:sz w:val="20"/>
          <w:szCs w:val="20"/>
          <w:color w:val="auto"/>
        </w:rPr>
      </w:pPr>
    </w:p>
    <w:p>
      <w:pPr>
        <w:ind w:left="364" w:hanging="364"/>
        <w:spacing w:after="0"/>
        <w:tabs>
          <w:tab w:leader="none" w:pos="364" w:val="left"/>
        </w:tabs>
        <w:numPr>
          <w:ilvl w:val="0"/>
          <w:numId w:val="1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TRANSACTIONS UPON THE CLAUSE 9.4 CLOSING.</w:t>
      </w:r>
    </w:p>
    <w:p>
      <w:pPr>
        <w:spacing w:after="0" w:line="147" w:lineRule="exact"/>
        <w:rPr>
          <w:sz w:val="20"/>
          <w:szCs w:val="20"/>
          <w:color w:val="auto"/>
        </w:rPr>
      </w:pPr>
    </w:p>
    <w:p>
      <w:pPr>
        <w:jc w:val="both"/>
        <w:ind w:left="4" w:right="4359" w:firstLine="368"/>
        <w:spacing w:after="0" w:line="251" w:lineRule="auto"/>
        <w:rPr>
          <w:sz w:val="20"/>
          <w:szCs w:val="20"/>
          <w:color w:val="auto"/>
        </w:rPr>
      </w:pPr>
      <w:r>
        <w:rPr>
          <w:rFonts w:ascii="Courier New" w:cs="Courier New" w:eastAsia="Courier New" w:hAnsi="Courier New"/>
          <w:sz w:val="12"/>
          <w:szCs w:val="12"/>
          <w:color w:val="auto"/>
        </w:rPr>
        <w:t>Subject to the fulfilment of the conditions precedent set out in Section 6 above and in clause 9.4.6 of the Restated Facility Agreement, on the Clause 9.4 Closing Date (unless cash is payable pursuant to Section 6 above or clause 9.4.6 of the Restated Facility Agreement):</w:t>
      </w:r>
    </w:p>
    <w:p>
      <w:pPr>
        <w:spacing w:after="0" w:line="139"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7.1. the Company shall issue (and, in the case of shares, allot) to the Bank or its nominee either (a) such number of shares in the name of the Bank or its nominee as provided in clause 9.4.1 or clause 9.4.2 (as adjusted, if applicable, pursuant to clauses 9.4.7 and 9.4.9) of the Restated Facility Agreement and shall send irrevocable instructions to its stock transfer agent to issue a share certificate in respect of such shares (the Bank or its nominee may elect to deliver to Tower an undertaking not to exercise means of control in respect of such shares for a certain period) or (b) (i) at the election of the Bank or its nominee, or if the proviso set forth in subsection (a) in the last paragraph of Section 6 is applicable, Capital Notes or (ii) if the proviso set forth in subsection (b) in the last paragraph of Section 6 is applicable (and the Company has not elected to pay cash), convertible debentures, in each case, substantially in the form attached as EXHIBIT 1 hereto (save that, in the case of the convertible debentures, a provision granting the redemption right described in subsection (b) in the last paragraph of Section 6 and consequential changes flowing from such redemption right shall be made, in form and substance satisfactory to the Holder), as the case may be, in the principal amounts provided in clause 9.4.1 or clause 9.4.2 (as adjusted, if applicable, pursuant to clauses 9.4.7 and 9.4.9) of the Restated Facility Agreement, as applicable, convertible into shares at the Average Closing Price (as defined in clause 9.4.1 of the Restated Facility Agreement) (subject to adjustments as provided in the Capital Notes);</w:t>
      </w:r>
    </w:p>
    <w:p>
      <w:pPr>
        <w:spacing w:after="0" w:line="141"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7.2. the Company shall deliver to the Bank or, if applicable, its nominee a copy of the approval of the TASE for listing the shares issued or issuable pursuant to clause 7.1 above (if the Company's shares are then traded on the TASE); and</w:t>
      </w:r>
    </w:p>
    <w:p>
      <w:pPr>
        <w:spacing w:after="0" w:line="139" w:lineRule="exact"/>
        <w:rPr>
          <w:sz w:val="20"/>
          <w:szCs w:val="20"/>
          <w:color w:val="auto"/>
        </w:rPr>
      </w:pPr>
    </w:p>
    <w:p>
      <w:pPr>
        <w:jc w:val="both"/>
        <w:ind w:left="4" w:right="4499" w:firstLine="368"/>
        <w:spacing w:after="0" w:line="251" w:lineRule="auto"/>
        <w:rPr>
          <w:sz w:val="20"/>
          <w:szCs w:val="20"/>
          <w:color w:val="auto"/>
        </w:rPr>
      </w:pPr>
      <w:r>
        <w:rPr>
          <w:rFonts w:ascii="Courier New" w:cs="Courier New" w:eastAsia="Courier New" w:hAnsi="Courier New"/>
          <w:sz w:val="12"/>
          <w:szCs w:val="12"/>
          <w:color w:val="auto"/>
        </w:rPr>
        <w:t>7.3. the Company shall record such issuance of the shares or Capital Note in the name of the Bank, or, if applicable, its nominee on the records of the Company.</w:t>
      </w:r>
    </w:p>
    <w:p>
      <w:pPr>
        <w:spacing w:after="0" w:line="281"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- 10 -</w:t>
      </w:r>
    </w:p>
    <w:p>
      <w:pPr>
        <w:sectPr>
          <w:pgSz w:w="11900" w:h="16838" w:orient="portrait"/>
          <w:cols w:equalWidth="0" w:num="1">
            <w:col w:w="10244"/>
          </w:cols>
          <w:pgMar w:left="216" w:top="689" w:right="1440" w:bottom="1440" w:gutter="0" w:footer="0" w:header="0"/>
        </w:sectPr>
      </w:pPr>
    </w:p>
    <w:bookmarkStart w:id="158" w:name="page159"/>
    <w:bookmarkEnd w:id="158"/>
    <w:p>
      <w:pPr>
        <w:ind w:left="364" w:hanging="364"/>
        <w:spacing w:after="0"/>
        <w:tabs>
          <w:tab w:leader="none" w:pos="364" w:val="left"/>
        </w:tabs>
        <w:numPr>
          <w:ilvl w:val="0"/>
          <w:numId w:val="1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MISCELLANEOUS.</w:t>
      </w:r>
    </w:p>
    <w:p>
      <w:pPr>
        <w:spacing w:after="0" w:line="147" w:lineRule="exact"/>
        <w:rPr>
          <w:sz w:val="20"/>
          <w:szCs w:val="20"/>
          <w:color w:val="auto"/>
        </w:rPr>
      </w:pPr>
    </w:p>
    <w:p>
      <w:pPr>
        <w:ind w:left="4" w:right="4419" w:firstLine="368"/>
        <w:spacing w:after="0" w:line="250" w:lineRule="auto"/>
        <w:rPr>
          <w:sz w:val="20"/>
          <w:szCs w:val="20"/>
          <w:color w:val="auto"/>
        </w:rPr>
      </w:pPr>
      <w:r>
        <w:rPr>
          <w:rFonts w:ascii="Courier New" w:cs="Courier New" w:eastAsia="Courier New" w:hAnsi="Courier New"/>
          <w:sz w:val="12"/>
          <w:szCs w:val="12"/>
          <w:color w:val="auto"/>
        </w:rPr>
        <w:t>8.1. GOVERNING LAW; JURISDICTION. This Agreement shall be governed by and shall be construed in accordance with Israeli law and the courts of Tel-Aviv-Jaffa shall have exclusive jurisdiction to hear any matters, provided that the Bank and any other Affiliate of the Bank party to this Agreement shall be entitled to sue Tower in any jurisdiction in which it has an office or holds assets.</w:t>
      </w:r>
    </w:p>
    <w:p>
      <w:pPr>
        <w:spacing w:after="0" w:line="141" w:lineRule="exact"/>
        <w:rPr>
          <w:sz w:val="20"/>
          <w:szCs w:val="20"/>
          <w:color w:val="auto"/>
        </w:rPr>
      </w:pPr>
    </w:p>
    <w:p>
      <w:pPr>
        <w:ind w:left="4" w:right="4419" w:firstLine="368"/>
        <w:spacing w:after="0" w:line="250" w:lineRule="auto"/>
        <w:rPr>
          <w:sz w:val="20"/>
          <w:szCs w:val="20"/>
          <w:color w:val="auto"/>
        </w:rPr>
      </w:pPr>
      <w:r>
        <w:rPr>
          <w:rFonts w:ascii="Courier New" w:cs="Courier New" w:eastAsia="Courier New" w:hAnsi="Courier New"/>
          <w:sz w:val="12"/>
          <w:szCs w:val="12"/>
          <w:color w:val="auto"/>
        </w:rPr>
        <w:t>8.2. SUCCESSORS AND ASSIGNS; ASSIGNMENT. Except as otherwise expressly limited herein, the provisions hereof shall inure to the benefit of, and be binding upon, the successors and permitted assigns of the parties hereto. This Agreement may not be assigned by any party without the prior written consent of the other party hereto, provided that the Bank may assign this Agreement, in whole or in part, to any Affiliate of the Bank or add an Affiliate of the Bank as an additional party hereto, including, for the avoidance of doubt, any nominee of the Bank in connection with the Clause 9.4 Equity Issuances. Nothing in this Agreement shall be deemed to restrict the (a) transferability of the shares, convertible debentures and Capital Notes to be issued pursuant to this Agreement or the Conversion Shares, in each case, in whole or in part at any time and from time to time, except for restrictions on transfer imposed by applicable securities laws or (b) the assignability of the registration rights in accordance with the Registration Rights Agreement.</w:t>
      </w:r>
    </w:p>
    <w:p>
      <w:pPr>
        <w:spacing w:after="0" w:line="141" w:lineRule="exact"/>
        <w:rPr>
          <w:sz w:val="20"/>
          <w:szCs w:val="20"/>
          <w:color w:val="auto"/>
        </w:rPr>
      </w:pPr>
    </w:p>
    <w:p>
      <w:pPr>
        <w:ind w:left="4" w:right="4359" w:firstLine="368"/>
        <w:spacing w:after="0" w:line="251" w:lineRule="auto"/>
        <w:rPr>
          <w:sz w:val="20"/>
          <w:szCs w:val="20"/>
          <w:color w:val="auto"/>
        </w:rPr>
      </w:pPr>
      <w:r>
        <w:rPr>
          <w:rFonts w:ascii="Courier New" w:cs="Courier New" w:eastAsia="Courier New" w:hAnsi="Courier New"/>
          <w:sz w:val="12"/>
          <w:szCs w:val="12"/>
          <w:color w:val="auto"/>
        </w:rPr>
        <w:t>8.3. EXPENSES. The Company shall bear the expenses and costs of all the parties to the transactions contemplated hereby (including the fees and expenses of counsel to the Bank and any nominee of the Bank that is an Affiliate of the Bank in connection with the Clause 9.4 Equity Issuances).</w:t>
      </w:r>
    </w:p>
    <w:p>
      <w:pPr>
        <w:spacing w:after="0" w:line="139"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8.4. ENTIRE AGREEMENT; AMENDMENT AND WAIVER. This Agreement constitutes the full and entire understanding and agreement between the parties with regard to the subject matter 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141"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8.5. NOTICES, ETC. 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ectPr>
          <w:pgSz w:w="11900" w:h="16838" w:orient="portrait"/>
          <w:cols w:equalWidth="0" w:num="1">
            <w:col w:w="10244"/>
          </w:cols>
          <w:pgMar w:left="216" w:top="689" w:right="1440" w:bottom="1440" w:gutter="0" w:footer="0" w:header="0"/>
        </w:sectPr>
      </w:pPr>
    </w:p>
    <w:p>
      <w:pPr>
        <w:spacing w:after="0" w:line="141" w:lineRule="exact"/>
        <w:rPr>
          <w:sz w:val="20"/>
          <w:szCs w:val="20"/>
          <w:color w:val="auto"/>
        </w:rPr>
      </w:pPr>
    </w:p>
    <w:p>
      <w:pPr>
        <w:jc w:val="center"/>
        <w:ind w:left="664"/>
        <w:spacing w:after="0"/>
        <w:rPr>
          <w:sz w:val="20"/>
          <w:szCs w:val="20"/>
          <w:color w:val="auto"/>
        </w:rPr>
      </w:pPr>
      <w:r>
        <w:rPr>
          <w:rFonts w:ascii="Courier New" w:cs="Courier New" w:eastAsia="Courier New" w:hAnsi="Courier New"/>
          <w:sz w:val="12"/>
          <w:szCs w:val="12"/>
          <w:color w:val="auto"/>
        </w:rPr>
        <w:t>If to the Bank:</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Corporate Division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34 Yehuda Halevi Street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Tel-Aviv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Israel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Fax. 972-3-5149278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Attn: Manager of Hi-Tech Industries Section</w:t>
      </w:r>
    </w:p>
    <w:p>
      <w:pPr>
        <w:spacing w:after="0" w:line="147" w:lineRule="exact"/>
        <w:rPr>
          <w:sz w:val="20"/>
          <w:szCs w:val="20"/>
          <w:color w:val="auto"/>
        </w:rPr>
      </w:pPr>
    </w:p>
    <w:p>
      <w:pPr>
        <w:sectPr>
          <w:pgSz w:w="11900" w:h="16838" w:orient="portrait"/>
          <w:cols w:equalWidth="0" w:num="2">
            <w:col w:w="1924" w:space="720"/>
            <w:col w:w="7599"/>
          </w:cols>
          <w:pgMar w:left="216" w:top="689" w:right="1440" w:bottom="1440" w:gutter="0" w:footer="0" w:header="0"/>
          <w:type w:val="continuous"/>
        </w:sectPr>
      </w:pPr>
    </w:p>
    <w:p>
      <w:pPr>
        <w:ind w:left="744"/>
        <w:spacing w:after="0" w:line="251" w:lineRule="auto"/>
        <w:rPr>
          <w:sz w:val="20"/>
          <w:szCs w:val="20"/>
          <w:color w:val="auto"/>
        </w:rPr>
      </w:pPr>
      <w:r>
        <w:rPr>
          <w:rFonts w:ascii="Courier New" w:cs="Courier New" w:eastAsia="Courier New" w:hAnsi="Courier New"/>
          <w:sz w:val="12"/>
          <w:szCs w:val="12"/>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Leumi and Co. Investment House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25 Kalisher Street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Tel-Aviv 65165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Israel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Fax: 972-3-5141215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Attn: Head of Investment Sector</w:t>
      </w:r>
    </w:p>
    <w:p>
      <w:pPr>
        <w:spacing w:after="0" w:line="200" w:lineRule="exact"/>
        <w:rPr>
          <w:sz w:val="20"/>
          <w:szCs w:val="20"/>
          <w:color w:val="auto"/>
        </w:rPr>
      </w:pPr>
    </w:p>
    <w:p>
      <w:pPr>
        <w:sectPr>
          <w:pgSz w:w="11900" w:h="16838" w:orient="portrait"/>
          <w:cols w:equalWidth="0" w:num="2">
            <w:col w:w="2144" w:space="500"/>
            <w:col w:w="7599"/>
          </w:cols>
          <w:pgMar w:left="216" w:top="689" w:right="1440" w:bottom="1440" w:gutter="0" w:footer="0" w:header="0"/>
          <w:type w:val="continuous"/>
        </w:sectPr>
      </w:pPr>
    </w:p>
    <w:p>
      <w:pPr>
        <w:spacing w:after="0" w:line="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- 11 -</w:t>
      </w:r>
    </w:p>
    <w:p>
      <w:pPr>
        <w:sectPr>
          <w:pgSz w:w="11900" w:h="16838" w:orient="portrait"/>
          <w:cols w:equalWidth="0" w:num="1">
            <w:col w:w="10244"/>
          </w:cols>
          <w:pgMar w:left="216" w:top="689" w:right="1440" w:bottom="1440" w:gutter="0" w:footer="0" w:header="0"/>
          <w:type w:val="continuous"/>
        </w:sectPr>
      </w:pPr>
    </w:p>
    <w:bookmarkStart w:id="159" w:name="page160"/>
    <w:bookmarkEnd w:id="159"/>
    <w:p>
      <w:pPr>
        <w:ind w:left="740"/>
        <w:spacing w:after="0"/>
        <w:rPr>
          <w:sz w:val="20"/>
          <w:szCs w:val="20"/>
          <w:color w:val="auto"/>
        </w:rPr>
      </w:pPr>
      <w:r>
        <w:rPr>
          <w:rFonts w:ascii="Courier New" w:cs="Courier New" w:eastAsia="Courier New" w:hAnsi="Courier New"/>
          <w:sz w:val="12"/>
          <w:szCs w:val="12"/>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Tower Semiconductor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Ramat Gavriel Industrial Area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P.O. Box 619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Migdal Haemek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Israel 23105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Fax. 972-4-6047242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Attn: Oren Shirazi, Acting CFO</w:t>
      </w:r>
    </w:p>
    <w:p>
      <w:pPr>
        <w:spacing w:after="0" w:line="6" w:lineRule="exact"/>
        <w:rPr>
          <w:sz w:val="20"/>
          <w:szCs w:val="20"/>
          <w:color w:val="auto"/>
        </w:rPr>
      </w:pPr>
    </w:p>
    <w:p>
      <w:pPr>
        <w:sectPr>
          <w:pgSz w:w="11900" w:h="16838" w:orient="portrait"/>
          <w:cols w:equalWidth="0" w:num="2">
            <w:col w:w="2060" w:space="580"/>
            <w:col w:w="7599"/>
          </w:cols>
          <w:pgMar w:left="220" w:top="689" w:right="1440" w:bottom="1440" w:gutter="0" w:footer="0" w:header="0"/>
        </w:sectPr>
      </w:pPr>
    </w:p>
    <w:p>
      <w:pPr>
        <w:ind w:left="740"/>
        <w:spacing w:after="0" w:line="251" w:lineRule="auto"/>
        <w:rPr>
          <w:sz w:val="20"/>
          <w:szCs w:val="20"/>
          <w:color w:val="auto"/>
        </w:rPr>
      </w:pPr>
      <w:r>
        <w:rPr>
          <w:rFonts w:ascii="Courier New" w:cs="Courier New" w:eastAsia="Courier New" w:hAnsi="Courier New"/>
          <w:sz w:val="12"/>
          <w:szCs w:val="12"/>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Yigal Arnon &amp;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 Azrieli Center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46th Floor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Tel-Aviv, Israel, 67021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Fax: 972-3-6087714</w:t>
      </w:r>
    </w:p>
    <w:p>
      <w:pPr>
        <w:spacing w:after="0" w:line="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2"/>
          <w:szCs w:val="12"/>
          <w:color w:val="auto"/>
        </w:rPr>
        <w:t>Attn:</w:t>
        <w:tab/>
        <w:t>David Schapiro, Adv.</w:t>
      </w:r>
    </w:p>
    <w:p>
      <w:pPr>
        <w:spacing w:after="0" w:line="147" w:lineRule="exact"/>
        <w:rPr>
          <w:sz w:val="20"/>
          <w:szCs w:val="20"/>
          <w:color w:val="auto"/>
        </w:rPr>
      </w:pPr>
    </w:p>
    <w:p>
      <w:pPr>
        <w:sectPr>
          <w:pgSz w:w="11900" w:h="16838" w:orient="portrait"/>
          <w:cols w:equalWidth="0" w:num="2">
            <w:col w:w="2140" w:space="500"/>
            <w:col w:w="7599"/>
          </w:cols>
          <w:pgMar w:left="220" w:top="689" w:right="1440" w:bottom="1440" w:gutter="0" w:footer="0" w:header="0"/>
          <w:type w:val="continuous"/>
        </w:sectPr>
      </w:pPr>
    </w:p>
    <w:p>
      <w:pPr>
        <w:ind w:right="4499" w:firstLine="368"/>
        <w:spacing w:after="0" w:line="250" w:lineRule="auto"/>
        <w:rPr>
          <w:sz w:val="20"/>
          <w:szCs w:val="20"/>
          <w:color w:val="auto"/>
        </w:rPr>
      </w:pPr>
      <w:r>
        <w:rPr>
          <w:rFonts w:ascii="Courier New" w:cs="Courier New" w:eastAsia="Courier New" w:hAnsi="Courier New"/>
          <w:sz w:val="12"/>
          <w:szCs w:val="12"/>
          <w:color w:val="auto"/>
        </w:rPr>
        <w:t>or such other address with respect to a party as such party shall notify each other party in writing as above provided. Any notice sent in accordance with this Section 8.5 shall be effective (i) if mailed, five (5) business days after mailing, (ii) if sent by messenger, upon delivery, and (iii) if sent via facsimile, one (1) business day following transmission and electronic confirmation of receipt.</w:t>
      </w:r>
    </w:p>
    <w:p>
      <w:pPr>
        <w:spacing w:after="0" w:line="141" w:lineRule="exact"/>
        <w:rPr>
          <w:sz w:val="20"/>
          <w:szCs w:val="20"/>
          <w:color w:val="auto"/>
        </w:rPr>
      </w:pPr>
    </w:p>
    <w:p>
      <w:pPr>
        <w:ind w:right="4359" w:firstLine="368"/>
        <w:spacing w:after="0" w:line="250" w:lineRule="auto"/>
        <w:rPr>
          <w:sz w:val="20"/>
          <w:szCs w:val="20"/>
          <w:color w:val="auto"/>
        </w:rPr>
      </w:pPr>
      <w:r>
        <w:rPr>
          <w:rFonts w:ascii="Courier New" w:cs="Courier New" w:eastAsia="Courier New" w:hAnsi="Courier New"/>
          <w:sz w:val="12"/>
          <w:szCs w:val="12"/>
          <w:color w:val="auto"/>
        </w:rPr>
        <w:t>8.6. DELAYS OR OMISSIONS.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141" w:lineRule="exact"/>
        <w:rPr>
          <w:sz w:val="20"/>
          <w:szCs w:val="20"/>
          <w:color w:val="auto"/>
        </w:rPr>
      </w:pPr>
    </w:p>
    <w:p>
      <w:pPr>
        <w:ind w:right="4359" w:firstLine="368"/>
        <w:spacing w:after="0" w:line="250" w:lineRule="auto"/>
        <w:rPr>
          <w:sz w:val="20"/>
          <w:szCs w:val="20"/>
          <w:color w:val="auto"/>
        </w:rPr>
      </w:pPr>
      <w:r>
        <w:rPr>
          <w:rFonts w:ascii="Courier New" w:cs="Courier New" w:eastAsia="Courier New" w:hAnsi="Courier New"/>
          <w:sz w:val="12"/>
          <w:szCs w:val="12"/>
          <w:color w:val="auto"/>
        </w:rPr>
        <w:t>8.7. SEVERABILITY.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283" w:lineRule="exact"/>
        <w:rPr>
          <w:sz w:val="20"/>
          <w:szCs w:val="20"/>
          <w:color w:val="auto"/>
        </w:rPr>
      </w:pPr>
    </w:p>
    <w:p>
      <w:pPr>
        <w:ind w:right="4499" w:firstLine="368"/>
        <w:spacing w:after="0" w:line="251" w:lineRule="auto"/>
        <w:rPr>
          <w:sz w:val="20"/>
          <w:szCs w:val="20"/>
          <w:color w:val="auto"/>
        </w:rPr>
      </w:pPr>
      <w:r>
        <w:rPr>
          <w:rFonts w:ascii="Courier New" w:cs="Courier New" w:eastAsia="Courier New" w:hAnsi="Courier New"/>
          <w:sz w:val="12"/>
          <w:szCs w:val="12"/>
          <w:color w:val="auto"/>
        </w:rPr>
        <w:t>8.8. COUNTERPARTS. This Agreement may be executed in any number of counterparts (including facsimile counterparts), each of which shall be deemed an original, and all of which together shall constitute one and the same instrument.</w:t>
      </w:r>
    </w:p>
    <w:p>
      <w:pPr>
        <w:spacing w:after="0" w:line="139" w:lineRule="exact"/>
        <w:rPr>
          <w:sz w:val="20"/>
          <w:szCs w:val="20"/>
          <w:color w:val="auto"/>
        </w:rPr>
      </w:pPr>
    </w:p>
    <w:p>
      <w:pPr>
        <w:jc w:val="both"/>
        <w:ind w:right="5019" w:firstLine="368"/>
        <w:spacing w:after="0" w:line="251" w:lineRule="auto"/>
        <w:rPr>
          <w:sz w:val="20"/>
          <w:szCs w:val="20"/>
          <w:color w:val="auto"/>
        </w:rPr>
      </w:pPr>
      <w:r>
        <w:rPr>
          <w:rFonts w:ascii="Courier New" w:cs="Courier New" w:eastAsia="Courier New" w:hAnsi="Courier New"/>
          <w:sz w:val="12"/>
          <w:szCs w:val="12"/>
          <w:color w:val="auto"/>
        </w:rPr>
        <w:t>8.9. HEADINGS. The headings of the sections and paragraphs of this Agreement are inserted for convenience only and shall not be deemed to constitute part of this Agreement or to affect the construction hereof.</w:t>
      </w:r>
    </w:p>
    <w:p>
      <w:pPr>
        <w:spacing w:after="0" w:line="140" w:lineRule="exact"/>
        <w:rPr>
          <w:sz w:val="20"/>
          <w:szCs w:val="20"/>
          <w:color w:val="auto"/>
        </w:rPr>
      </w:pPr>
    </w:p>
    <w:p>
      <w:pPr>
        <w:ind w:right="4499" w:firstLine="368"/>
        <w:spacing w:after="0" w:line="250" w:lineRule="auto"/>
        <w:rPr>
          <w:sz w:val="20"/>
          <w:szCs w:val="20"/>
          <w:color w:val="auto"/>
        </w:rPr>
      </w:pPr>
      <w:r>
        <w:rPr>
          <w:rFonts w:ascii="Courier New" w:cs="Courier New" w:eastAsia="Courier New" w:hAnsi="Courier New"/>
          <w:sz w:val="12"/>
          <w:szCs w:val="12"/>
          <w:color w:val="auto"/>
        </w:rPr>
        <w:t>8.10. FURTHER ASSURANCES. Each of the parties hereto shall perform such further acts and execute such further documents as may reasonably be necessary to carry out and give full effect to the provisions of this Agreement and the intentions of the parties as reflected thereby, including the provision by the Bank to the Company of such information as shall be required in order to determine the adjustments, if any, required under clause 9.4.7 of the Restated Facility Agreement.</w:t>
      </w:r>
    </w:p>
    <w:p>
      <w:pPr>
        <w:spacing w:after="0" w:line="283"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- 12 -</w:t>
      </w:r>
    </w:p>
    <w:p>
      <w:pPr>
        <w:sectPr>
          <w:pgSz w:w="11900" w:h="16838" w:orient="portrait"/>
          <w:cols w:equalWidth="0" w:num="1">
            <w:col w:w="10239"/>
          </w:cols>
          <w:pgMar w:left="220" w:top="689" w:right="1440" w:bottom="1440" w:gutter="0" w:footer="0" w:header="0"/>
          <w:type w:val="continuous"/>
        </w:sectPr>
      </w:pPr>
    </w:p>
    <w:bookmarkStart w:id="160" w:name="page161"/>
    <w:bookmarkEnd w:id="160"/>
    <w:p>
      <w:pPr>
        <w:ind w:right="4359" w:firstLine="368"/>
        <w:spacing w:after="0" w:line="253" w:lineRule="auto"/>
        <w:rPr>
          <w:sz w:val="20"/>
          <w:szCs w:val="20"/>
          <w:color w:val="auto"/>
        </w:rPr>
      </w:pPr>
      <w:r>
        <w:rPr>
          <w:rFonts w:ascii="Courier New" w:cs="Courier New" w:eastAsia="Courier New" w:hAnsi="Courier New"/>
          <w:sz w:val="12"/>
          <w:szCs w:val="12"/>
          <w:color w:val="auto"/>
        </w:rPr>
        <w:t>IN WITNESS WHEREOF, each of the parties has signed this Agreement as of the date first hereinabove set forth.</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80" w:type="dxa"/>
            <w:vAlign w:val="bottom"/>
            <w:gridSpan w:val="2"/>
          </w:tcPr>
          <w:p>
            <w:pPr>
              <w:spacing w:after="0"/>
              <w:rPr>
                <w:sz w:val="20"/>
                <w:szCs w:val="20"/>
                <w:color w:val="auto"/>
              </w:rPr>
            </w:pPr>
            <w:r>
              <w:rPr>
                <w:rFonts w:ascii="Courier New" w:cs="Courier New" w:eastAsia="Courier New" w:hAnsi="Courier New"/>
                <w:sz w:val="12"/>
                <w:szCs w:val="12"/>
                <w:color w:val="auto"/>
              </w:rPr>
              <w:t>TOWER SEMICONDUCTOR LTD.</w:t>
            </w:r>
          </w:p>
        </w:tc>
        <w:tc>
          <w:tcPr>
            <w:tcW w:w="2940" w:type="dxa"/>
            <w:vAlign w:val="bottom"/>
            <w:gridSpan w:val="2"/>
          </w:tcPr>
          <w:p>
            <w:pPr>
              <w:ind w:left="500"/>
              <w:spacing w:after="0"/>
              <w:rPr>
                <w:sz w:val="20"/>
                <w:szCs w:val="20"/>
                <w:color w:val="auto"/>
              </w:rPr>
            </w:pPr>
            <w:r>
              <w:rPr>
                <w:rFonts w:ascii="Courier New" w:cs="Courier New" w:eastAsia="Courier New" w:hAnsi="Courier New"/>
                <w:sz w:val="12"/>
                <w:szCs w:val="12"/>
                <w:color w:val="auto"/>
              </w:rPr>
              <w:t>BANK LEUMI LE-ISRAEL B.M.</w:t>
            </w:r>
          </w:p>
        </w:tc>
      </w:tr>
      <w:tr>
        <w:trPr>
          <w:trHeight w:val="283"/>
        </w:trPr>
        <w:tc>
          <w:tcPr>
            <w:tcW w:w="540" w:type="dxa"/>
            <w:vAlign w:val="bottom"/>
          </w:tcPr>
          <w:p>
            <w:pPr>
              <w:spacing w:after="0"/>
              <w:rPr>
                <w:sz w:val="20"/>
                <w:szCs w:val="20"/>
                <w:color w:val="auto"/>
              </w:rPr>
            </w:pPr>
            <w:r>
              <w:rPr>
                <w:rFonts w:ascii="Courier New" w:cs="Courier New" w:eastAsia="Courier New" w:hAnsi="Courier New"/>
                <w:sz w:val="12"/>
                <w:szCs w:val="12"/>
                <w:color w:val="auto"/>
              </w:rPr>
              <w:t>By:</w:t>
            </w:r>
          </w:p>
        </w:tc>
        <w:tc>
          <w:tcPr>
            <w:tcW w:w="2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________________________</w:t>
            </w:r>
          </w:p>
        </w:tc>
        <w:tc>
          <w:tcPr>
            <w:tcW w:w="1060" w:type="dxa"/>
            <w:vAlign w:val="bottom"/>
          </w:tcPr>
          <w:p>
            <w:pPr>
              <w:ind w:left="500"/>
              <w:spacing w:after="0"/>
              <w:rPr>
                <w:sz w:val="20"/>
                <w:szCs w:val="20"/>
                <w:color w:val="auto"/>
              </w:rPr>
            </w:pPr>
            <w:r>
              <w:rPr>
                <w:rFonts w:ascii="Courier New" w:cs="Courier New" w:eastAsia="Courier New" w:hAnsi="Courier New"/>
                <w:sz w:val="12"/>
                <w:szCs w:val="12"/>
                <w:color w:val="auto"/>
              </w:rPr>
              <w:t>By:</w:t>
            </w:r>
          </w:p>
        </w:tc>
        <w:tc>
          <w:tcPr>
            <w:tcW w:w="1880" w:type="dxa"/>
            <w:vAlign w:val="bottom"/>
          </w:tcPr>
          <w:p>
            <w:pPr>
              <w:jc w:val="right"/>
              <w:spacing w:after="0"/>
              <w:rPr>
                <w:sz w:val="20"/>
                <w:szCs w:val="20"/>
                <w:color w:val="auto"/>
              </w:rPr>
            </w:pPr>
            <w:r>
              <w:rPr>
                <w:rFonts w:ascii="Courier New" w:cs="Courier New" w:eastAsia="Courier New" w:hAnsi="Courier New"/>
                <w:sz w:val="12"/>
                <w:szCs w:val="12"/>
                <w:color w:val="auto"/>
              </w:rPr>
              <w:t>________________________</w:t>
            </w:r>
          </w:p>
        </w:tc>
      </w:tr>
      <w:tr>
        <w:trPr>
          <w:trHeight w:val="425"/>
        </w:trPr>
        <w:tc>
          <w:tcPr>
            <w:tcW w:w="540" w:type="dxa"/>
            <w:vAlign w:val="bottom"/>
          </w:tcPr>
          <w:p>
            <w:pPr>
              <w:spacing w:after="0"/>
              <w:rPr>
                <w:sz w:val="20"/>
                <w:szCs w:val="20"/>
                <w:color w:val="auto"/>
              </w:rPr>
            </w:pPr>
            <w:r>
              <w:rPr>
                <w:rFonts w:ascii="Courier New" w:cs="Courier New" w:eastAsia="Courier New" w:hAnsi="Courier New"/>
                <w:sz w:val="12"/>
                <w:szCs w:val="12"/>
                <w:color w:val="auto"/>
              </w:rPr>
              <w:t>Name:</w:t>
            </w:r>
          </w:p>
        </w:tc>
        <w:tc>
          <w:tcPr>
            <w:tcW w:w="2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________________________</w:t>
            </w:r>
          </w:p>
        </w:tc>
        <w:tc>
          <w:tcPr>
            <w:tcW w:w="1060" w:type="dxa"/>
            <w:vAlign w:val="bottom"/>
          </w:tcPr>
          <w:p>
            <w:pPr>
              <w:ind w:left="500"/>
              <w:spacing w:after="0"/>
              <w:rPr>
                <w:sz w:val="20"/>
                <w:szCs w:val="20"/>
                <w:color w:val="auto"/>
              </w:rPr>
            </w:pPr>
            <w:r>
              <w:rPr>
                <w:rFonts w:ascii="Courier New" w:cs="Courier New" w:eastAsia="Courier New" w:hAnsi="Courier New"/>
                <w:sz w:val="12"/>
                <w:szCs w:val="12"/>
                <w:color w:val="auto"/>
              </w:rPr>
              <w:t>Name:</w:t>
            </w:r>
          </w:p>
        </w:tc>
        <w:tc>
          <w:tcPr>
            <w:tcW w:w="1880" w:type="dxa"/>
            <w:vAlign w:val="bottom"/>
          </w:tcPr>
          <w:p>
            <w:pPr>
              <w:jc w:val="right"/>
              <w:spacing w:after="0"/>
              <w:rPr>
                <w:sz w:val="20"/>
                <w:szCs w:val="20"/>
                <w:color w:val="auto"/>
              </w:rPr>
            </w:pPr>
            <w:r>
              <w:rPr>
                <w:rFonts w:ascii="Courier New" w:cs="Courier New" w:eastAsia="Courier New" w:hAnsi="Courier New"/>
                <w:sz w:val="12"/>
                <w:szCs w:val="12"/>
                <w:color w:val="auto"/>
              </w:rPr>
              <w:t>________________________</w:t>
            </w:r>
          </w:p>
        </w:tc>
      </w:tr>
      <w:tr>
        <w:trPr>
          <w:trHeight w:val="425"/>
        </w:trPr>
        <w:tc>
          <w:tcPr>
            <w:tcW w:w="540" w:type="dxa"/>
            <w:vAlign w:val="bottom"/>
          </w:tcPr>
          <w:p>
            <w:pPr>
              <w:spacing w:after="0"/>
              <w:rPr>
                <w:sz w:val="20"/>
                <w:szCs w:val="20"/>
                <w:color w:val="auto"/>
              </w:rPr>
            </w:pPr>
            <w:r>
              <w:rPr>
                <w:rFonts w:ascii="Courier New" w:cs="Courier New" w:eastAsia="Courier New" w:hAnsi="Courier New"/>
                <w:sz w:val="12"/>
                <w:szCs w:val="12"/>
                <w:color w:val="auto"/>
              </w:rPr>
              <w:t>Title:</w:t>
            </w:r>
          </w:p>
        </w:tc>
        <w:tc>
          <w:tcPr>
            <w:tcW w:w="2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________________________</w:t>
            </w:r>
          </w:p>
        </w:tc>
        <w:tc>
          <w:tcPr>
            <w:tcW w:w="1060" w:type="dxa"/>
            <w:vAlign w:val="bottom"/>
          </w:tcPr>
          <w:p>
            <w:pPr>
              <w:ind w:left="500"/>
              <w:spacing w:after="0"/>
              <w:rPr>
                <w:sz w:val="20"/>
                <w:szCs w:val="20"/>
                <w:color w:val="auto"/>
              </w:rPr>
            </w:pPr>
            <w:r>
              <w:rPr>
                <w:rFonts w:ascii="Courier New" w:cs="Courier New" w:eastAsia="Courier New" w:hAnsi="Courier New"/>
                <w:sz w:val="12"/>
                <w:szCs w:val="12"/>
                <w:color w:val="auto"/>
              </w:rPr>
              <w:t>Title:</w:t>
            </w:r>
          </w:p>
        </w:tc>
        <w:tc>
          <w:tcPr>
            <w:tcW w:w="1880" w:type="dxa"/>
            <w:vAlign w:val="bottom"/>
          </w:tcPr>
          <w:p>
            <w:pPr>
              <w:jc w:val="right"/>
              <w:spacing w:after="0"/>
              <w:rPr>
                <w:sz w:val="20"/>
                <w:szCs w:val="20"/>
                <w:color w:val="auto"/>
              </w:rPr>
            </w:pPr>
            <w:r>
              <w:rPr>
                <w:rFonts w:ascii="Courier New" w:cs="Courier New" w:eastAsia="Courier New" w:hAnsi="Courier New"/>
                <w:sz w:val="12"/>
                <w:szCs w:val="12"/>
                <w:color w:val="auto"/>
              </w:rPr>
              <w:t>________________________</w:t>
            </w:r>
          </w:p>
        </w:tc>
      </w:tr>
      <w:tr>
        <w:trPr>
          <w:trHeight w:val="566"/>
        </w:trPr>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60" w:type="dxa"/>
            <w:vAlign w:val="bottom"/>
          </w:tcPr>
          <w:p>
            <w:pPr>
              <w:ind w:left="140"/>
              <w:spacing w:after="0"/>
              <w:rPr>
                <w:sz w:val="20"/>
                <w:szCs w:val="20"/>
                <w:color w:val="auto"/>
              </w:rPr>
            </w:pPr>
            <w:r>
              <w:rPr>
                <w:rFonts w:ascii="Courier New" w:cs="Courier New" w:eastAsia="Courier New" w:hAnsi="Courier New"/>
                <w:sz w:val="12"/>
                <w:szCs w:val="12"/>
                <w:color w:val="auto"/>
              </w:rPr>
              <w:t>- 13 -</w:t>
            </w:r>
          </w:p>
        </w:tc>
        <w:tc>
          <w:tcPr>
            <w:tcW w:w="1880" w:type="dxa"/>
            <w:vAlign w:val="bottom"/>
          </w:tcPr>
          <w:p>
            <w:pPr>
              <w:spacing w:after="0"/>
              <w:rPr>
                <w:sz w:val="24"/>
                <w:szCs w:val="24"/>
                <w:color w:val="auto"/>
              </w:rPr>
            </w:pPr>
          </w:p>
        </w:tc>
      </w:tr>
    </w:tbl>
    <w:p>
      <w:pPr>
        <w:sectPr>
          <w:pgSz w:w="11900" w:h="16838" w:orient="portrait"/>
          <w:cols w:equalWidth="0" w:num="1">
            <w:col w:w="10239"/>
          </w:cols>
          <w:pgMar w:left="220" w:top="689" w:right="1440" w:bottom="1440" w:gutter="0" w:footer="0" w:header="0"/>
        </w:sectPr>
      </w:pPr>
    </w:p>
    <w:bookmarkStart w:id="161" w:name="page162"/>
    <w:bookmarkEnd w:id="161"/>
    <w:p>
      <w:pPr>
        <w:jc w:val="right"/>
        <w:ind w:right="4359"/>
        <w:spacing w:after="0"/>
        <w:rPr>
          <w:sz w:val="20"/>
          <w:szCs w:val="20"/>
          <w:color w:val="auto"/>
        </w:rPr>
      </w:pPr>
      <w:r>
        <w:rPr>
          <w:rFonts w:ascii="Courier New" w:cs="Courier New" w:eastAsia="Courier New" w:hAnsi="Courier New"/>
          <w:sz w:val="12"/>
          <w:szCs w:val="12"/>
          <w:color w:val="auto"/>
        </w:rPr>
        <w:t>EXHIBIT 99.10</w:t>
      </w:r>
    </w:p>
    <w:p>
      <w:pPr>
        <w:spacing w:after="0" w:line="147" w:lineRule="exact"/>
        <w:rPr>
          <w:sz w:val="20"/>
          <w:szCs w:val="20"/>
          <w:color w:val="auto"/>
        </w:rPr>
      </w:pPr>
    </w:p>
    <w:p>
      <w:pPr>
        <w:jc w:val="center"/>
        <w:ind w:right="4295"/>
        <w:spacing w:after="0"/>
        <w:rPr>
          <w:sz w:val="20"/>
          <w:szCs w:val="20"/>
          <w:color w:val="auto"/>
        </w:rPr>
      </w:pPr>
      <w:r>
        <w:rPr>
          <w:rFonts w:ascii="Courier New" w:cs="Courier New" w:eastAsia="Courier New" w:hAnsi="Courier New"/>
          <w:sz w:val="12"/>
          <w:szCs w:val="12"/>
          <w:color w:val="auto"/>
        </w:rPr>
        <w:t>REGISTRATION RIGHTS AGREEMENT</w:t>
      </w:r>
    </w:p>
    <w:p>
      <w:pPr>
        <w:spacing w:after="0" w:line="147" w:lineRule="exact"/>
        <w:rPr>
          <w:sz w:val="20"/>
          <w:szCs w:val="20"/>
          <w:color w:val="auto"/>
        </w:rPr>
      </w:pPr>
    </w:p>
    <w:p>
      <w:pPr>
        <w:jc w:val="both"/>
        <w:ind w:left="4" w:right="4419" w:firstLine="368"/>
        <w:spacing w:after="0" w:line="250" w:lineRule="auto"/>
        <w:rPr>
          <w:sz w:val="20"/>
          <w:szCs w:val="20"/>
          <w:color w:val="auto"/>
        </w:rPr>
      </w:pPr>
      <w:r>
        <w:rPr>
          <w:rFonts w:ascii="Courier New" w:cs="Courier New" w:eastAsia="Courier New" w:hAnsi="Courier New"/>
          <w:sz w:val="12"/>
          <w:szCs w:val="12"/>
          <w:color w:val="auto"/>
        </w:rPr>
        <w:t>This Registration Rights Agreement (this "AGREEMENT") is made and entered into effective as of September 28, 2006 by and between TOWER SEMICONDUCTOR LTD. (the "COMPANY" or "TOWER"), a company organized under the laws of the State of Israel, and BANK HAPOALIM B.M., a banking corporation organized under the laws of the State of Israel (the "BANK").</w:t>
      </w:r>
    </w:p>
    <w:p>
      <w:pPr>
        <w:spacing w:after="0" w:line="141" w:lineRule="exact"/>
        <w:rPr>
          <w:sz w:val="20"/>
          <w:szCs w:val="20"/>
          <w:color w:val="auto"/>
        </w:rPr>
      </w:pPr>
    </w:p>
    <w:p>
      <w:pPr>
        <w:ind w:left="4" w:right="4419" w:firstLine="368"/>
        <w:spacing w:after="0" w:line="251" w:lineRule="auto"/>
        <w:rPr>
          <w:sz w:val="20"/>
          <w:szCs w:val="20"/>
          <w:color w:val="auto"/>
        </w:rPr>
      </w:pPr>
      <w:r>
        <w:rPr>
          <w:rFonts w:ascii="Courier New" w:cs="Courier New" w:eastAsia="Courier New" w:hAnsi="Courier New"/>
          <w:sz w:val="12"/>
          <w:szCs w:val="12"/>
          <w:color w:val="auto"/>
        </w:rPr>
        <w:t>WHEREAS, Tower is an independent manufacturer of wafers whose Ordinary Shares are traded on the Nasdaq Stock Market ("NASDAQ") under the symbol "TSEM" and whose Ordinary Shares and certain other securities are traded on the Tel-Aviv Stock Exchange ("TASE") under the symbol "TSEM"; and</w:t>
      </w:r>
    </w:p>
    <w:p>
      <w:pPr>
        <w:spacing w:after="0" w:line="139" w:lineRule="exact"/>
        <w:rPr>
          <w:sz w:val="20"/>
          <w:szCs w:val="20"/>
          <w:color w:val="auto"/>
        </w:rPr>
      </w:pPr>
    </w:p>
    <w:p>
      <w:pPr>
        <w:jc w:val="both"/>
        <w:ind w:left="4" w:right="4359" w:firstLine="368"/>
        <w:spacing w:after="0" w:line="251" w:lineRule="auto"/>
        <w:rPr>
          <w:sz w:val="20"/>
          <w:szCs w:val="20"/>
          <w:color w:val="auto"/>
        </w:rPr>
      </w:pPr>
      <w:r>
        <w:rPr>
          <w:rFonts w:ascii="Courier New" w:cs="Courier New" w:eastAsia="Courier New" w:hAnsi="Courier New"/>
          <w:sz w:val="12"/>
          <w:szCs w:val="12"/>
          <w:color w:val="auto"/>
        </w:rPr>
        <w:t>WHEREAS, the Bank and Bank Leumi Le-Israel B.M. (collectively, the "BANKS") and Tower are parties to a Facility Agreement dated January 18, 2001, as amended (the "FACILITY AGREEMENT"); and</w:t>
      </w:r>
    </w:p>
    <w:p>
      <w:pPr>
        <w:spacing w:after="0" w:line="140" w:lineRule="exact"/>
        <w:rPr>
          <w:sz w:val="20"/>
          <w:szCs w:val="20"/>
          <w:color w:val="auto"/>
        </w:rPr>
      </w:pPr>
    </w:p>
    <w:p>
      <w:pPr>
        <w:ind w:left="4" w:right="4419" w:firstLine="368"/>
        <w:spacing w:after="0" w:line="250" w:lineRule="auto"/>
        <w:rPr>
          <w:sz w:val="20"/>
          <w:szCs w:val="20"/>
          <w:color w:val="auto"/>
        </w:rPr>
      </w:pPr>
      <w:r>
        <w:rPr>
          <w:rFonts w:ascii="Courier New" w:cs="Courier New" w:eastAsia="Courier New" w:hAnsi="Courier New"/>
          <w:sz w:val="12"/>
          <w:szCs w:val="12"/>
          <w:color w:val="auto"/>
        </w:rPr>
        <w:t>WHEREAS, at the request of Tower, the Banks and Tower have entered into an Amending Agreement dated August 24, 2006 (the "AMENDING AGREEMENT"), the conditions to the effectiveness of which include, INTER ALIA, the issuance to each of the Banks or its nominee, of an equity-equivalent convertible capital note which will in turn be convertible, in whole or in part, by the Bank at any time and from time to time into shares of Tower and the entering into by the Bank and Tower of a conversion agreement (the "CONVERSION AGREEMENT") and this Agreement, in each case, on the date of the effectiveness of the Amending Agreement (the "AMENDMENT CLOSING DATE"); and</w:t>
      </w:r>
    </w:p>
    <w:p>
      <w:pPr>
        <w:spacing w:after="0" w:line="141"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WHEREAS, clause 9.4 of the Facility Agreement, as amended by the Amending Agreement, obligates the Company, under certain circumstances, to make a payment to the Banks which, subject to said clause 9.4 and the Conversion Agreement, can be paid in the form of shares, capital notes or convertible debentures and the parties intend that the registration rights set forth in this Agreement also be applicable with respect to such shares and/or shares issuable upon conversion of any such capital notes or convertible debentures (the "CLAUSE 9.4 EQUITY ISSUANCES"),</w:t>
      </w:r>
    </w:p>
    <w:p>
      <w:pPr>
        <w:spacing w:after="0" w:line="141" w:lineRule="exact"/>
        <w:rPr>
          <w:sz w:val="20"/>
          <w:szCs w:val="20"/>
          <w:color w:val="auto"/>
        </w:rPr>
      </w:pPr>
    </w:p>
    <w:p>
      <w:pPr>
        <w:ind w:left="4" w:right="4499" w:firstLine="368"/>
        <w:spacing w:after="0" w:line="251" w:lineRule="auto"/>
        <w:rPr>
          <w:sz w:val="20"/>
          <w:szCs w:val="20"/>
          <w:color w:val="auto"/>
        </w:rPr>
      </w:pPr>
      <w:r>
        <w:rPr>
          <w:rFonts w:ascii="Courier New" w:cs="Courier New" w:eastAsia="Courier New" w:hAnsi="Courier New"/>
          <w:sz w:val="12"/>
          <w:szCs w:val="12"/>
          <w:color w:val="auto"/>
        </w:rPr>
        <w:t>NOW, THEREFORE, in consideration of the premises and the mutual covenants contained herein and other good and valuable consideration, the receipt and sufficiency of which are hereby acknowledged, the Company and the Bank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4" w:hanging="364"/>
        <w:spacing w:after="0"/>
        <w:tabs>
          <w:tab w:leader="none" w:pos="364" w:val="left"/>
        </w:tabs>
        <w:numPr>
          <w:ilvl w:val="0"/>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DEFINITIONS AND INTERPRETATION.</w:t>
      </w:r>
    </w:p>
    <w:p>
      <w:pPr>
        <w:spacing w:after="0" w:line="147" w:lineRule="exact"/>
        <w:rPr>
          <w:rFonts w:ascii="Courier New" w:cs="Courier New" w:eastAsia="Courier New" w:hAnsi="Courier New"/>
          <w:sz w:val="12"/>
          <w:szCs w:val="12"/>
          <w:color w:val="auto"/>
        </w:rPr>
      </w:pPr>
    </w:p>
    <w:p>
      <w:pPr>
        <w:ind w:left="364" w:right="4639"/>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used in this Agreement, the following terms shall have the following meanings:</w:t>
      </w:r>
    </w:p>
    <w:p>
      <w:pPr>
        <w:spacing w:after="0" w:line="138" w:lineRule="exact"/>
        <w:rPr>
          <w:rFonts w:ascii="Courier New" w:cs="Courier New" w:eastAsia="Courier New" w:hAnsi="Courier New"/>
          <w:sz w:val="12"/>
          <w:szCs w:val="12"/>
          <w:color w:val="auto"/>
        </w:rPr>
      </w:pPr>
    </w:p>
    <w:p>
      <w:pPr>
        <w:ind w:left="744" w:right="4419" w:hanging="376"/>
        <w:spacing w:after="0" w:line="253" w:lineRule="auto"/>
        <w:tabs>
          <w:tab w:leader="none" w:pos="744" w:val="left"/>
        </w:tabs>
        <w:numPr>
          <w:ilvl w:val="1"/>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"CAPITAL NOTE" means any capital note that is convertible into shares of Tower.</w:t>
      </w:r>
    </w:p>
    <w:p>
      <w:pPr>
        <w:spacing w:after="0" w:line="138" w:lineRule="exact"/>
        <w:rPr>
          <w:rFonts w:ascii="Courier New" w:cs="Courier New" w:eastAsia="Courier New" w:hAnsi="Courier New"/>
          <w:sz w:val="12"/>
          <w:szCs w:val="12"/>
          <w:color w:val="auto"/>
        </w:rPr>
      </w:pPr>
    </w:p>
    <w:p>
      <w:pPr>
        <w:ind w:left="744" w:right="4359" w:hanging="376"/>
        <w:spacing w:after="0" w:line="251" w:lineRule="auto"/>
        <w:tabs>
          <w:tab w:leader="none" w:pos="744" w:val="left"/>
        </w:tabs>
        <w:numPr>
          <w:ilvl w:val="1"/>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"HOLDER" means the Bank, Tarshish, any nominee of the Bank to hold the Clause 9.4 Equity Issuances (the "NOMINEE"), any transferee or assignee to whom the Bank or the Nominee assigns its rights, in whole or in part, and any transferee or assignee thereof to whom a transferee or assignee assigns its rights, in accordance with Section 9.</w:t>
      </w:r>
    </w:p>
    <w:p>
      <w:pPr>
        <w:spacing w:after="0" w:line="280" w:lineRule="exact"/>
        <w:rPr>
          <w:rFonts w:ascii="Courier New" w:cs="Courier New" w:eastAsia="Courier New" w:hAnsi="Courier New"/>
          <w:sz w:val="12"/>
          <w:szCs w:val="12"/>
          <w:color w:val="auto"/>
        </w:rPr>
      </w:pPr>
    </w:p>
    <w:p>
      <w:pPr>
        <w:ind w:left="744" w:right="4579" w:hanging="376"/>
        <w:spacing w:after="0" w:line="253" w:lineRule="auto"/>
        <w:tabs>
          <w:tab w:leader="none" w:pos="744" w:val="left"/>
        </w:tabs>
        <w:numPr>
          <w:ilvl w:val="1"/>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"ISA" means the Israel Securities Authority or any similar or successor agency of Israel administering the Israel Securities Law.</w:t>
      </w:r>
    </w:p>
    <w:p>
      <w:pPr>
        <w:spacing w:after="0" w:line="138" w:lineRule="exact"/>
        <w:rPr>
          <w:rFonts w:ascii="Courier New" w:cs="Courier New" w:eastAsia="Courier New" w:hAnsi="Courier New"/>
          <w:sz w:val="12"/>
          <w:szCs w:val="12"/>
          <w:color w:val="auto"/>
        </w:rPr>
      </w:pPr>
    </w:p>
    <w:p>
      <w:pPr>
        <w:ind w:left="744" w:right="4639" w:hanging="376"/>
        <w:spacing w:after="0" w:line="253" w:lineRule="auto"/>
        <w:tabs>
          <w:tab w:leader="none" w:pos="744" w:val="left"/>
        </w:tabs>
        <w:numPr>
          <w:ilvl w:val="1"/>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"ISRAEL SECURITIES LAW" means the Israel Securities Law, 5728-1968 (including the regulations promulgated thereunder), as amended.</w:t>
      </w:r>
    </w:p>
    <w:p>
      <w:pPr>
        <w:spacing w:after="0" w:line="138" w:lineRule="exact"/>
        <w:rPr>
          <w:rFonts w:ascii="Courier New" w:cs="Courier New" w:eastAsia="Courier New" w:hAnsi="Courier New"/>
          <w:sz w:val="12"/>
          <w:szCs w:val="12"/>
          <w:color w:val="auto"/>
        </w:rPr>
      </w:pPr>
    </w:p>
    <w:p>
      <w:pPr>
        <w:ind w:left="744" w:right="4419" w:hanging="376"/>
        <w:spacing w:after="0" w:line="253" w:lineRule="auto"/>
        <w:tabs>
          <w:tab w:leader="none" w:pos="744" w:val="left"/>
        </w:tabs>
        <w:numPr>
          <w:ilvl w:val="1"/>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"1933 ACT" means the U.S. Securities Act of 1933, as amended, and the rules and regulations thereunder, or any similar successor statute.</w:t>
      </w:r>
    </w:p>
    <w:p>
      <w:pPr>
        <w:spacing w:after="0" w:line="138" w:lineRule="exact"/>
        <w:rPr>
          <w:rFonts w:ascii="Courier New" w:cs="Courier New" w:eastAsia="Courier New" w:hAnsi="Courier New"/>
          <w:sz w:val="12"/>
          <w:szCs w:val="12"/>
          <w:color w:val="auto"/>
        </w:rPr>
      </w:pPr>
    </w:p>
    <w:p>
      <w:pPr>
        <w:ind w:left="744" w:right="4359" w:hanging="376"/>
        <w:spacing w:after="0" w:line="251" w:lineRule="auto"/>
        <w:tabs>
          <w:tab w:leader="none" w:pos="744" w:val="left"/>
        </w:tabs>
        <w:numPr>
          <w:ilvl w:val="1"/>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"1934 ACT" means the U.S. Securities Exchange Act of 1934, as amended, and the rules and regulations thereunder, or any similar successor statute.</w:t>
      </w:r>
    </w:p>
    <w:p>
      <w:pPr>
        <w:spacing w:after="0" w:line="139" w:lineRule="exact"/>
        <w:rPr>
          <w:rFonts w:ascii="Courier New" w:cs="Courier New" w:eastAsia="Courier New" w:hAnsi="Courier New"/>
          <w:sz w:val="12"/>
          <w:szCs w:val="12"/>
          <w:color w:val="auto"/>
        </w:rPr>
      </w:pPr>
    </w:p>
    <w:p>
      <w:pPr>
        <w:ind w:left="744" w:right="4499" w:hanging="376"/>
        <w:spacing w:after="0" w:line="250" w:lineRule="auto"/>
        <w:tabs>
          <w:tab w:leader="none" w:pos="744" w:val="left"/>
        </w:tabs>
        <w:numPr>
          <w:ilvl w:val="1"/>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"REGISTER", "REGISTERED", and "REGISTRATION" refer to a registration effected by preparing and filing a registration statement in compliance with the 1933 Act and the effectiveness of such registration statement in accordance with the 1933 Act or the equivalent actions under the laws of another jurisdiction.</w:t>
      </w:r>
    </w:p>
    <w:p>
      <w:pPr>
        <w:spacing w:after="0" w:line="141" w:lineRule="exact"/>
        <w:rPr>
          <w:rFonts w:ascii="Courier New" w:cs="Courier New" w:eastAsia="Courier New" w:hAnsi="Courier New"/>
          <w:sz w:val="12"/>
          <w:szCs w:val="12"/>
          <w:color w:val="auto"/>
        </w:rPr>
      </w:pPr>
    </w:p>
    <w:p>
      <w:pPr>
        <w:jc w:val="both"/>
        <w:ind w:left="744" w:right="4419" w:hanging="376"/>
        <w:spacing w:after="0" w:line="249" w:lineRule="auto"/>
        <w:tabs>
          <w:tab w:leader="none" w:pos="744" w:val="left"/>
        </w:tabs>
        <w:numPr>
          <w:ilvl w:val="1"/>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"REGISTRABLE SECURITIES" means (i) the ordinary shares of the Company issued or issuable upon conversion of any Capital Note by any Holder,</w:t>
      </w:r>
    </w:p>
    <w:p>
      <w:pPr>
        <w:spacing w:after="0" w:line="1" w:lineRule="exact"/>
        <w:rPr>
          <w:rFonts w:ascii="Courier New" w:cs="Courier New" w:eastAsia="Courier New" w:hAnsi="Courier New"/>
          <w:sz w:val="12"/>
          <w:szCs w:val="12"/>
          <w:color w:val="auto"/>
        </w:rPr>
      </w:pPr>
    </w:p>
    <w:p>
      <w:pPr>
        <w:ind w:left="744" w:right="4359" w:hanging="8"/>
        <w:spacing w:after="0" w:line="250" w:lineRule="auto"/>
        <w:tabs>
          <w:tab w:leader="none" w:pos="1113" w:val="left"/>
        </w:tabs>
        <w:numPr>
          <w:ilvl w:val="2"/>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ordinary shares issued as part of the Clause 9.4 Equity Issuances, including shares issued or issuable upon conversion of Capital Notes or convertible debentures issued as part of the Clause 9.4 Equity Issuances, which are held by a Holder (iii) ordinary shares of the Company issued or issuable upon exercise of a Warrant and (iv) any shares of capital stock issued or issuable with respect to the ordinary shares of the Company as a result of any stock split, stock dividend, rights offering, recapitalization, merger, exchange or similar event or otherwise, including as described in any Capital Note.</w:t>
      </w:r>
    </w:p>
    <w:p>
      <w:pPr>
        <w:spacing w:after="0" w:line="200" w:lineRule="exact"/>
        <w:rPr>
          <w:rFonts w:ascii="Courier New" w:cs="Courier New" w:eastAsia="Courier New" w:hAnsi="Courier New"/>
          <w:sz w:val="12"/>
          <w:szCs w:val="12"/>
          <w:color w:val="auto"/>
        </w:rPr>
      </w:pPr>
    </w:p>
    <w:p>
      <w:pPr>
        <w:spacing w:after="0" w:line="224" w:lineRule="exact"/>
        <w:rPr>
          <w:rFonts w:ascii="Courier New" w:cs="Courier New" w:eastAsia="Courier New" w:hAnsi="Courier New"/>
          <w:sz w:val="12"/>
          <w:szCs w:val="12"/>
          <w:color w:val="auto"/>
        </w:rPr>
      </w:pPr>
    </w:p>
    <w:p>
      <w:pPr>
        <w:ind w:left="2864" w:hanging="141"/>
        <w:spacing w:after="0"/>
        <w:tabs>
          <w:tab w:leader="none" w:pos="2864" w:val="left"/>
        </w:tabs>
        <w:numPr>
          <w:ilvl w:val="3"/>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2 -</w:t>
      </w:r>
    </w:p>
    <w:p>
      <w:pPr>
        <w:sectPr>
          <w:pgSz w:w="11900" w:h="16838" w:orient="portrait"/>
          <w:cols w:equalWidth="0" w:num="1">
            <w:col w:w="10244"/>
          </w:cols>
          <w:pgMar w:left="216" w:top="283" w:right="1440" w:bottom="1440" w:gutter="0" w:footer="0" w:header="0"/>
        </w:sectPr>
      </w:pPr>
    </w:p>
    <w:bookmarkStart w:id="162" w:name="page163"/>
    <w:bookmarkEnd w:id="162"/>
    <w:p>
      <w:pPr>
        <w:ind w:left="380" w:right="4359" w:hanging="376"/>
        <w:spacing w:after="0" w:line="249" w:lineRule="auto"/>
        <w:tabs>
          <w:tab w:leader="none" w:pos="380" w:val="left"/>
        </w:tabs>
        <w:numPr>
          <w:ilvl w:val="0"/>
          <w:numId w:val="1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"REGISTRATION STATEMENT" means a registration statement or registration statements of the Company covering Registrable Securities filed with (a) the SEC under the 1933 Act, including the Form F-3 Registration Statement No. 333-131315 previously filed by the Company covering ordinary shares issuable upon the exercise of Warrants, and</w:t>
      </w:r>
    </w:p>
    <w:p>
      <w:pPr>
        <w:spacing w:after="0" w:line="2" w:lineRule="exact"/>
        <w:rPr>
          <w:rFonts w:ascii="Courier New" w:cs="Courier New" w:eastAsia="Courier New" w:hAnsi="Courier New"/>
          <w:sz w:val="12"/>
          <w:szCs w:val="12"/>
          <w:color w:val="auto"/>
        </w:rPr>
      </w:pPr>
    </w:p>
    <w:p>
      <w:pPr>
        <w:ind w:left="380" w:right="4499" w:hanging="8"/>
        <w:spacing w:after="0" w:line="251" w:lineRule="auto"/>
        <w:tabs>
          <w:tab w:leader="none" w:pos="675" w:val="left"/>
        </w:tabs>
        <w:numPr>
          <w:ilvl w:val="1"/>
          <w:numId w:val="1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ISA under the Israel Securities Law, to the extent required under the Israel Securities Law, so as to allow the Holder to freely resell the Registrable Securities in Israel, including on the TASE.</w:t>
      </w:r>
    </w:p>
    <w:p>
      <w:pPr>
        <w:spacing w:after="0" w:line="139" w:lineRule="exact"/>
        <w:rPr>
          <w:rFonts w:ascii="Courier New" w:cs="Courier New" w:eastAsia="Courier New" w:hAnsi="Courier New"/>
          <w:sz w:val="12"/>
          <w:szCs w:val="12"/>
          <w:color w:val="auto"/>
        </w:rPr>
      </w:pPr>
    </w:p>
    <w:p>
      <w:pPr>
        <w:ind w:left="380" w:right="4359" w:hanging="376"/>
        <w:spacing w:after="0" w:line="251" w:lineRule="auto"/>
        <w:tabs>
          <w:tab w:leader="none" w:pos="380" w:val="left"/>
        </w:tabs>
        <w:numPr>
          <w:ilvl w:val="0"/>
          <w:numId w:val="1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"SEC" means the United States Securities and Exchange Commission or any similar or successor agency of the United States administering the 1933 Act.</w:t>
      </w:r>
    </w:p>
    <w:p>
      <w:pPr>
        <w:spacing w:after="0" w:line="139" w:lineRule="exact"/>
        <w:rPr>
          <w:rFonts w:ascii="Courier New" w:cs="Courier New" w:eastAsia="Courier New" w:hAnsi="Courier New"/>
          <w:sz w:val="12"/>
          <w:szCs w:val="12"/>
          <w:color w:val="auto"/>
        </w:rPr>
      </w:pPr>
    </w:p>
    <w:p>
      <w:pPr>
        <w:ind w:left="380" w:right="4359" w:hanging="376"/>
        <w:spacing w:after="0" w:line="251" w:lineRule="auto"/>
        <w:tabs>
          <w:tab w:leader="none" w:pos="380" w:val="left"/>
        </w:tabs>
        <w:numPr>
          <w:ilvl w:val="0"/>
          <w:numId w:val="1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"TARSHISH" means Tarshish Hahzakot Vehashkaot Hapoalim Ltd., a company organized under the laws of the State of Israel and an affiliate of the Bank.</w:t>
      </w:r>
    </w:p>
    <w:p>
      <w:pPr>
        <w:spacing w:after="0" w:line="139" w:lineRule="exact"/>
        <w:rPr>
          <w:rFonts w:ascii="Courier New" w:cs="Courier New" w:eastAsia="Courier New" w:hAnsi="Courier New"/>
          <w:sz w:val="12"/>
          <w:szCs w:val="12"/>
          <w:color w:val="auto"/>
        </w:rPr>
      </w:pPr>
    </w:p>
    <w:p>
      <w:pPr>
        <w:ind w:left="380" w:right="4359" w:hanging="376"/>
        <w:spacing w:after="0" w:line="251" w:lineRule="auto"/>
        <w:tabs>
          <w:tab w:leader="none" w:pos="380" w:val="left"/>
        </w:tabs>
        <w:numPr>
          <w:ilvl w:val="0"/>
          <w:numId w:val="1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"WARRANT" means the warrants issued to the Bank and to Tarshish by the Company prior to the Amendment Closing Date and which are amended on the Amendment Closing Date.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 this Agreement:</w:t>
      </w:r>
    </w:p>
    <w:p>
      <w:pPr>
        <w:spacing w:after="0" w:line="147" w:lineRule="exact"/>
        <w:rPr>
          <w:sz w:val="20"/>
          <w:szCs w:val="20"/>
          <w:color w:val="auto"/>
        </w:rPr>
      </w:pPr>
    </w:p>
    <w:p>
      <w:pPr>
        <w:ind w:left="380" w:right="4499" w:hanging="376"/>
        <w:spacing w:after="0" w:line="251" w:lineRule="auto"/>
        <w:tabs>
          <w:tab w:leader="none" w:pos="380" w:val="left"/>
        </w:tabs>
        <w:numPr>
          <w:ilvl w:val="0"/>
          <w:numId w:val="1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Words importing the singular shall include the plural and VICE VERSA and words importing any gender shall include all other genders and references to persons shall include partnerships, corporations and unincorporated associations.</w:t>
      </w:r>
    </w:p>
    <w:p>
      <w:pPr>
        <w:spacing w:after="0" w:line="139" w:lineRule="exact"/>
        <w:rPr>
          <w:rFonts w:ascii="Courier New" w:cs="Courier New" w:eastAsia="Courier New" w:hAnsi="Courier New"/>
          <w:sz w:val="12"/>
          <w:szCs w:val="12"/>
          <w:color w:val="auto"/>
        </w:rPr>
      </w:pPr>
    </w:p>
    <w:p>
      <w:pPr>
        <w:ind w:left="380" w:right="4359" w:hanging="376"/>
        <w:spacing w:after="0" w:line="251" w:lineRule="auto"/>
        <w:tabs>
          <w:tab w:leader="none" w:pos="380" w:val="left"/>
        </w:tabs>
        <w:numPr>
          <w:ilvl w:val="0"/>
          <w:numId w:val="1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reference in this Agreement to a specific form or to any rule or regulation adopted by the SEC shall also include any successor form or amended or successor rule or regulation subsequently adopted by the SEC, all as the same may be in effect at the time.</w:t>
      </w:r>
    </w:p>
    <w:p>
      <w:pPr>
        <w:spacing w:after="0" w:line="139" w:lineRule="exact"/>
        <w:rPr>
          <w:rFonts w:ascii="Courier New" w:cs="Courier New" w:eastAsia="Courier New" w:hAnsi="Courier New"/>
          <w:sz w:val="12"/>
          <w:szCs w:val="12"/>
          <w:color w:val="auto"/>
        </w:rPr>
      </w:pPr>
    </w:p>
    <w:p>
      <w:pPr>
        <w:ind w:left="380" w:right="4499" w:hanging="376"/>
        <w:spacing w:after="0" w:line="251" w:lineRule="auto"/>
        <w:tabs>
          <w:tab w:leader="none" w:pos="380" w:val="left"/>
        </w:tabs>
        <w:numPr>
          <w:ilvl w:val="0"/>
          <w:numId w:val="1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reference in this Agreement to a statute, act or law shall be construed as a reference to such statute, act or law as the same may have been, or may from time to time be, amended or reenacted.</w:t>
      </w:r>
    </w:p>
    <w:p>
      <w:pPr>
        <w:spacing w:after="0" w:line="139" w:lineRule="exact"/>
        <w:rPr>
          <w:rFonts w:ascii="Courier New" w:cs="Courier New" w:eastAsia="Courier New" w:hAnsi="Courier New"/>
          <w:sz w:val="12"/>
          <w:szCs w:val="12"/>
          <w:color w:val="auto"/>
        </w:rPr>
      </w:pPr>
    </w:p>
    <w:p>
      <w:pPr>
        <w:ind w:left="380" w:right="4579" w:hanging="376"/>
        <w:spacing w:after="0" w:line="251" w:lineRule="auto"/>
        <w:tabs>
          <w:tab w:leader="none" w:pos="380" w:val="left"/>
        </w:tabs>
        <w:numPr>
          <w:ilvl w:val="0"/>
          <w:numId w:val="1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"PERSON" shall be construed as a reference to any person, firm, company, corporation, government, state or agency of a state or any association or partnership (whether or not having separate legal personality) or two or more of the aforegoing.</w:t>
      </w:r>
    </w:p>
    <w:p>
      <w:pPr>
        <w:spacing w:after="0" w:line="280" w:lineRule="exact"/>
        <w:rPr>
          <w:rFonts w:ascii="Courier New" w:cs="Courier New" w:eastAsia="Courier New" w:hAnsi="Courier New"/>
          <w:sz w:val="12"/>
          <w:szCs w:val="12"/>
          <w:color w:val="auto"/>
        </w:rPr>
      </w:pPr>
    </w:p>
    <w:p>
      <w:pPr>
        <w:ind w:left="2500" w:hanging="141"/>
        <w:spacing w:after="0"/>
        <w:tabs>
          <w:tab w:leader="none" w:pos="2500" w:val="left"/>
        </w:tabs>
        <w:numPr>
          <w:ilvl w:val="1"/>
          <w:numId w:val="1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3 -</w:t>
      </w:r>
    </w:p>
    <w:p>
      <w:pPr>
        <w:sectPr>
          <w:pgSz w:w="11900" w:h="16838" w:orient="portrait"/>
          <w:cols w:equalWidth="0" w:num="1">
            <w:col w:w="9879"/>
          </w:cols>
          <w:pgMar w:left="580" w:top="689" w:right="1440" w:bottom="1440" w:gutter="0" w:footer="0" w:header="0"/>
        </w:sectPr>
      </w:pPr>
    </w:p>
    <w:bookmarkStart w:id="163" w:name="page164"/>
    <w:bookmarkEnd w:id="163"/>
    <w:p>
      <w:pPr>
        <w:ind w:left="744" w:right="4719" w:hanging="376"/>
        <w:spacing w:after="0" w:line="253" w:lineRule="auto"/>
        <w:tabs>
          <w:tab w:leader="none" w:pos="744" w:val="left"/>
        </w:tabs>
        <w:numPr>
          <w:ilvl w:val="1"/>
          <w:numId w:val="1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"INCLUDING" and "INCLUDES" means, including, without limiting the generality of any description preceding such terms.</w:t>
      </w:r>
    </w:p>
    <w:p>
      <w:pPr>
        <w:spacing w:after="0" w:line="138" w:lineRule="exact"/>
        <w:rPr>
          <w:rFonts w:ascii="Courier New" w:cs="Courier New" w:eastAsia="Courier New" w:hAnsi="Courier New"/>
          <w:sz w:val="12"/>
          <w:szCs w:val="12"/>
          <w:color w:val="auto"/>
        </w:rPr>
      </w:pPr>
    </w:p>
    <w:p>
      <w:pPr>
        <w:ind w:left="744" w:right="4359" w:hanging="376"/>
        <w:spacing w:after="0" w:line="251" w:lineRule="auto"/>
        <w:tabs>
          <w:tab w:leader="none" w:pos="744" w:val="left"/>
        </w:tabs>
        <w:numPr>
          <w:ilvl w:val="1"/>
          <w:numId w:val="1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headings herein are for convenience only, do not constitute a part of this Agreement and shall not be deemed to limit or affect any of the provisions hereof.</w:t>
      </w:r>
    </w:p>
    <w:p>
      <w:pPr>
        <w:spacing w:after="0" w:line="139"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1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REGISTRATION.</w:t>
      </w:r>
    </w:p>
    <w:p>
      <w:pPr>
        <w:spacing w:after="0" w:line="147" w:lineRule="exact"/>
        <w:rPr>
          <w:rFonts w:ascii="Courier New" w:cs="Courier New" w:eastAsia="Courier New" w:hAnsi="Courier New"/>
          <w:sz w:val="12"/>
          <w:szCs w:val="12"/>
          <w:color w:val="auto"/>
        </w:rPr>
      </w:pPr>
    </w:p>
    <w:p>
      <w:pPr>
        <w:ind w:left="744" w:right="4359" w:hanging="376"/>
        <w:spacing w:after="0" w:line="250" w:lineRule="auto"/>
        <w:tabs>
          <w:tab w:leader="none" w:pos="744" w:val="left"/>
        </w:tabs>
        <w:numPr>
          <w:ilvl w:val="1"/>
          <w:numId w:val="1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prepare, and, as soon as practicable but in no event later than (a) 45 days after the date of this Agreement and (b) the date of the Clause 9.4 Equity Issuances, in each case file with the SEC a Registration Statement on Form F-3 and make all required filings with the ISA covering the resale of all of the then Registrable Securities that are not already registered. The Company shall use its best efforts to have the Registration Statement declared effective by the SEC and the ISA as soon as possible after such filing with the SEC and the ISA.</w:t>
      </w:r>
    </w:p>
    <w:p>
      <w:pPr>
        <w:spacing w:after="0" w:line="282" w:lineRule="exact"/>
        <w:rPr>
          <w:rFonts w:ascii="Courier New" w:cs="Courier New" w:eastAsia="Courier New" w:hAnsi="Courier New"/>
          <w:sz w:val="12"/>
          <w:szCs w:val="12"/>
          <w:color w:val="auto"/>
        </w:rPr>
      </w:pPr>
    </w:p>
    <w:p>
      <w:pPr>
        <w:ind w:left="744" w:right="4359" w:hanging="376"/>
        <w:spacing w:after="0" w:line="249" w:lineRule="auto"/>
        <w:tabs>
          <w:tab w:leader="none" w:pos="744" w:val="left"/>
        </w:tabs>
        <w:numPr>
          <w:ilvl w:val="1"/>
          <w:numId w:val="1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that Form F-3 shall not be available for the registration of the resale of Registrable Securities hereunder, the Company shall</w:t>
      </w:r>
    </w:p>
    <w:p>
      <w:pPr>
        <w:spacing w:after="0" w:line="1" w:lineRule="exact"/>
        <w:rPr>
          <w:rFonts w:ascii="Courier New" w:cs="Courier New" w:eastAsia="Courier New" w:hAnsi="Courier New"/>
          <w:sz w:val="12"/>
          <w:szCs w:val="12"/>
          <w:color w:val="auto"/>
        </w:rPr>
      </w:pPr>
    </w:p>
    <w:p>
      <w:pPr>
        <w:ind w:left="744" w:right="4359" w:hanging="8"/>
        <w:spacing w:after="0" w:line="250" w:lineRule="auto"/>
        <w:tabs>
          <w:tab w:leader="none" w:pos="1039" w:val="left"/>
        </w:tabs>
        <w:numPr>
          <w:ilvl w:val="2"/>
          <w:numId w:val="1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register the resale of the Registrable Securities on another appropriate form reasonably acceptable to the Holders of the Registrable Securities to be registered on such Registration Statement and (ii) undertake to register the Registrable Securities on Form F-3 as soon as such form is available, provided that, in each such event, the Company shall maintain the effectiveness of the Registration Statement then in effect until such time as a Registration Statement on Form F-3 covering the Registrable Securities has been declared effective by the SEC.</w:t>
      </w:r>
    </w:p>
    <w:p>
      <w:pPr>
        <w:spacing w:after="0" w:line="141"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1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RELATED OBLIGATIONS.</w:t>
      </w:r>
    </w:p>
    <w:p>
      <w:pPr>
        <w:spacing w:after="0" w:line="147" w:lineRule="exact"/>
        <w:rPr>
          <w:rFonts w:ascii="Courier New" w:cs="Courier New" w:eastAsia="Courier New" w:hAnsi="Courier New"/>
          <w:sz w:val="12"/>
          <w:szCs w:val="12"/>
          <w:color w:val="auto"/>
        </w:rPr>
      </w:pPr>
    </w:p>
    <w:p>
      <w:pPr>
        <w:ind w:left="744" w:right="4419" w:hanging="376"/>
        <w:spacing w:after="0" w:line="249" w:lineRule="auto"/>
        <w:tabs>
          <w:tab w:leader="none" w:pos="744" w:val="left"/>
        </w:tabs>
        <w:numPr>
          <w:ilvl w:val="1"/>
          <w:numId w:val="1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filing and effectiveness of each Registration Statement with the SEC pursuant to Section 2(a), the Company shall keep the Registration Statement effective pursuant to Rule 415 of the 1933 Act and under the Israel Securities Law at all times until the earlier of</w:t>
      </w:r>
    </w:p>
    <w:p>
      <w:pPr>
        <w:spacing w:after="0" w:line="2" w:lineRule="exact"/>
        <w:rPr>
          <w:rFonts w:ascii="Courier New" w:cs="Courier New" w:eastAsia="Courier New" w:hAnsi="Courier New"/>
          <w:sz w:val="12"/>
          <w:szCs w:val="12"/>
          <w:color w:val="auto"/>
        </w:rPr>
      </w:pPr>
    </w:p>
    <w:p>
      <w:pPr>
        <w:ind w:left="744" w:right="4359" w:hanging="8"/>
        <w:spacing w:after="0" w:line="250" w:lineRule="auto"/>
        <w:tabs>
          <w:tab w:leader="none" w:pos="1039" w:val="left"/>
        </w:tabs>
        <w:numPr>
          <w:ilvl w:val="2"/>
          <w:numId w:val="1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date as of which all of the Holders confirm to the Company in writing that they may sell all of the Registrable Securities covered by such Registration Statement without restriction pursuant to all of the following: (x) Rule 144(k) under the 1933 Act, (y) the Israel Securities Law and (z) other securities or "blue sky" laws of each jurisdiction in which the Company obtained a registration or qualification in accordance with Section 3(d) below or (ii) the date on which the Holders shall have sold all the Registrable Securities covered by such Registration Statement (A) in accordance with such Registration Statement (except to another Holder pursuant to Section 9) or (B) to the public pursuant to Rule 144 under the 1933 Act (the "REGISTRATION PERIOD"), the Company to ensure that such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subject to Section 3(e) below.</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3"/>
          <w:numId w:val="1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4 -</w:t>
      </w:r>
    </w:p>
    <w:p>
      <w:pPr>
        <w:sectPr>
          <w:pgSz w:w="11900" w:h="16838" w:orient="portrait"/>
          <w:cols w:equalWidth="0" w:num="1">
            <w:col w:w="10244"/>
          </w:cols>
          <w:pgMar w:left="216" w:top="689" w:right="1440" w:bottom="1440" w:gutter="0" w:footer="0" w:header="0"/>
        </w:sectPr>
      </w:pPr>
    </w:p>
    <w:bookmarkStart w:id="164" w:name="page165"/>
    <w:bookmarkEnd w:id="164"/>
    <w:p>
      <w:pPr>
        <w:ind w:left="376" w:right="4359" w:hanging="376"/>
        <w:spacing w:after="0" w:line="250" w:lineRule="auto"/>
        <w:tabs>
          <w:tab w:leader="none" w:pos="376" w:val="left"/>
        </w:tabs>
        <w:numPr>
          <w:ilvl w:val="0"/>
          <w:numId w:val="1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prepare and file with the SEC and the ISA (to the extent required) such amendments (including post-effective amendments) and supplements to each Registration Statement and the prospectus used in connection with such Registration Statement, which prospectus is to be filed pursuant to Rule 424 under the 1933 Act or under the Israel Securities Law, as may be necessary to keep such Registration Statement effective at all times during the Registration Period, and, during such period, comply with the provisions of the 1933 Act and the Israel Securities Law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which, for the avoidance of doubt, shall include sales on the Nasdaq Stock Market and the TASE, as well as sales not made on such exchanges. In the case of amendments and supplements to a Registration Statement which are required to be filed pursuant to the Agreement (including pursuant to this Section 3(b) by reason of the Company filing a report on Form 20-F, Form 6-K or any analogous report under the 1934 Act), the Company shall have incorporated such report by reference into the Registration Statement, if applicable, or shall file such amendments or supplements with the SEC and the ISA on the same day on which the 1934 Act report is filed which created the requirement for the Company to amend or supplement the Registration Statement.</w:t>
      </w:r>
    </w:p>
    <w:p>
      <w:pPr>
        <w:spacing w:after="0" w:line="282" w:lineRule="exact"/>
        <w:rPr>
          <w:rFonts w:ascii="Courier New" w:cs="Courier New" w:eastAsia="Courier New" w:hAnsi="Courier New"/>
          <w:sz w:val="12"/>
          <w:szCs w:val="12"/>
          <w:color w:val="auto"/>
        </w:rPr>
      </w:pPr>
    </w:p>
    <w:p>
      <w:pPr>
        <w:ind w:left="376" w:right="4359" w:hanging="376"/>
        <w:spacing w:after="0" w:line="249" w:lineRule="auto"/>
        <w:tabs>
          <w:tab w:leader="none" w:pos="376" w:val="left"/>
        </w:tabs>
        <w:numPr>
          <w:ilvl w:val="0"/>
          <w:numId w:val="1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furnish each Holder whose Registrable Securities are included in any Registration Statement, without charge, (i) promptly after the same is prepared and filed with the SEC, at least three (3) copies of such Registration Statement and any amendment(s) thereto, including financial statements and schedules, all documents incorporated therein by reference, all exhibits and each preliminary prospectus (or such other number of copies as such Holder may reasonably request), (ii) upon the effectiveness of any Registration Statement, at least ten (10) copies of the prospectus included in such Registration Statement and all amendments and supplements thereto (or such other number of copies as such Holder may reasonably request) and</w:t>
      </w:r>
    </w:p>
    <w:p>
      <w:pPr>
        <w:spacing w:after="0" w:line="5" w:lineRule="exact"/>
        <w:rPr>
          <w:rFonts w:ascii="Courier New" w:cs="Courier New" w:eastAsia="Courier New" w:hAnsi="Courier New"/>
          <w:sz w:val="12"/>
          <w:szCs w:val="12"/>
          <w:color w:val="auto"/>
        </w:rPr>
      </w:pPr>
    </w:p>
    <w:p>
      <w:pPr>
        <w:ind w:left="376" w:right="4359" w:hanging="8"/>
        <w:spacing w:after="0" w:line="250" w:lineRule="auto"/>
        <w:tabs>
          <w:tab w:leader="none" w:pos="818" w:val="left"/>
        </w:tabs>
        <w:numPr>
          <w:ilvl w:val="1"/>
          <w:numId w:val="1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such other documents, including copies of any preliminary or final prospectus and of any Registration Statements and prospectuses filed with the ISA, as such Holder may reasonably request from time to time in order to facilitate the disposition of the Registrable Securities owned by such Holder.</w:t>
      </w:r>
    </w:p>
    <w:p>
      <w:pPr>
        <w:spacing w:after="0" w:line="283" w:lineRule="exact"/>
        <w:rPr>
          <w:rFonts w:ascii="Courier New" w:cs="Courier New" w:eastAsia="Courier New" w:hAnsi="Courier New"/>
          <w:sz w:val="12"/>
          <w:szCs w:val="12"/>
          <w:color w:val="auto"/>
        </w:rPr>
      </w:pPr>
    </w:p>
    <w:p>
      <w:pPr>
        <w:ind w:left="2496" w:hanging="141"/>
        <w:spacing w:after="0"/>
        <w:tabs>
          <w:tab w:leader="none" w:pos="2496" w:val="left"/>
        </w:tabs>
        <w:numPr>
          <w:ilvl w:val="2"/>
          <w:numId w:val="1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5 -</w:t>
      </w:r>
    </w:p>
    <w:p>
      <w:pPr>
        <w:sectPr>
          <w:pgSz w:w="11900" w:h="16838" w:orient="portrait"/>
          <w:cols w:equalWidth="0" w:num="1">
            <w:col w:w="9876"/>
          </w:cols>
          <w:pgMar w:left="584" w:top="689" w:right="1440" w:bottom="1440" w:gutter="0" w:footer="0" w:header="0"/>
        </w:sectPr>
      </w:pPr>
    </w:p>
    <w:bookmarkStart w:id="165" w:name="page166"/>
    <w:bookmarkEnd w:id="165"/>
    <w:p>
      <w:pPr>
        <w:ind w:left="376" w:right="4359" w:hanging="376"/>
        <w:spacing w:after="0" w:line="250" w:lineRule="auto"/>
        <w:tabs>
          <w:tab w:leader="none" w:pos="376" w:val="left"/>
        </w:tabs>
        <w:numPr>
          <w:ilvl w:val="0"/>
          <w:numId w:val="1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use its best efforts to (i) register and qualify, unless an exemption from registration and qualification applies, the resale by the Holders of the Registrable Securities covered by a Registration Statement under such other securities or "blue sky" laws of all the states of the United States,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3(d), or (y) file a general consent to service of process in any such jurisdiction. The Company shall promptly notify each Holder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282" w:lineRule="exact"/>
        <w:rPr>
          <w:rFonts w:ascii="Courier New" w:cs="Courier New" w:eastAsia="Courier New" w:hAnsi="Courier New"/>
          <w:sz w:val="12"/>
          <w:szCs w:val="12"/>
          <w:color w:val="auto"/>
        </w:rPr>
      </w:pPr>
    </w:p>
    <w:p>
      <w:pPr>
        <w:ind w:left="2496" w:hanging="141"/>
        <w:spacing w:after="0"/>
        <w:tabs>
          <w:tab w:leader="none" w:pos="2496" w:val="left"/>
        </w:tabs>
        <w:numPr>
          <w:ilvl w:val="1"/>
          <w:numId w:val="1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6 -</w:t>
      </w:r>
    </w:p>
    <w:p>
      <w:pPr>
        <w:sectPr>
          <w:pgSz w:w="11900" w:h="16838" w:orient="portrait"/>
          <w:cols w:equalWidth="0" w:num="1">
            <w:col w:w="9876"/>
          </w:cols>
          <w:pgMar w:left="584" w:top="689" w:right="1440" w:bottom="1440" w:gutter="0" w:footer="0" w:header="0"/>
        </w:sectPr>
      </w:pPr>
    </w:p>
    <w:bookmarkStart w:id="166" w:name="page167"/>
    <w:bookmarkEnd w:id="166"/>
    <w:p>
      <w:pPr>
        <w:ind w:left="376" w:right="4359" w:hanging="376"/>
        <w:spacing w:after="0" w:line="250" w:lineRule="auto"/>
        <w:tabs>
          <w:tab w:leader="none" w:pos="376" w:val="left"/>
        </w:tabs>
        <w:numPr>
          <w:ilvl w:val="0"/>
          <w:numId w:val="1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notify each Holder in writing of the happening of any event, as promptly as practicable after becoming aware of such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The Company shall use its best efforts to minimize the period of time during which a Registration Statement includes an untrue statement of a material fact or omission to state a material fact required to be stated therein or necessary to make the statements therein, in light of the circumstances under which they were made, not misleading. The Company shall promptly notify each Holder in writing (i) when a prospectus or any prospectus supplement or post-effective amendment has been filed so that the Registration Statement does not include an untrue statement of a material fact or omission to state a material fact required to be stated therein or necessary to make the statements therein, in light of the circumstances under which they were made, not misleading, and when a Registration Statement or any post-effective amendment has become effective (notification of such effectiveness shall be delivered to each Holder by facsimile on the same day of such effectiveness and by overnight mail), (ii) of any request by the SEC or the ISA for amendments or supplements to a Registration Statement or related prospectus or related information, and (iii) of the Company's reasonable determination that a post-effective amendment to a Registration Statement would be appropriate.</w:t>
      </w:r>
    </w:p>
    <w:p>
      <w:pPr>
        <w:spacing w:after="0" w:line="140" w:lineRule="exact"/>
        <w:rPr>
          <w:rFonts w:ascii="Courier New" w:cs="Courier New" w:eastAsia="Courier New" w:hAnsi="Courier New"/>
          <w:sz w:val="12"/>
          <w:szCs w:val="12"/>
          <w:color w:val="auto"/>
        </w:rPr>
      </w:pPr>
    </w:p>
    <w:p>
      <w:pPr>
        <w:ind w:left="376" w:right="4419" w:hanging="376"/>
        <w:spacing w:after="0" w:line="250" w:lineRule="auto"/>
        <w:tabs>
          <w:tab w:leader="none" w:pos="376" w:val="left"/>
        </w:tabs>
        <w:numPr>
          <w:ilvl w:val="0"/>
          <w:numId w:val="1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use its best efforts to prevent the issuance of any stop order or other suspension of effectiveness of a Registration Statement, or the suspension of the qualification of any of the Registrable Securities for sale in any jurisdiction and, if such an order or suspension is issued, to obtain the withdrawal of such order or suspension at the earliest possible moment and to notify each Holder who holds Registrable Securities being sold of the issuance of such order and the resolution thereof or its receipt of actual notice of the initiation or threat of any proceeding for such purpose.</w:t>
      </w:r>
    </w:p>
    <w:p>
      <w:pPr>
        <w:spacing w:after="0" w:line="141"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1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cause all the Registrable Securities covered by a Registration Statement to be listed on each securities exchange on which securities of the same class or series issued by the Company are then listed, including the NASDAQ and the TASE and the Company shall, not later than the effective date of a Registration Statement, deliver to the Holders a copy of the approvals of the TASE and the NASDAQ (and/or any other exchange, if applicable) to the listing of the Registrable Securities covered by such Registration Statement on such exchange.</w:t>
      </w:r>
    </w:p>
    <w:p>
      <w:pPr>
        <w:spacing w:after="0" w:line="282" w:lineRule="exact"/>
        <w:rPr>
          <w:rFonts w:ascii="Courier New" w:cs="Courier New" w:eastAsia="Courier New" w:hAnsi="Courier New"/>
          <w:sz w:val="12"/>
          <w:szCs w:val="12"/>
          <w:color w:val="auto"/>
        </w:rPr>
      </w:pPr>
    </w:p>
    <w:p>
      <w:pPr>
        <w:ind w:left="2496" w:hanging="141"/>
        <w:spacing w:after="0"/>
        <w:tabs>
          <w:tab w:leader="none" w:pos="2496" w:val="left"/>
        </w:tabs>
        <w:numPr>
          <w:ilvl w:val="1"/>
          <w:numId w:val="1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7 -</w:t>
      </w:r>
    </w:p>
    <w:p>
      <w:pPr>
        <w:sectPr>
          <w:pgSz w:w="11900" w:h="16838" w:orient="portrait"/>
          <w:cols w:equalWidth="0" w:num="1">
            <w:col w:w="9876"/>
          </w:cols>
          <w:pgMar w:left="584" w:top="689" w:right="1440" w:bottom="1440" w:gutter="0" w:footer="0" w:header="0"/>
        </w:sectPr>
      </w:pPr>
    </w:p>
    <w:bookmarkStart w:id="167" w:name="page168"/>
    <w:bookmarkEnd w:id="167"/>
    <w:p>
      <w:pPr>
        <w:ind w:left="376" w:right="4359" w:hanging="376"/>
        <w:spacing w:after="0" w:line="250" w:lineRule="auto"/>
        <w:tabs>
          <w:tab w:leader="none" w:pos="376" w:val="left"/>
        </w:tabs>
        <w:numPr>
          <w:ilvl w:val="0"/>
          <w:numId w:val="1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cooperate with the Holders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Holders may reasonably request and registered in such names as the Holders may request.</w:t>
      </w:r>
    </w:p>
    <w:p>
      <w:pPr>
        <w:spacing w:after="0" w:line="141" w:lineRule="exact"/>
        <w:rPr>
          <w:rFonts w:ascii="Courier New" w:cs="Courier New" w:eastAsia="Courier New" w:hAnsi="Courier New"/>
          <w:sz w:val="12"/>
          <w:szCs w:val="12"/>
          <w:color w:val="auto"/>
        </w:rPr>
      </w:pPr>
    </w:p>
    <w:p>
      <w:pPr>
        <w:ind w:left="376" w:right="4359" w:hanging="376"/>
        <w:spacing w:after="0" w:line="251" w:lineRule="auto"/>
        <w:tabs>
          <w:tab w:leader="none" w:pos="376" w:val="left"/>
        </w:tabs>
        <w:numPr>
          <w:ilvl w:val="0"/>
          <w:numId w:val="1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provide a transfer agent and registrar of all Registrable Securities and a CUSIP number not later than the effective date of the applicable Registration Statement.</w:t>
      </w:r>
    </w:p>
    <w:p>
      <w:pPr>
        <w:spacing w:after="0" w:line="139"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1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requested by a Holder, the Company shall (i) as soon as practicable incorporate in a prospectus supplement or post-effective amendment such information as a Holder requests to be included therein, information with respect to the number of Registrable Securities being offered or sold, the purchase price being paid therefor and any other terms of the offering of the Registrable Securities to be sold in such offering; (ii) as soon as practicable make all required filings of such prospectus supplement or post-effective amendment after being notified of the matters to be incorporated in such prospectus supplement or post-effective amendment; and (iii) as soon as practicable, supplement or make amendments to any Registration Statement if reasonably requested by a Holder of such Registrable Securities.</w:t>
      </w:r>
    </w:p>
    <w:p>
      <w:pPr>
        <w:spacing w:after="0" w:line="282" w:lineRule="exact"/>
        <w:rPr>
          <w:rFonts w:ascii="Courier New" w:cs="Courier New" w:eastAsia="Courier New" w:hAnsi="Courier New"/>
          <w:sz w:val="12"/>
          <w:szCs w:val="12"/>
          <w:color w:val="auto"/>
        </w:rPr>
      </w:pPr>
    </w:p>
    <w:p>
      <w:pPr>
        <w:ind w:left="376" w:right="4499" w:hanging="376"/>
        <w:spacing w:after="0" w:line="250" w:lineRule="auto"/>
        <w:tabs>
          <w:tab w:leader="none" w:pos="376" w:val="left"/>
        </w:tabs>
        <w:numPr>
          <w:ilvl w:val="0"/>
          <w:numId w:val="1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of any underwritten public offering of the Registrable Securities, enter into and perform its obligations under an underwriting agreement with usual and customary terms that are generally satisfactory to the managing underwriter of such offering. The Holder shall also enter into and perform its obligations under such an agreement (the terms of which must be satisfactory to the Holder if the Holder is to participate in such offering).</w:t>
      </w:r>
    </w:p>
    <w:p>
      <w:pPr>
        <w:spacing w:after="0" w:line="141"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1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afford the Holder and its representatives (including counsel) the opportunity at any time and from time to time during the Registration Period to make such examinations of the business affairs and other material financial and corporate documents of the Company and its subsidiaries as the Holder may reasonably deem necessary to satisfy itself as to the accuracy of the registration statement (subject to a reasonable confidentiality undertaking on the part of the Holder and its representatives).</w:t>
      </w:r>
    </w:p>
    <w:p>
      <w:pPr>
        <w:spacing w:after="0" w:line="282" w:lineRule="exact"/>
        <w:rPr>
          <w:rFonts w:ascii="Courier New" w:cs="Courier New" w:eastAsia="Courier New" w:hAnsi="Courier New"/>
          <w:sz w:val="12"/>
          <w:szCs w:val="12"/>
          <w:color w:val="auto"/>
        </w:rPr>
      </w:pPr>
    </w:p>
    <w:p>
      <w:pPr>
        <w:ind w:left="2496" w:hanging="141"/>
        <w:spacing w:after="0"/>
        <w:tabs>
          <w:tab w:leader="none" w:pos="2496" w:val="left"/>
        </w:tabs>
        <w:numPr>
          <w:ilvl w:val="1"/>
          <w:numId w:val="1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8 -</w:t>
      </w:r>
    </w:p>
    <w:p>
      <w:pPr>
        <w:sectPr>
          <w:pgSz w:w="11900" w:h="16838" w:orient="portrait"/>
          <w:cols w:equalWidth="0" w:num="1">
            <w:col w:w="9876"/>
          </w:cols>
          <w:pgMar w:left="584" w:top="689" w:right="1440" w:bottom="1440" w:gutter="0" w:footer="0" w:header="0"/>
        </w:sectPr>
      </w:pPr>
    </w:p>
    <w:bookmarkStart w:id="168" w:name="page169"/>
    <w:bookmarkEnd w:id="168"/>
    <w:p>
      <w:pPr>
        <w:ind w:left="744" w:right="4359" w:hanging="376"/>
        <w:spacing w:after="0" w:line="250" w:lineRule="auto"/>
        <w:tabs>
          <w:tab w:leader="none" w:pos="744" w:val="left"/>
        </w:tabs>
        <w:numPr>
          <w:ilvl w:val="1"/>
          <w:numId w:val="18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furnish, at the request of the Holder in connection with the registration of Registrable Shares pursuant to this Agreement, on the date that such Registrable Shares are delivered to the underwriters for sale, if such securities are being sold through underwriters, or, if such securities are not being sold through underwriters, on the date that the Registration Statement with respect to such securities becomes effective and on the date of each post-effective amendment thereof: (i) an opinion, dated such date, of the counsel representing the Company for the purposes of such registration, in form and substance as is customarily given to underwriters in an underwritten public offering, addressed to the underwriters, if any, and to the Holder;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w:t>
      </w:r>
    </w:p>
    <w:p>
      <w:pPr>
        <w:spacing w:after="0" w:line="141" w:lineRule="exact"/>
        <w:rPr>
          <w:rFonts w:ascii="Courier New" w:cs="Courier New" w:eastAsia="Courier New" w:hAnsi="Courier New"/>
          <w:sz w:val="12"/>
          <w:szCs w:val="12"/>
          <w:color w:val="auto"/>
        </w:rPr>
      </w:pPr>
    </w:p>
    <w:p>
      <w:pPr>
        <w:ind w:left="744" w:right="4419" w:hanging="376"/>
        <w:spacing w:after="0" w:line="250" w:lineRule="auto"/>
        <w:tabs>
          <w:tab w:leader="none" w:pos="744" w:val="left"/>
        </w:tabs>
        <w:numPr>
          <w:ilvl w:val="1"/>
          <w:numId w:val="18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comply with all applicable rules and regulations of the SEC and shall make generally available to its security holders an earnings statement satisfying the provisions of Section 11(a) of the 1933 Act as soon as practicable after the effective date of the Registration Statement and in any event no later than 45 days after the end of a 12-month period (or 90 days, if such period is a fiscal year) beginning with the first month of the Company's first fiscal quarter commencing after the effective date of the Registration Statement.</w:t>
      </w:r>
    </w:p>
    <w:p>
      <w:pPr>
        <w:spacing w:after="0" w:line="141"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1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OBLIGATIONS OF THE HOLDERS.</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Each Holder agrees that, upon receipt of any notice from the Company of the happening of any event of the kind described in the first sentence of Section 3(e) or in Section 3(f), such Holder will immediately discontinue disposition of Registrable Securities pursuant to any Registration Statement(s) covering such Registrable Securities until such Holder's receipt of the copies of the supplemented or amended prospectus contemplated by the first sentence of Section 3(e) or receipt of notice that no supplement or amendment is required.</w:t>
      </w:r>
    </w:p>
    <w:p>
      <w:pPr>
        <w:spacing w:after="0" w:line="141"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1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EXPENSES OF REGISTRATION.</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All expenses, other than underwriting discounts and commissions, incurred in connection with registrations, filings or qualifications pursuant to Sections 2 and 3, including, without limitation, all registration, listing and qualifications fees, printers and accounting fees, fees and disbursements of counsel to the Company and the Holders, including in connection with such examinations described in Section 3(l) above, shall be paid by the Company.</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2"/>
          <w:numId w:val="1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9 -</w:t>
      </w:r>
    </w:p>
    <w:p>
      <w:pPr>
        <w:sectPr>
          <w:pgSz w:w="11900" w:h="16838" w:orient="portrait"/>
          <w:cols w:equalWidth="0" w:num="1">
            <w:col w:w="10244"/>
          </w:cols>
          <w:pgMar w:left="216" w:top="688" w:right="1440" w:bottom="1440" w:gutter="0" w:footer="0" w:header="0"/>
        </w:sectPr>
      </w:pPr>
    </w:p>
    <w:bookmarkStart w:id="169" w:name="page170"/>
    <w:bookmarkEnd w:id="169"/>
    <w:p>
      <w:pPr>
        <w:ind w:left="364" w:hanging="364"/>
        <w:spacing w:after="0"/>
        <w:tabs>
          <w:tab w:leader="none" w:pos="364" w:val="left"/>
        </w:tabs>
        <w:numPr>
          <w:ilvl w:val="0"/>
          <w:numId w:val="1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INDEMNIFICATION.</w:t>
      </w:r>
    </w:p>
    <w:p>
      <w:pPr>
        <w:spacing w:after="0" w:line="147" w:lineRule="exact"/>
        <w:rPr>
          <w:rFonts w:ascii="Courier New" w:cs="Courier New" w:eastAsia="Courier New" w:hAnsi="Courier New"/>
          <w:sz w:val="12"/>
          <w:szCs w:val="12"/>
          <w:color w:val="auto"/>
        </w:rPr>
      </w:pPr>
    </w:p>
    <w:p>
      <w:pPr>
        <w:ind w:left="364" w:right="4719"/>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any Registrable Securities are included in a Registration Statement under this Agreement:</w:t>
      </w:r>
    </w:p>
    <w:p>
      <w:pPr>
        <w:spacing w:after="0" w:line="138" w:lineRule="exact"/>
        <w:rPr>
          <w:rFonts w:ascii="Courier New" w:cs="Courier New" w:eastAsia="Courier New" w:hAnsi="Courier New"/>
          <w:sz w:val="12"/>
          <w:szCs w:val="12"/>
          <w:color w:val="auto"/>
        </w:rPr>
      </w:pPr>
    </w:p>
    <w:p>
      <w:pPr>
        <w:ind w:left="744" w:right="4359" w:hanging="376"/>
        <w:spacing w:after="0" w:line="250" w:lineRule="auto"/>
        <w:tabs>
          <w:tab w:leader="none" w:pos="744" w:val="left"/>
        </w:tabs>
        <w:numPr>
          <w:ilvl w:val="1"/>
          <w:numId w:val="1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the fullest extent permitted by law, the Company will, and hereby does, indemnify, hold harmless and defend each Holder, the directors, officers, partners, employees, agents, representatives of, and each Person, if any, who controls any Holder within the meaning of the 1933 Act or 1934 Act (each, an "INDEMNIFIED PERSON"), against any losses, claims, damages, liabilities, judgments, fines, penalties, charges, costs, reasonable attorneys' fees, amounts paid in settlement or expenses, joint or several, (collectively, "CLAIMS") incurred in investigating, preparing or defending any action, claim, suit, inquiry, proceeding, investigation or appeal taken from the foregoing by or before any court or governmental, administrative or other regulatory agency, body or the SEC or the ISA, whether pending or threatened, whether or not a person to be indemnified is or may be a party thereto ("INDEMNIFIED DAMAGES"),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("BLUE SKY FILING"), or the omission or alleged omission to state a material fact required to be stated therein or necessary to make the statements therein not misleading, (ii) any untrue statement or alleged untrue statement of a material fact contained in any Registration Statement, preliminary prospectus, final prospectus or "free writing prospectus" (as such term is defined in Rule 405 under the 1933 Act) or any amendment or supplement to any such prospectus or the omission or alleged omission to state therein any material fact necessary to make the statements made therein, in light of the circumstances under which the statements therein were made, not misleading, (iii) any violation or alleged violation by the Company of the 1933 Act, the 1934 Act, any other law, including, without limitation, any state securities law, the Israel Securities Law or any rule or regulation thereunder relating to the offer or sale of the Registrable Securities pursuant to a Registration Statement or (iv) any material violation of this Agreement (the matters in the foregoing clauses (i) through (iv) being, collectively, "VIOLATIONS"). Subject to Section 6(c), the Company shall reimburse the Indemnified Persons promptly as such expenses are incurred and are due and payable, for any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furnished in writing to the Company by such Indemnified Person expressly for inclusion in any such Registration Statement, preliminary prospectus, final prospectus or free writing prospectus or any such amendment thereof or supplement thereto and (ii)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Holders pursuant to Section 9.</w:t>
      </w:r>
    </w:p>
    <w:p>
      <w:pPr>
        <w:spacing w:after="0" w:line="200" w:lineRule="exact"/>
        <w:rPr>
          <w:rFonts w:ascii="Courier New" w:cs="Courier New" w:eastAsia="Courier New" w:hAnsi="Courier New"/>
          <w:sz w:val="12"/>
          <w:szCs w:val="12"/>
          <w:color w:val="auto"/>
        </w:rPr>
      </w:pPr>
    </w:p>
    <w:p>
      <w:pPr>
        <w:spacing w:after="0" w:line="365" w:lineRule="exact"/>
        <w:rPr>
          <w:rFonts w:ascii="Courier New" w:cs="Courier New" w:eastAsia="Courier New" w:hAnsi="Courier New"/>
          <w:sz w:val="12"/>
          <w:szCs w:val="12"/>
          <w:color w:val="auto"/>
        </w:rPr>
      </w:pPr>
    </w:p>
    <w:p>
      <w:pPr>
        <w:ind w:left="2864" w:hanging="141"/>
        <w:spacing w:after="0"/>
        <w:tabs>
          <w:tab w:leader="none" w:pos="2864" w:val="left"/>
        </w:tabs>
        <w:numPr>
          <w:ilvl w:val="2"/>
          <w:numId w:val="1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10 -</w:t>
      </w:r>
    </w:p>
    <w:p>
      <w:pPr>
        <w:sectPr>
          <w:pgSz w:w="11900" w:h="16838" w:orient="portrait"/>
          <w:cols w:equalWidth="0" w:num="1">
            <w:col w:w="10244"/>
          </w:cols>
          <w:pgMar w:left="216" w:top="689" w:right="1440" w:bottom="1440" w:gutter="0" w:footer="0" w:header="0"/>
        </w:sectPr>
      </w:pPr>
    </w:p>
    <w:bookmarkStart w:id="170" w:name="page171"/>
    <w:bookmarkEnd w:id="170"/>
    <w:p>
      <w:pPr>
        <w:ind w:left="376" w:right="4359" w:hanging="376"/>
        <w:spacing w:after="0" w:line="250" w:lineRule="auto"/>
        <w:tabs>
          <w:tab w:leader="none" w:pos="376" w:val="left"/>
        </w:tabs>
        <w:numPr>
          <w:ilvl w:val="0"/>
          <w:numId w:val="1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connection with any Registration Statement in which a Holder is participating, each such Holder agrees, severally and not jointly, to indemnify, hold harmless and defend, to the same extent and in the same manner as is set forth in Section 6(a), the Company, each of its directors, each of its officers who signs the Registration Statement, each Person, if any, who controls the Company within the meaning of the 1933 Act or the 1934 Act (each an "INDEMNIFIED PARTY"),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furnished to the Company by such Holder expressly for inclusion in Registration Statement, preliminary prospectus, final prospectus or free writing prospectus and, subject to Section 6(c), such Holder will reimburse any legal or other expenses reasonably incurred by an Indemnified Party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such Holder; provided, further, however, that the Holder shall be liable under this Section 6 for only that amount of a Claim or Indemnified Damages as does not exceed the net proceeds to such Holder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Holders pursuant to Section 9.</w:t>
      </w:r>
    </w:p>
    <w:p>
      <w:pPr>
        <w:spacing w:after="0" w:line="200" w:lineRule="exact"/>
        <w:rPr>
          <w:rFonts w:ascii="Courier New" w:cs="Courier New" w:eastAsia="Courier New" w:hAnsi="Courier New"/>
          <w:sz w:val="12"/>
          <w:szCs w:val="12"/>
          <w:color w:val="auto"/>
        </w:rPr>
      </w:pPr>
    </w:p>
    <w:p>
      <w:pPr>
        <w:spacing w:after="0" w:line="224" w:lineRule="exact"/>
        <w:rPr>
          <w:rFonts w:ascii="Courier New" w:cs="Courier New" w:eastAsia="Courier New" w:hAnsi="Courier New"/>
          <w:sz w:val="12"/>
          <w:szCs w:val="12"/>
          <w:color w:val="auto"/>
        </w:rPr>
      </w:pPr>
    </w:p>
    <w:p>
      <w:pPr>
        <w:ind w:left="2496" w:hanging="141"/>
        <w:spacing w:after="0"/>
        <w:tabs>
          <w:tab w:leader="none" w:pos="2496" w:val="left"/>
        </w:tabs>
        <w:numPr>
          <w:ilvl w:val="1"/>
          <w:numId w:val="1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11 -</w:t>
      </w:r>
    </w:p>
    <w:p>
      <w:pPr>
        <w:sectPr>
          <w:pgSz w:w="11900" w:h="16838" w:orient="portrait"/>
          <w:cols w:equalWidth="0" w:num="1">
            <w:col w:w="9876"/>
          </w:cols>
          <w:pgMar w:left="584" w:top="689" w:right="1440" w:bottom="1440" w:gutter="0" w:footer="0" w:header="0"/>
        </w:sectPr>
      </w:pPr>
    </w:p>
    <w:bookmarkStart w:id="171" w:name="page172"/>
    <w:bookmarkEnd w:id="171"/>
    <w:p>
      <w:pPr>
        <w:ind w:left="376" w:right="4359" w:hanging="376"/>
        <w:spacing w:after="0" w:line="250" w:lineRule="auto"/>
        <w:tabs>
          <w:tab w:leader="none" w:pos="376" w:val="left"/>
        </w:tabs>
        <w:numPr>
          <w:ilvl w:val="0"/>
          <w:numId w:val="1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counsel for such Indemnified Person or Indemnified Party to be paid by the indemnifying party, if,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In the case of an Indemnified Person, legal counsel referred to in the immediately preceding sentence shall be selected by the Holders holding a majority in interest of the Registrable Securities included in the Registration Statement to which the Claim relates.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 but the omission to so notify the indemnifying party will not relieve such indemnifying party of any liability that it may have to any Indemnified Person or Party otherwise than under this Section 6(c), including under Section 6(e).</w:t>
      </w:r>
    </w:p>
    <w:p>
      <w:pPr>
        <w:spacing w:after="0" w:line="282" w:lineRule="exact"/>
        <w:rPr>
          <w:rFonts w:ascii="Courier New" w:cs="Courier New" w:eastAsia="Courier New" w:hAnsi="Courier New"/>
          <w:sz w:val="12"/>
          <w:szCs w:val="12"/>
          <w:color w:val="auto"/>
        </w:rPr>
      </w:pPr>
    </w:p>
    <w:p>
      <w:pPr>
        <w:ind w:left="2496" w:hanging="141"/>
        <w:spacing w:after="0"/>
        <w:tabs>
          <w:tab w:leader="none" w:pos="2496" w:val="left"/>
        </w:tabs>
        <w:numPr>
          <w:ilvl w:val="1"/>
          <w:numId w:val="1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12 -</w:t>
      </w:r>
    </w:p>
    <w:p>
      <w:pPr>
        <w:sectPr>
          <w:pgSz w:w="11900" w:h="16838" w:orient="portrait"/>
          <w:cols w:equalWidth="0" w:num="1">
            <w:col w:w="9876"/>
          </w:cols>
          <w:pgMar w:left="584" w:top="689" w:right="1440" w:bottom="1440" w:gutter="0" w:footer="0" w:header="0"/>
        </w:sectPr>
      </w:pPr>
    </w:p>
    <w:bookmarkStart w:id="172" w:name="page173"/>
    <w:bookmarkEnd w:id="172"/>
    <w:p>
      <w:pPr>
        <w:ind w:left="744" w:right="4799" w:hanging="376"/>
        <w:spacing w:after="0" w:line="251" w:lineRule="auto"/>
        <w:tabs>
          <w:tab w:leader="none" w:pos="744" w:val="left"/>
        </w:tabs>
        <w:numPr>
          <w:ilvl w:val="1"/>
          <w:numId w:val="1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139" w:lineRule="exact"/>
        <w:rPr>
          <w:rFonts w:ascii="Courier New" w:cs="Courier New" w:eastAsia="Courier New" w:hAnsi="Courier New"/>
          <w:sz w:val="12"/>
          <w:szCs w:val="12"/>
          <w:color w:val="auto"/>
        </w:rPr>
      </w:pPr>
    </w:p>
    <w:p>
      <w:pPr>
        <w:ind w:left="744" w:right="4419" w:hanging="376"/>
        <w:spacing w:after="0" w:line="250" w:lineRule="auto"/>
        <w:tabs>
          <w:tab w:leader="none" w:pos="744" w:val="left"/>
        </w:tabs>
        <w:numPr>
          <w:ilvl w:val="1"/>
          <w:numId w:val="1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41"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1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CONTRIBUTION.</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To the extent any indemnification by an indemnifying party is prohibited or limited by law or insufficient to hold an Indemnified Person or an Indemnified Party, as the case may be, harmless, then the indemnifying party, in lieu of indemnifying such Indemnified Person or Indemnified Party hereunder, shall contribute to the amount paid or payable by such Indemnified Person or Indemnified Party as a result of such Claims and Indemnified Damages (each as defined in Section 6(a) above) in such proportion as is appropriate to reflect the relative fault of the indemnifying party on the one hand and of the Indemnified Person or Indemnified Party, as the case may be, on the other in connection with the statements or omissions that resulted in such loss, liability, claim, damage, or expense as well as any other relevant equitable considerations. The relative fault of the indemnifying party and of the Indemnified Person or Indemnified Party, as the case may be, shall be determined by reference to, among other things, whether the untrue or alleged untrue statement of a material fact or the omission to state a material fact relates to information supplied by the indemnifying party or by the Indemnified Person or Indemnified Party and the parties' relative intent, knowledge, access to information, and opportunity to correct or prevent such statement or omission.</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2"/>
          <w:numId w:val="1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13 -</w:t>
      </w:r>
    </w:p>
    <w:p>
      <w:pPr>
        <w:sectPr>
          <w:pgSz w:w="11900" w:h="16838" w:orient="portrait"/>
          <w:cols w:equalWidth="0" w:num="1">
            <w:col w:w="10244"/>
          </w:cols>
          <w:pgMar w:left="216" w:top="689" w:right="1440" w:bottom="1440" w:gutter="0" w:footer="0" w:header="0"/>
        </w:sectPr>
      </w:pPr>
    </w:p>
    <w:bookmarkStart w:id="173" w:name="page174"/>
    <w:bookmarkEnd w:id="173"/>
    <w:p>
      <w:pPr>
        <w:ind w:left="364" w:right="4419"/>
        <w:spacing w:after="0" w:line="250" w:lineRule="auto"/>
        <w:rPr>
          <w:sz w:val="20"/>
          <w:szCs w:val="20"/>
          <w:color w:val="auto"/>
        </w:rPr>
      </w:pPr>
      <w:r>
        <w:rPr>
          <w:rFonts w:ascii="Courier New" w:cs="Courier New" w:eastAsia="Courier New" w:hAnsi="Courier New"/>
          <w:sz w:val="12"/>
          <w:szCs w:val="12"/>
          <w:color w:val="auto"/>
        </w:rPr>
        <w:t>Notwithstanding the foregoing, (i)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 contribution by any seller of Registrable Securities shall be limited in amount to the net amount of proceeds received by such seller from the sale of such Registrable Securities pursuant to such Registration Statement.</w:t>
      </w:r>
    </w:p>
    <w:p>
      <w:pPr>
        <w:spacing w:after="0" w:line="141" w:lineRule="exact"/>
        <w:rPr>
          <w:sz w:val="20"/>
          <w:szCs w:val="20"/>
          <w:color w:val="auto"/>
        </w:rPr>
      </w:pPr>
    </w:p>
    <w:p>
      <w:pPr>
        <w:ind w:left="364" w:hanging="364"/>
        <w:spacing w:after="0"/>
        <w:tabs>
          <w:tab w:leader="none" w:pos="364" w:val="left"/>
        </w:tabs>
        <w:numPr>
          <w:ilvl w:val="0"/>
          <w:numId w:val="1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REPORTS UNDER THE 1934 ACT.</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With a view to making available to the Holders the benefits of Rule 144 promulgated under the 1933 Act or any other similar rule or regulation of the SEC that may at any time permit the Holders to sell securities of the Company to the public without registration ("RULE 144"), the Company agrees to:</w:t>
      </w:r>
    </w:p>
    <w:p>
      <w:pPr>
        <w:spacing w:after="0" w:line="141" w:lineRule="exact"/>
        <w:rPr>
          <w:rFonts w:ascii="Courier New" w:cs="Courier New" w:eastAsia="Courier New" w:hAnsi="Courier New"/>
          <w:sz w:val="12"/>
          <w:szCs w:val="12"/>
          <w:color w:val="auto"/>
        </w:rPr>
      </w:pPr>
    </w:p>
    <w:p>
      <w:pPr>
        <w:ind w:left="744" w:right="4939" w:hanging="376"/>
        <w:spacing w:after="0" w:line="253" w:lineRule="auto"/>
        <w:tabs>
          <w:tab w:leader="none" w:pos="744" w:val="left"/>
        </w:tabs>
        <w:numPr>
          <w:ilvl w:val="1"/>
          <w:numId w:val="1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make and keep public information available, as those terms are understood and defined in Rule 144;</w:t>
      </w:r>
    </w:p>
    <w:p>
      <w:pPr>
        <w:spacing w:after="0" w:line="138" w:lineRule="exact"/>
        <w:rPr>
          <w:rFonts w:ascii="Courier New" w:cs="Courier New" w:eastAsia="Courier New" w:hAnsi="Courier New"/>
          <w:sz w:val="12"/>
          <w:szCs w:val="12"/>
          <w:color w:val="auto"/>
        </w:rPr>
      </w:pPr>
    </w:p>
    <w:p>
      <w:pPr>
        <w:ind w:left="744" w:right="4359" w:hanging="376"/>
        <w:spacing w:after="0" w:line="250" w:lineRule="auto"/>
        <w:tabs>
          <w:tab w:leader="none" w:pos="744" w:val="left"/>
        </w:tabs>
        <w:numPr>
          <w:ilvl w:val="1"/>
          <w:numId w:val="1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file with the SEC in a timely manner all reports and other documents required by the Company under the 1993 Act and the 1934 Act so long as the Company remains subject to such requirements and the filing of such reports and other documents is required for the applicable provisions of Rule 144; and</w:t>
      </w:r>
    </w:p>
    <w:p>
      <w:pPr>
        <w:spacing w:after="0" w:line="141" w:lineRule="exact"/>
        <w:rPr>
          <w:rFonts w:ascii="Courier New" w:cs="Courier New" w:eastAsia="Courier New" w:hAnsi="Courier New"/>
          <w:sz w:val="12"/>
          <w:szCs w:val="12"/>
          <w:color w:val="auto"/>
        </w:rPr>
      </w:pPr>
    </w:p>
    <w:p>
      <w:pPr>
        <w:ind w:left="744" w:right="4359" w:hanging="376"/>
        <w:spacing w:after="0" w:line="250" w:lineRule="auto"/>
        <w:tabs>
          <w:tab w:leader="none" w:pos="744" w:val="left"/>
        </w:tabs>
        <w:numPr>
          <w:ilvl w:val="1"/>
          <w:numId w:val="1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furnish to each Holder so long as such Holder owns Registrable Securities, promptly upon request, (i) a written statement by the Company that it has complied with the reporting requirements of Rule 144, the 1933 Act and the 1934 Act, (ii) a copy of the most recent annual or quarterly report of the Company and such other reports and documents so filed by the Company, and (iii) such other information as may be reasonably requested to permit the Holders to sell such securities pursuant to any rule or regulation of the SEC allowing the Holder to sell any securities without registration.</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2"/>
          <w:numId w:val="1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14 -</w:t>
      </w:r>
    </w:p>
    <w:p>
      <w:pPr>
        <w:sectPr>
          <w:pgSz w:w="11900" w:h="16838" w:orient="portrait"/>
          <w:cols w:equalWidth="0" w:num="1">
            <w:col w:w="10244"/>
          </w:cols>
          <w:pgMar w:left="216" w:top="688" w:right="1440" w:bottom="1440" w:gutter="0" w:footer="0" w:header="0"/>
        </w:sectPr>
      </w:pPr>
    </w:p>
    <w:bookmarkStart w:id="174" w:name="page175"/>
    <w:bookmarkEnd w:id="174"/>
    <w:p>
      <w:pPr>
        <w:ind w:left="364" w:hanging="364"/>
        <w:spacing w:after="0"/>
        <w:tabs>
          <w:tab w:leader="none" w:pos="364" w:val="left"/>
        </w:tabs>
        <w:numPr>
          <w:ilvl w:val="0"/>
          <w:numId w:val="1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ASSIGNMENT OF REGISTRATION RIGHTS.</w:t>
      </w:r>
    </w:p>
    <w:p>
      <w:pPr>
        <w:spacing w:after="0" w:line="147" w:lineRule="exact"/>
        <w:rPr>
          <w:rFonts w:ascii="Courier New" w:cs="Courier New" w:eastAsia="Courier New" w:hAnsi="Courier New"/>
          <w:sz w:val="12"/>
          <w:szCs w:val="12"/>
          <w:color w:val="auto"/>
        </w:rPr>
      </w:pPr>
    </w:p>
    <w:p>
      <w:pPr>
        <w:ind w:left="364" w:right="435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rights under this Agreement shall be freely assignable, in whole or in part at any time and from time to time during the Registration Period, by the Holder to any transferee of all or any portion of a Capital Note or of the Registrable Securities (provided that, in the case of the transfer of Registrable Securities only, the rights under the Agreement may be transferred only if the Holder reasonably believes that such transferee cannot immediately make a public distribution of such Registrable Securities without restriction under the 1933 Act, the Israel Securities Law or other applicable securities laws) if: (i) the Holder agrees in writing with the transferee or assignee to assign such rights, and a copy of such agreement is furnished to the Company within a reasonable time after such transfer or assignment; (ii) the Company is, within a reasonable time after such transfer or assignment, furnished with written notice of</w:t>
      </w:r>
    </w:p>
    <w:p>
      <w:pPr>
        <w:spacing w:after="0" w:line="7" w:lineRule="exact"/>
        <w:rPr>
          <w:rFonts w:ascii="Courier New" w:cs="Courier New" w:eastAsia="Courier New" w:hAnsi="Courier New"/>
          <w:sz w:val="12"/>
          <w:szCs w:val="12"/>
          <w:color w:val="auto"/>
        </w:rPr>
      </w:pPr>
    </w:p>
    <w:p>
      <w:pPr>
        <w:ind w:left="364" w:right="4359" w:firstLine="4"/>
        <w:spacing w:after="0" w:line="250" w:lineRule="auto"/>
        <w:tabs>
          <w:tab w:leader="none" w:pos="659" w:val="left"/>
        </w:tabs>
        <w:numPr>
          <w:ilvl w:val="1"/>
          <w:numId w:val="1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name and address of such transferee or assignee, and (b) the securities with respect to which such registration rights are being transferred or assigned; and (iii) within a reasonable period of time after such transfer or assignment, the transferee or assignee agrees in writing with the Company to be bound by all of the provisions contained herein. At the transferee's request, the Company shall promptly prepare and file any required prospectus supplement under Rule 424(b)(3) of the 1933 Act or other applicable provision of the 1933 Act and/or the Israel Securities Law to appropriately amend the list of selling shareholders thereunder to include such transferee.</w:t>
      </w:r>
    </w:p>
    <w:p>
      <w:pPr>
        <w:spacing w:after="0" w:line="141"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1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 OF REGISTRATION RIGHTS.</w:t>
      </w:r>
    </w:p>
    <w:p>
      <w:pPr>
        <w:spacing w:after="0" w:line="147" w:lineRule="exact"/>
        <w:rPr>
          <w:rFonts w:ascii="Courier New" w:cs="Courier New" w:eastAsia="Courier New" w:hAnsi="Courier New"/>
          <w:sz w:val="12"/>
          <w:szCs w:val="12"/>
          <w:color w:val="auto"/>
        </w:rPr>
      </w:pPr>
    </w:p>
    <w:p>
      <w:pPr>
        <w:ind w:left="364" w:right="441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Provisions of this Agreement may be amended and the observance thereof may be waived (either generally or in a particular instance and either retroactively or prospectively), only with the written consent of the Company and the Holders. Any amendment or waiver effected in accordance with this Section 10 shall be binding upon each Holder and the Company. No such amendment shall be effective to the extent that it applies to less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2"/>
          <w:numId w:val="1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15 -</w:t>
      </w:r>
    </w:p>
    <w:p>
      <w:pPr>
        <w:sectPr>
          <w:pgSz w:w="11900" w:h="16838" w:orient="portrait"/>
          <w:cols w:equalWidth="0" w:num="1">
            <w:col w:w="10244"/>
          </w:cols>
          <w:pgMar w:left="216" w:top="689" w:right="1440" w:bottom="1440" w:gutter="0" w:footer="0" w:header="0"/>
        </w:sectPr>
      </w:pPr>
    </w:p>
    <w:bookmarkStart w:id="175" w:name="page176"/>
    <w:bookmarkEnd w:id="175"/>
    <w:p>
      <w:pPr>
        <w:ind w:left="364" w:right="4719" w:hanging="364"/>
        <w:spacing w:after="0" w:line="253" w:lineRule="auto"/>
        <w:tabs>
          <w:tab w:leader="none" w:pos="364" w:val="left"/>
        </w:tabs>
        <w:numPr>
          <w:ilvl w:val="0"/>
          <w:numId w:val="1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REGISTRATION STATEMENTS; DEMAND AND INCIDENTAL REGISTRATIONS; NO CONFLICTING AGREEMENTS.</w:t>
      </w:r>
    </w:p>
    <w:p>
      <w:pPr>
        <w:spacing w:after="0" w:line="138" w:lineRule="exact"/>
        <w:rPr>
          <w:rFonts w:ascii="Courier New" w:cs="Courier New" w:eastAsia="Courier New" w:hAnsi="Courier New"/>
          <w:sz w:val="12"/>
          <w:szCs w:val="12"/>
          <w:color w:val="auto"/>
        </w:rPr>
      </w:pPr>
    </w:p>
    <w:p>
      <w:pPr>
        <w:ind w:left="744" w:right="4359" w:hanging="376"/>
        <w:spacing w:after="0" w:line="250" w:lineRule="auto"/>
        <w:tabs>
          <w:tab w:leader="none" w:pos="744" w:val="left"/>
        </w:tabs>
        <w:numPr>
          <w:ilvl w:val="1"/>
          <w:numId w:val="1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From and after the time of filing of any Registration Statement filed pursuant hereto and prior to the effectiveness thereof, the Company shall not file a registration statement (including any shelf registration statements) (other than on Form S-8) with the SEC with respect to any securities of the Company, provided that nothing herein shall limit the filing of any registration statement demanded to be filed pursuant to a "demand" right granted by the Company prior to the filing of any such Registration Statement.</w:t>
      </w:r>
    </w:p>
    <w:p>
      <w:pPr>
        <w:spacing w:after="0" w:line="141" w:lineRule="exact"/>
        <w:rPr>
          <w:rFonts w:ascii="Courier New" w:cs="Courier New" w:eastAsia="Courier New" w:hAnsi="Courier New"/>
          <w:sz w:val="12"/>
          <w:szCs w:val="12"/>
          <w:color w:val="auto"/>
        </w:rPr>
      </w:pPr>
    </w:p>
    <w:p>
      <w:pPr>
        <w:ind w:left="744" w:right="4419" w:hanging="376"/>
        <w:spacing w:after="0" w:line="250" w:lineRule="auto"/>
        <w:tabs>
          <w:tab w:leader="none" w:pos="744" w:val="left"/>
        </w:tabs>
        <w:numPr>
          <w:ilvl w:val="1"/>
          <w:numId w:val="1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at any time during the Registration Period there is not an effective Registration Statement covering all of the then Registrable Securities, the Company shall, upon the demand of any Holder, immediately file a registration statement covering all of the then Registrable Securities and the provisions of this Agreement shall apply to such Registration Statement, MUTATIS MUTANDIS.</w:t>
      </w:r>
    </w:p>
    <w:p>
      <w:pPr>
        <w:spacing w:after="0" w:line="141" w:lineRule="exact"/>
        <w:rPr>
          <w:rFonts w:ascii="Courier New" w:cs="Courier New" w:eastAsia="Courier New" w:hAnsi="Courier New"/>
          <w:sz w:val="12"/>
          <w:szCs w:val="12"/>
          <w:color w:val="auto"/>
        </w:rPr>
      </w:pPr>
    </w:p>
    <w:p>
      <w:pPr>
        <w:ind w:left="744" w:right="4359" w:hanging="376"/>
        <w:spacing w:after="0" w:line="250" w:lineRule="auto"/>
        <w:tabs>
          <w:tab w:leader="none" w:pos="744" w:val="left"/>
        </w:tabs>
        <w:numPr>
          <w:ilvl w:val="1"/>
          <w:numId w:val="1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at any time the Company shall determine to prepare and file with the SEC and/or the ISA a registration statement relating to an underwritten offering for its own account or the account of others under the 1933 Act and/or the Israel Securities Law of any of its equity securities, other than on Form F-4 or Form S-8 (each as promulgated under the 1933 Act) or their then equivalents relating to equity securities to be issued solely in connection with any acquisition of any entity or business or equity securities issuable in connection with stock option or other employee benefit plans, then the Company shall send each Holder written notice of such determination and, if within twenty days after receipt of such notice, any such Holder shall so request in writing, the Company shall include in such registration statement all or any part of such Registrable Securities such Holder requests to be registered, subject to customary underwriter cutbacks applicable on a basis consistent with the Company's obligation to other existing holders of registration rights.</w:t>
      </w:r>
    </w:p>
    <w:p>
      <w:pPr>
        <w:spacing w:after="0" w:line="141" w:lineRule="exact"/>
        <w:rPr>
          <w:rFonts w:ascii="Courier New" w:cs="Courier New" w:eastAsia="Courier New" w:hAnsi="Courier New"/>
          <w:sz w:val="12"/>
          <w:szCs w:val="12"/>
          <w:color w:val="auto"/>
        </w:rPr>
      </w:pPr>
    </w:p>
    <w:p>
      <w:pPr>
        <w:ind w:left="744" w:right="4419" w:hanging="376"/>
        <w:spacing w:after="0" w:line="251" w:lineRule="auto"/>
        <w:tabs>
          <w:tab w:leader="none" w:pos="744" w:val="left"/>
        </w:tabs>
        <w:numPr>
          <w:ilvl w:val="1"/>
          <w:numId w:val="1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represents and warrants to the Holder that the Company is not a party to any agreement that conflicts in any manner with the Holder's rights to cause the Company to register Registrable Shares pursuant to this Agreement.</w:t>
      </w:r>
    </w:p>
    <w:p>
      <w:pPr>
        <w:spacing w:after="0" w:line="280" w:lineRule="exact"/>
        <w:rPr>
          <w:rFonts w:ascii="Courier New" w:cs="Courier New" w:eastAsia="Courier New" w:hAnsi="Courier New"/>
          <w:sz w:val="12"/>
          <w:szCs w:val="12"/>
          <w:color w:val="auto"/>
        </w:rPr>
      </w:pPr>
    </w:p>
    <w:p>
      <w:pPr>
        <w:ind w:left="2864" w:hanging="141"/>
        <w:spacing w:after="0"/>
        <w:tabs>
          <w:tab w:leader="none" w:pos="2864" w:val="left"/>
        </w:tabs>
        <w:numPr>
          <w:ilvl w:val="2"/>
          <w:numId w:val="1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16 -</w:t>
      </w:r>
    </w:p>
    <w:p>
      <w:pPr>
        <w:sectPr>
          <w:pgSz w:w="11900" w:h="16838" w:orient="portrait"/>
          <w:cols w:equalWidth="0" w:num="1">
            <w:col w:w="10244"/>
          </w:cols>
          <w:pgMar w:left="216" w:top="688" w:right="1440" w:bottom="1440" w:gutter="0" w:footer="0" w:header="0"/>
        </w:sectPr>
      </w:pPr>
    </w:p>
    <w:bookmarkStart w:id="176" w:name="page177"/>
    <w:bookmarkEnd w:id="176"/>
    <w:p>
      <w:pPr>
        <w:ind w:left="364" w:hanging="364"/>
        <w:spacing w:after="0"/>
        <w:tabs>
          <w:tab w:leader="none" w:pos="364" w:val="left"/>
        </w:tabs>
        <w:numPr>
          <w:ilvl w:val="0"/>
          <w:numId w:val="197"/>
        </w:numPr>
        <w:rPr>
          <w:rFonts w:ascii="Courier New" w:cs="Courier New" w:eastAsia="Courier New" w:hAnsi="Courier New"/>
          <w:sz w:val="12"/>
          <w:szCs w:val="12"/>
          <w:color w:val="auto"/>
        </w:rPr>
      </w:pPr>
      <w:r>
        <w:rPr>
          <w:rFonts w:ascii="Courier New" w:cs="Courier New" w:eastAsia="Courier New" w:hAnsi="Courier New"/>
          <w:sz w:val="12"/>
          <w:szCs w:val="12"/>
          <w:color w:val="auto"/>
        </w:rPr>
        <w:t>MISCELLANEOUS.</w:t>
      </w:r>
    </w:p>
    <w:p>
      <w:pPr>
        <w:spacing w:after="0" w:line="147" w:lineRule="exact"/>
        <w:rPr>
          <w:rFonts w:ascii="Courier New" w:cs="Courier New" w:eastAsia="Courier New" w:hAnsi="Courier New"/>
          <w:sz w:val="12"/>
          <w:szCs w:val="12"/>
          <w:color w:val="auto"/>
        </w:rPr>
      </w:pPr>
    </w:p>
    <w:p>
      <w:pPr>
        <w:ind w:left="744" w:right="4499" w:hanging="376"/>
        <w:spacing w:after="0" w:line="249" w:lineRule="auto"/>
        <w:tabs>
          <w:tab w:leader="none" w:pos="744" w:val="left"/>
        </w:tabs>
        <w:numPr>
          <w:ilvl w:val="1"/>
          <w:numId w:val="19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w:t>
      </w:r>
    </w:p>
    <w:p>
      <w:pPr>
        <w:spacing w:after="0" w:line="3" w:lineRule="exact"/>
        <w:rPr>
          <w:rFonts w:ascii="Courier New" w:cs="Courier New" w:eastAsia="Courier New" w:hAnsi="Courier New"/>
          <w:sz w:val="12"/>
          <w:szCs w:val="12"/>
          <w:color w:val="auto"/>
        </w:rPr>
      </w:pPr>
    </w:p>
    <w:p>
      <w:pPr>
        <w:ind w:left="744" w:right="4499" w:hanging="8"/>
        <w:spacing w:after="0" w:line="251" w:lineRule="auto"/>
        <w:tabs>
          <w:tab w:leader="none" w:pos="1186" w:val="left"/>
        </w:tabs>
        <w:numPr>
          <w:ilvl w:val="2"/>
          <w:numId w:val="19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three business days after deposit if deposited in the mail for mailing by certified mail, postage prepaid, in each case properly addressed to the party to receive the same. The addresses and facsimile numbers for such communications shall be:</w:t>
      </w:r>
    </w:p>
    <w:p>
      <w:pPr>
        <w:sectPr>
          <w:pgSz w:w="11900" w:h="16838" w:orient="portrait"/>
          <w:cols w:equalWidth="0" w:num="1">
            <w:col w:w="10244"/>
          </w:cols>
          <w:pgMar w:left="216" w:top="688" w:right="1440" w:bottom="1440" w:gutter="0" w:footer="0" w:header="0"/>
        </w:sectPr>
      </w:pPr>
    </w:p>
    <w:p>
      <w:pPr>
        <w:spacing w:after="0" w:line="139"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to the Borrower at: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Tower Semiconductor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P.O. Box 619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Migdal Haemek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Israel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(04) 604 7242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Attention: Oren Shirazi</w:t>
      </w:r>
    </w:p>
    <w:p>
      <w:pPr>
        <w:spacing w:after="0" w:line="6" w:lineRule="exact"/>
        <w:rPr>
          <w:sz w:val="20"/>
          <w:szCs w:val="20"/>
          <w:color w:val="auto"/>
        </w:rPr>
      </w:pPr>
    </w:p>
    <w:p>
      <w:pPr>
        <w:ind w:left="800"/>
        <w:spacing w:after="0"/>
        <w:rPr>
          <w:sz w:val="20"/>
          <w:szCs w:val="20"/>
          <w:color w:val="auto"/>
        </w:rPr>
      </w:pPr>
      <w:r>
        <w:rPr>
          <w:rFonts w:ascii="Courier New" w:cs="Courier New" w:eastAsia="Courier New" w:hAnsi="Courier New"/>
          <w:sz w:val="12"/>
          <w:szCs w:val="12"/>
          <w:color w:val="auto"/>
        </w:rPr>
        <w:t>Acting Chief Financial Officer</w:t>
      </w:r>
    </w:p>
    <w:p>
      <w:pPr>
        <w:spacing w:after="0" w:line="147" w:lineRule="exact"/>
        <w:rPr>
          <w:sz w:val="20"/>
          <w:szCs w:val="20"/>
          <w:color w:val="auto"/>
        </w:rPr>
      </w:pPr>
    </w:p>
    <w:p>
      <w:pPr>
        <w:sectPr>
          <w:pgSz w:w="11900" w:h="16838" w:orient="portrait"/>
          <w:cols w:equalWidth="0" w:num="2">
            <w:col w:w="2144" w:space="440"/>
            <w:col w:w="7659"/>
          </w:cols>
          <w:pgMar w:left="216" w:top="688" w:right="1440" w:bottom="1440" w:gutter="0" w:footer="0" w:header="0"/>
          <w:type w:val="continuous"/>
        </w:sectPr>
      </w:pPr>
    </w:p>
    <w:p>
      <w:pPr>
        <w:jc w:val="center"/>
        <w:ind w:left="724"/>
        <w:spacing w:after="0"/>
        <w:rPr>
          <w:sz w:val="20"/>
          <w:szCs w:val="20"/>
          <w:color w:val="auto"/>
        </w:rPr>
      </w:pPr>
      <w:r>
        <w:rPr>
          <w:rFonts w:ascii="Courier New" w:cs="Courier New" w:eastAsia="Courier New" w:hAnsi="Courier New"/>
          <w:sz w:val="12"/>
          <w:szCs w:val="12"/>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Yigal Arnon &amp;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 Azrieli Center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46th Floor, The Round Tower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Tel-Aviv, Israel 67021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(03) 608 7714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Attention: David H. Schapiro, Adv./</w:t>
      </w:r>
    </w:p>
    <w:p>
      <w:pPr>
        <w:spacing w:after="0" w:line="6" w:lineRule="exact"/>
        <w:rPr>
          <w:sz w:val="20"/>
          <w:szCs w:val="20"/>
          <w:color w:val="auto"/>
        </w:rPr>
      </w:pPr>
    </w:p>
    <w:p>
      <w:pPr>
        <w:ind w:left="800"/>
        <w:spacing w:after="0"/>
        <w:rPr>
          <w:sz w:val="20"/>
          <w:szCs w:val="20"/>
          <w:color w:val="auto"/>
        </w:rPr>
      </w:pPr>
      <w:r>
        <w:rPr>
          <w:rFonts w:ascii="Courier New" w:cs="Courier New" w:eastAsia="Courier New" w:hAnsi="Courier New"/>
          <w:sz w:val="12"/>
          <w:szCs w:val="12"/>
          <w:color w:val="auto"/>
        </w:rPr>
        <w:t>Ari Fried, Adv.</w:t>
      </w:r>
    </w:p>
    <w:p>
      <w:pPr>
        <w:spacing w:after="0" w:line="147" w:lineRule="exact"/>
        <w:rPr>
          <w:sz w:val="20"/>
          <w:szCs w:val="20"/>
          <w:color w:val="auto"/>
        </w:rPr>
      </w:pPr>
    </w:p>
    <w:p>
      <w:pPr>
        <w:sectPr>
          <w:pgSz w:w="11900" w:h="16838" w:orient="portrait"/>
          <w:cols w:equalWidth="0" w:num="2">
            <w:col w:w="1864" w:space="720"/>
            <w:col w:w="7659"/>
          </w:cols>
          <w:pgMar w:left="216" w:top="688" w:right="1440" w:bottom="1440" w:gutter="0" w:footer="0" w:header="0"/>
          <w:type w:val="continuous"/>
        </w:sectPr>
      </w:pPr>
    </w:p>
    <w:p>
      <w:pPr>
        <w:jc w:val="center"/>
        <w:ind w:left="724"/>
        <w:spacing w:after="0"/>
        <w:rPr>
          <w:sz w:val="20"/>
          <w:szCs w:val="20"/>
          <w:color w:val="auto"/>
        </w:rPr>
      </w:pPr>
      <w:r>
        <w:rPr>
          <w:rFonts w:ascii="Courier New" w:cs="Courier New" w:eastAsia="Courier New" w:hAnsi="Courier New"/>
          <w:sz w:val="12"/>
          <w:szCs w:val="12"/>
          <w:color w:val="auto"/>
        </w:rPr>
        <w:t>to the Bank 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Corporate Division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Migdal Levenstein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23 Menachem Begin Road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Tel-Aviv, Israel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(03) 567 2995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Attention: Head of Corporate Division</w:t>
      </w:r>
    </w:p>
    <w:p>
      <w:pPr>
        <w:spacing w:after="0" w:line="147" w:lineRule="exact"/>
        <w:rPr>
          <w:sz w:val="20"/>
          <w:szCs w:val="20"/>
          <w:color w:val="auto"/>
        </w:rPr>
      </w:pPr>
    </w:p>
    <w:p>
      <w:pPr>
        <w:sectPr>
          <w:pgSz w:w="11900" w:h="16838" w:orient="portrait"/>
          <w:cols w:equalWidth="0" w:num="2">
            <w:col w:w="1864" w:space="720"/>
            <w:col w:w="7659"/>
          </w:cols>
          <w:pgMar w:left="216" w:top="688" w:right="1440" w:bottom="1440" w:gutter="0" w:footer="0" w:header="0"/>
          <w:type w:val="continuous"/>
        </w:sectPr>
      </w:pPr>
    </w:p>
    <w:p>
      <w:pPr>
        <w:ind w:left="744"/>
        <w:spacing w:after="0"/>
        <w:tabs>
          <w:tab w:leader="none" w:pos="2564" w:val="left"/>
        </w:tabs>
        <w:rPr>
          <w:sz w:val="20"/>
          <w:szCs w:val="20"/>
          <w:color w:val="auto"/>
        </w:rPr>
      </w:pPr>
      <w:r>
        <w:rPr>
          <w:rFonts w:ascii="Courier New" w:cs="Courier New" w:eastAsia="Courier New" w:hAnsi="Courier New"/>
          <w:sz w:val="12"/>
          <w:szCs w:val="12"/>
          <w:color w:val="auto"/>
        </w:rPr>
        <w:t>to any other Holder at:</w:t>
        <w:tab/>
        <w:t>such address as shall be notified to the</w:t>
      </w:r>
    </w:p>
    <w:p>
      <w:pPr>
        <w:spacing w:after="0" w:line="6" w:lineRule="exact"/>
        <w:rPr>
          <w:sz w:val="20"/>
          <w:szCs w:val="20"/>
          <w:color w:val="auto"/>
        </w:rPr>
      </w:pPr>
    </w:p>
    <w:p>
      <w:pPr>
        <w:ind w:left="2584"/>
        <w:spacing w:after="0"/>
        <w:rPr>
          <w:sz w:val="20"/>
          <w:szCs w:val="20"/>
          <w:color w:val="auto"/>
        </w:rPr>
      </w:pPr>
      <w:r>
        <w:rPr>
          <w:rFonts w:ascii="Courier New" w:cs="Courier New" w:eastAsia="Courier New" w:hAnsi="Courier New"/>
          <w:sz w:val="12"/>
          <w:szCs w:val="12"/>
          <w:color w:val="auto"/>
        </w:rPr>
        <w:t>Company pursuant to Section 9 above.</w:t>
      </w:r>
    </w:p>
    <w:p>
      <w:pPr>
        <w:spacing w:after="0" w:line="147" w:lineRule="exact"/>
        <w:rPr>
          <w:sz w:val="20"/>
          <w:szCs w:val="20"/>
          <w:color w:val="auto"/>
        </w:rPr>
      </w:pPr>
    </w:p>
    <w:p>
      <w:pPr>
        <w:ind w:left="744" w:right="4499" w:hanging="376"/>
        <w:spacing w:after="0" w:line="251" w:lineRule="auto"/>
        <w:tabs>
          <w:tab w:leader="none" w:pos="744" w:val="left"/>
        </w:tabs>
        <w:numPr>
          <w:ilvl w:val="0"/>
          <w:numId w:val="1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Failure of any party to exercise any right or remedy under this Agreement or otherwise, or delay by a party in exercising such right or remedy, shall not operate as a waiver thereof.</w:t>
      </w:r>
    </w:p>
    <w:p>
      <w:pPr>
        <w:spacing w:after="0" w:line="139" w:lineRule="exact"/>
        <w:rPr>
          <w:rFonts w:ascii="Courier New" w:cs="Courier New" w:eastAsia="Courier New" w:hAnsi="Courier New"/>
          <w:sz w:val="12"/>
          <w:szCs w:val="12"/>
          <w:color w:val="auto"/>
        </w:rPr>
      </w:pPr>
    </w:p>
    <w:p>
      <w:pPr>
        <w:ind w:left="744" w:right="4359" w:hanging="376"/>
        <w:spacing w:after="0" w:line="250" w:lineRule="auto"/>
        <w:tabs>
          <w:tab w:leader="none" w:pos="744" w:val="left"/>
        </w:tabs>
        <w:numPr>
          <w:ilvl w:val="0"/>
          <w:numId w:val="1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shall be governed by and construed in accordance with the laws of the State of Israel as applicable to contracts between two residents of the State of Israel entered into and to be performed entirely within the State of Israel. Any dispute arising under or in relation to this Agreement shall be resolved in the competent court for Tel Aviv-Jaffa district, and each of the parties hereby submits irrevocably to the jurisdiction of such court.</w:t>
      </w:r>
    </w:p>
    <w:p>
      <w:pPr>
        <w:spacing w:after="0" w:line="141"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1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17 -</w:t>
      </w:r>
    </w:p>
    <w:p>
      <w:pPr>
        <w:sectPr>
          <w:pgSz w:w="11900" w:h="16838" w:orient="portrait"/>
          <w:cols w:equalWidth="0" w:num="1">
            <w:col w:w="10244"/>
          </w:cols>
          <w:pgMar w:left="216" w:top="688" w:right="1440" w:bottom="1440" w:gutter="0" w:footer="0" w:header="0"/>
          <w:type w:val="continuous"/>
        </w:sectPr>
      </w:pPr>
    </w:p>
    <w:bookmarkStart w:id="177" w:name="page178"/>
    <w:bookmarkEnd w:id="177"/>
    <w:p>
      <w:pPr>
        <w:ind w:left="376" w:right="4419" w:hanging="376"/>
        <w:spacing w:after="0" w:line="250" w:lineRule="auto"/>
        <w:tabs>
          <w:tab w:leader="none" w:pos="376" w:val="left"/>
        </w:tabs>
        <w:numPr>
          <w:ilvl w:val="0"/>
          <w:numId w:val="1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constitutes the entire agreement among the parties hereto with respect to the subject matter hereof and thereof. There are no restrictions, promises, warranties or undertakings, other than those set forth or referred to herein and therein. This Agreement supersedes all prior agreements and understandings among the parties hereto with respect to the subject matter hereof and thereof.</w:t>
      </w:r>
    </w:p>
    <w:p>
      <w:pPr>
        <w:spacing w:after="0" w:line="141"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1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Neither this Agreement, nor any of Tower's obligations hereunder, may be assigned by Tower, except with the prior written consent of all the Holders. Subject to the requirements of Section 9, this Agreement shall inure to the benefit of and be binding upon the successors and permitted assigns of each of the parties hereto.</w:t>
      </w:r>
    </w:p>
    <w:p>
      <w:pPr>
        <w:spacing w:after="0" w:line="141" w:lineRule="exact"/>
        <w:rPr>
          <w:rFonts w:ascii="Courier New" w:cs="Courier New" w:eastAsia="Courier New" w:hAnsi="Courier New"/>
          <w:sz w:val="12"/>
          <w:szCs w:val="12"/>
          <w:color w:val="auto"/>
        </w:rPr>
      </w:pPr>
    </w:p>
    <w:p>
      <w:pPr>
        <w:ind w:left="376" w:right="4499" w:hanging="376"/>
        <w:spacing w:after="0" w:line="253" w:lineRule="auto"/>
        <w:tabs>
          <w:tab w:leader="none" w:pos="376" w:val="left"/>
        </w:tabs>
        <w:numPr>
          <w:ilvl w:val="0"/>
          <w:numId w:val="1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headings in this Agreement are for convenience of reference only and shall not limit or otherwise affect the meaning hereof.</w:t>
      </w:r>
    </w:p>
    <w:p>
      <w:pPr>
        <w:spacing w:after="0" w:line="138"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1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may be executed in identical counterparts, each of which shall be deemed an original but all of which shall constitute one and the same agreement. This Agreement, once executed by a party, may be delivered to the other parties hereto by facsimile transmission of a copy of this Agreement bearing the signature of the party so delivering this Agreement.</w:t>
      </w:r>
    </w:p>
    <w:p>
      <w:pPr>
        <w:spacing w:after="0" w:line="141" w:lineRule="exact"/>
        <w:rPr>
          <w:rFonts w:ascii="Courier New" w:cs="Courier New" w:eastAsia="Courier New" w:hAnsi="Courier New"/>
          <w:sz w:val="12"/>
          <w:szCs w:val="12"/>
          <w:color w:val="auto"/>
        </w:rPr>
      </w:pPr>
    </w:p>
    <w:p>
      <w:pPr>
        <w:ind w:left="376" w:right="4419" w:hanging="376"/>
        <w:spacing w:after="0" w:line="250" w:lineRule="auto"/>
        <w:tabs>
          <w:tab w:leader="none" w:pos="376" w:val="left"/>
        </w:tabs>
        <w:numPr>
          <w:ilvl w:val="0"/>
          <w:numId w:val="1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Each party shall do and perform, or cause to be done and performed, all such further acts and things, and shall execute and deliver all such other agreements, certificates, instruments and documents, as another party may reasonably request in order to carry out the intent and accomplish the purposes of this Agreement and the consummation of the transactions contemplated hereby.</w:t>
      </w:r>
    </w:p>
    <w:p>
      <w:pPr>
        <w:spacing w:after="0" w:line="141" w:lineRule="exact"/>
        <w:rPr>
          <w:rFonts w:ascii="Courier New" w:cs="Courier New" w:eastAsia="Courier New" w:hAnsi="Courier New"/>
          <w:sz w:val="12"/>
          <w:szCs w:val="12"/>
          <w:color w:val="auto"/>
        </w:rPr>
      </w:pPr>
    </w:p>
    <w:p>
      <w:pPr>
        <w:ind w:left="376" w:right="4419" w:hanging="376"/>
        <w:spacing w:after="0" w:line="251" w:lineRule="auto"/>
        <w:tabs>
          <w:tab w:leader="none" w:pos="376" w:val="left"/>
        </w:tabs>
        <w:numPr>
          <w:ilvl w:val="0"/>
          <w:numId w:val="1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language used in this Agreement will be deemed to be the language chosen by the parties to express their mutual intent and no rules of strict construction will be applied against any party.</w:t>
      </w:r>
    </w:p>
    <w:p>
      <w:pPr>
        <w:spacing w:after="0" w:line="139" w:lineRule="exact"/>
        <w:rPr>
          <w:rFonts w:ascii="Courier New" w:cs="Courier New" w:eastAsia="Courier New" w:hAnsi="Courier New"/>
          <w:sz w:val="12"/>
          <w:szCs w:val="12"/>
          <w:color w:val="auto"/>
        </w:rPr>
      </w:pPr>
    </w:p>
    <w:p>
      <w:pPr>
        <w:ind w:left="376" w:right="4419" w:hanging="376"/>
        <w:spacing w:after="0" w:line="251" w:lineRule="auto"/>
        <w:tabs>
          <w:tab w:leader="none" w:pos="376" w:val="left"/>
        </w:tabs>
        <w:numPr>
          <w:ilvl w:val="0"/>
          <w:numId w:val="1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is intended for the benefit of the parties hereto and their respective successors and permitted assigns, and is not for the benefit of, nor may any provision hereof be enforced by, any other person.</w:t>
      </w:r>
    </w:p>
    <w:p>
      <w:pPr>
        <w:spacing w:after="0" w:line="280" w:lineRule="exact"/>
        <w:rPr>
          <w:rFonts w:ascii="Courier New" w:cs="Courier New" w:eastAsia="Courier New" w:hAnsi="Courier New"/>
          <w:sz w:val="12"/>
          <w:szCs w:val="12"/>
          <w:color w:val="auto"/>
        </w:rPr>
      </w:pPr>
    </w:p>
    <w:p>
      <w:pPr>
        <w:ind w:left="2496" w:hanging="141"/>
        <w:spacing w:after="0"/>
        <w:tabs>
          <w:tab w:leader="none" w:pos="2496" w:val="left"/>
        </w:tabs>
        <w:numPr>
          <w:ilvl w:val="1"/>
          <w:numId w:val="1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18 -</w:t>
      </w:r>
    </w:p>
    <w:p>
      <w:pPr>
        <w:sectPr>
          <w:pgSz w:w="11900" w:h="16838" w:orient="portrait"/>
          <w:cols w:equalWidth="0" w:num="1">
            <w:col w:w="9876"/>
          </w:cols>
          <w:pgMar w:left="584" w:top="689" w:right="1440" w:bottom="1440" w:gutter="0" w:footer="0" w:header="0"/>
        </w:sectPr>
      </w:pPr>
    </w:p>
    <w:bookmarkStart w:id="178" w:name="page179"/>
    <w:bookmarkEnd w:id="178"/>
    <w:p>
      <w:pPr>
        <w:jc w:val="both"/>
        <w:ind w:right="4879" w:firstLine="368"/>
        <w:spacing w:after="0" w:line="253" w:lineRule="auto"/>
        <w:rPr>
          <w:sz w:val="20"/>
          <w:szCs w:val="20"/>
          <w:color w:val="auto"/>
        </w:rPr>
      </w:pPr>
      <w:r>
        <w:rPr>
          <w:rFonts w:ascii="Courier New" w:cs="Courier New" w:eastAsia="Courier New" w:hAnsi="Courier New"/>
          <w:sz w:val="12"/>
          <w:szCs w:val="12"/>
          <w:color w:val="auto"/>
        </w:rPr>
        <w:t>IN WITNESS WHEREOF, the parties have caused this Registration Rights Agreement to be duly executed as of the day and year first above written.</w:t>
      </w:r>
    </w:p>
    <w:p>
      <w:pPr>
        <w:spacing w:after="0" w:line="138" w:lineRule="exact"/>
        <w:rPr>
          <w:sz w:val="20"/>
          <w:szCs w:val="20"/>
          <w:color w:val="auto"/>
        </w:rPr>
      </w:pPr>
    </w:p>
    <w:p>
      <w:pPr>
        <w:ind w:left="3160"/>
        <w:spacing w:after="0"/>
        <w:rPr>
          <w:sz w:val="20"/>
          <w:szCs w:val="20"/>
          <w:color w:val="auto"/>
        </w:rPr>
      </w:pPr>
      <w:r>
        <w:rPr>
          <w:rFonts w:ascii="Courier New" w:cs="Courier New" w:eastAsia="Courier New" w:hAnsi="Courier New"/>
          <w:sz w:val="12"/>
          <w:szCs w:val="12"/>
          <w:color w:val="auto"/>
        </w:rPr>
        <w:t>TOWER SEMICONDUCTOR LTD.</w:t>
      </w:r>
    </w:p>
    <w:p>
      <w:pPr>
        <w:spacing w:after="0" w:line="147" w:lineRule="exact"/>
        <w:rPr>
          <w:sz w:val="20"/>
          <w:szCs w:val="20"/>
          <w:color w:val="auto"/>
        </w:rPr>
      </w:pPr>
    </w:p>
    <w:p>
      <w:pPr>
        <w:ind w:left="3160"/>
        <w:spacing w:after="0"/>
        <w:rPr>
          <w:sz w:val="20"/>
          <w:szCs w:val="20"/>
          <w:color w:val="auto"/>
        </w:rPr>
      </w:pPr>
      <w:r>
        <w:rPr>
          <w:rFonts w:ascii="Courier New" w:cs="Courier New" w:eastAsia="Courier New" w:hAnsi="Courier New"/>
          <w:sz w:val="12"/>
          <w:szCs w:val="12"/>
          <w:color w:val="auto"/>
        </w:rPr>
        <w:t>By: ______________________________</w:t>
      </w:r>
    </w:p>
    <w:p>
      <w:pPr>
        <w:spacing w:after="0" w:line="147" w:lineRule="exact"/>
        <w:rPr>
          <w:sz w:val="20"/>
          <w:szCs w:val="20"/>
          <w:color w:val="auto"/>
        </w:rPr>
      </w:pPr>
    </w:p>
    <w:p>
      <w:pPr>
        <w:ind w:left="3160"/>
        <w:spacing w:after="0"/>
        <w:rPr>
          <w:sz w:val="20"/>
          <w:szCs w:val="20"/>
          <w:color w:val="auto"/>
        </w:rPr>
      </w:pPr>
      <w:r>
        <w:rPr>
          <w:rFonts w:ascii="Courier New" w:cs="Courier New" w:eastAsia="Courier New" w:hAnsi="Courier New"/>
          <w:sz w:val="12"/>
          <w:szCs w:val="12"/>
          <w:color w:val="auto"/>
        </w:rPr>
        <w:t>Name: ____________________________</w:t>
      </w:r>
    </w:p>
    <w:p>
      <w:pPr>
        <w:spacing w:after="0" w:line="147" w:lineRule="exact"/>
        <w:rPr>
          <w:sz w:val="20"/>
          <w:szCs w:val="20"/>
          <w:color w:val="auto"/>
        </w:rPr>
      </w:pPr>
    </w:p>
    <w:p>
      <w:pPr>
        <w:ind w:left="3160"/>
        <w:spacing w:after="0"/>
        <w:rPr>
          <w:sz w:val="20"/>
          <w:szCs w:val="20"/>
          <w:color w:val="auto"/>
        </w:rPr>
      </w:pPr>
      <w:r>
        <w:rPr>
          <w:rFonts w:ascii="Courier New" w:cs="Courier New" w:eastAsia="Courier New" w:hAnsi="Courier New"/>
          <w:sz w:val="12"/>
          <w:szCs w:val="12"/>
          <w:color w:val="auto"/>
        </w:rPr>
        <w:t>Its: _______________________________</w:t>
      </w:r>
    </w:p>
    <w:p>
      <w:pPr>
        <w:spacing w:after="0" w:line="289" w:lineRule="exact"/>
        <w:rPr>
          <w:sz w:val="20"/>
          <w:szCs w:val="20"/>
          <w:color w:val="auto"/>
        </w:rPr>
      </w:pPr>
    </w:p>
    <w:p>
      <w:pPr>
        <w:ind w:left="3160"/>
        <w:spacing w:after="0"/>
        <w:rPr>
          <w:sz w:val="20"/>
          <w:szCs w:val="20"/>
          <w:color w:val="auto"/>
        </w:rPr>
      </w:pPr>
      <w:r>
        <w:rPr>
          <w:rFonts w:ascii="Courier New" w:cs="Courier New" w:eastAsia="Courier New" w:hAnsi="Courier New"/>
          <w:sz w:val="12"/>
          <w:szCs w:val="12"/>
          <w:color w:val="auto"/>
        </w:rPr>
        <w:t>BANK HAPOALIM B.M.</w:t>
      </w:r>
    </w:p>
    <w:p>
      <w:pPr>
        <w:spacing w:after="0" w:line="147" w:lineRule="exact"/>
        <w:rPr>
          <w:sz w:val="20"/>
          <w:szCs w:val="20"/>
          <w:color w:val="auto"/>
        </w:rPr>
      </w:pPr>
    </w:p>
    <w:p>
      <w:pPr>
        <w:ind w:left="3160"/>
        <w:spacing w:after="0"/>
        <w:rPr>
          <w:sz w:val="20"/>
          <w:szCs w:val="20"/>
          <w:color w:val="auto"/>
        </w:rPr>
      </w:pPr>
      <w:r>
        <w:rPr>
          <w:rFonts w:ascii="Courier New" w:cs="Courier New" w:eastAsia="Courier New" w:hAnsi="Courier New"/>
          <w:sz w:val="12"/>
          <w:szCs w:val="12"/>
          <w:color w:val="auto"/>
        </w:rPr>
        <w:t>By: ______________________________</w:t>
      </w:r>
    </w:p>
    <w:p>
      <w:pPr>
        <w:spacing w:after="0" w:line="147" w:lineRule="exact"/>
        <w:rPr>
          <w:sz w:val="20"/>
          <w:szCs w:val="20"/>
          <w:color w:val="auto"/>
        </w:rPr>
      </w:pPr>
    </w:p>
    <w:p>
      <w:pPr>
        <w:ind w:left="3160"/>
        <w:spacing w:after="0"/>
        <w:rPr>
          <w:sz w:val="20"/>
          <w:szCs w:val="20"/>
          <w:color w:val="auto"/>
        </w:rPr>
      </w:pPr>
      <w:r>
        <w:rPr>
          <w:rFonts w:ascii="Courier New" w:cs="Courier New" w:eastAsia="Courier New" w:hAnsi="Courier New"/>
          <w:sz w:val="12"/>
          <w:szCs w:val="12"/>
          <w:color w:val="auto"/>
        </w:rPr>
        <w:t>Name: ____________________________</w:t>
      </w:r>
    </w:p>
    <w:p>
      <w:pPr>
        <w:spacing w:after="0" w:line="147" w:lineRule="exact"/>
        <w:rPr>
          <w:sz w:val="20"/>
          <w:szCs w:val="20"/>
          <w:color w:val="auto"/>
        </w:rPr>
      </w:pPr>
    </w:p>
    <w:p>
      <w:pPr>
        <w:ind w:left="3160"/>
        <w:spacing w:after="0"/>
        <w:rPr>
          <w:sz w:val="20"/>
          <w:szCs w:val="20"/>
          <w:color w:val="auto"/>
        </w:rPr>
      </w:pPr>
      <w:r>
        <w:rPr>
          <w:rFonts w:ascii="Courier New" w:cs="Courier New" w:eastAsia="Courier New" w:hAnsi="Courier New"/>
          <w:sz w:val="12"/>
          <w:szCs w:val="12"/>
          <w:color w:val="auto"/>
        </w:rPr>
        <w:t>Its: _______________________________</w:t>
      </w:r>
    </w:p>
    <w:p>
      <w:pPr>
        <w:spacing w:after="0" w:line="289"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- 19 -</w:t>
      </w:r>
    </w:p>
    <w:p>
      <w:pPr>
        <w:sectPr>
          <w:pgSz w:w="11900" w:h="16838" w:orient="portrait"/>
          <w:cols w:equalWidth="0" w:num="1">
            <w:col w:w="10239"/>
          </w:cols>
          <w:pgMar w:left="220" w:top="689" w:right="1440" w:bottom="1440" w:gutter="0" w:footer="0" w:header="0"/>
        </w:sectPr>
      </w:pPr>
    </w:p>
    <w:bookmarkStart w:id="179" w:name="page180"/>
    <w:bookmarkEnd w:id="179"/>
    <w:p>
      <w:pPr>
        <w:jc w:val="right"/>
        <w:ind w:right="4359"/>
        <w:spacing w:after="0"/>
        <w:rPr>
          <w:sz w:val="20"/>
          <w:szCs w:val="20"/>
          <w:color w:val="auto"/>
        </w:rPr>
      </w:pPr>
      <w:r>
        <w:rPr>
          <w:rFonts w:ascii="Courier New" w:cs="Courier New" w:eastAsia="Courier New" w:hAnsi="Courier New"/>
          <w:sz w:val="12"/>
          <w:szCs w:val="12"/>
          <w:color w:val="auto"/>
        </w:rPr>
        <w:t>EXHIBIT 99.11</w:t>
      </w:r>
    </w:p>
    <w:p>
      <w:pPr>
        <w:spacing w:after="0" w:line="147" w:lineRule="exact"/>
        <w:rPr>
          <w:sz w:val="20"/>
          <w:szCs w:val="20"/>
          <w:color w:val="auto"/>
        </w:rPr>
      </w:pPr>
    </w:p>
    <w:p>
      <w:pPr>
        <w:jc w:val="center"/>
        <w:ind w:right="4295"/>
        <w:spacing w:after="0"/>
        <w:rPr>
          <w:sz w:val="20"/>
          <w:szCs w:val="20"/>
          <w:color w:val="auto"/>
        </w:rPr>
      </w:pPr>
      <w:r>
        <w:rPr>
          <w:rFonts w:ascii="Courier New" w:cs="Courier New" w:eastAsia="Courier New" w:hAnsi="Courier New"/>
          <w:sz w:val="12"/>
          <w:szCs w:val="12"/>
          <w:color w:val="auto"/>
        </w:rPr>
        <w:t>REGISTRATION RIGHTS AGREEMENT</w:t>
      </w:r>
    </w:p>
    <w:p>
      <w:pPr>
        <w:spacing w:after="0" w:line="147"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This Registration Rights Agreement (this "AGREEMENT") is made and entered into effective as of September 28, 2006 by and between TOWER SEMICONDUCTOR LTD. (the "COMPANY" or "TOWER"), a company organized under the laws of the State of Israel, and BANK LEUMI LE-ISRAEL B.M., a banking corporation organized under the laws of the State of Israel (the "BANK").</w:t>
      </w:r>
    </w:p>
    <w:p>
      <w:pPr>
        <w:spacing w:after="0" w:line="141" w:lineRule="exact"/>
        <w:rPr>
          <w:sz w:val="20"/>
          <w:szCs w:val="20"/>
          <w:color w:val="auto"/>
        </w:rPr>
      </w:pPr>
    </w:p>
    <w:p>
      <w:pPr>
        <w:ind w:left="4" w:right="4419" w:firstLine="368"/>
        <w:spacing w:after="0" w:line="251" w:lineRule="auto"/>
        <w:rPr>
          <w:sz w:val="20"/>
          <w:szCs w:val="20"/>
          <w:color w:val="auto"/>
        </w:rPr>
      </w:pPr>
      <w:r>
        <w:rPr>
          <w:rFonts w:ascii="Courier New" w:cs="Courier New" w:eastAsia="Courier New" w:hAnsi="Courier New"/>
          <w:sz w:val="12"/>
          <w:szCs w:val="12"/>
          <w:color w:val="auto"/>
        </w:rPr>
        <w:t>WHEREAS, Tower is an independent manufacturer of wafers whose Ordinary Shares are traded on the Nasdaq Stock Market ("NASDAQ") under the symbol "TSEM" and whose Ordinary Shares and certain other securities are traded on the Tel-Aviv Stock Exchange ("TASE") under the symbol "TSEM"; and</w:t>
      </w:r>
    </w:p>
    <w:p>
      <w:pPr>
        <w:spacing w:after="0" w:line="139" w:lineRule="exact"/>
        <w:rPr>
          <w:sz w:val="20"/>
          <w:szCs w:val="20"/>
          <w:color w:val="auto"/>
        </w:rPr>
      </w:pPr>
    </w:p>
    <w:p>
      <w:pPr>
        <w:jc w:val="both"/>
        <w:ind w:left="4" w:right="4579" w:firstLine="368"/>
        <w:spacing w:after="0" w:line="251" w:lineRule="auto"/>
        <w:rPr>
          <w:sz w:val="20"/>
          <w:szCs w:val="20"/>
          <w:color w:val="auto"/>
        </w:rPr>
      </w:pPr>
      <w:r>
        <w:rPr>
          <w:rFonts w:ascii="Courier New" w:cs="Courier New" w:eastAsia="Courier New" w:hAnsi="Courier New"/>
          <w:sz w:val="12"/>
          <w:szCs w:val="12"/>
          <w:color w:val="auto"/>
        </w:rPr>
        <w:t>WHEREAS, the Bank and Bank Hapoalim B.M. (collectively, the "BANKS") and Tower are parties to a Facility Agreement dated January 18, 2001, as amended (the "FACILITY AGREEMENT"); and</w:t>
      </w:r>
    </w:p>
    <w:p>
      <w:pPr>
        <w:spacing w:after="0" w:line="140" w:lineRule="exact"/>
        <w:rPr>
          <w:sz w:val="20"/>
          <w:szCs w:val="20"/>
          <w:color w:val="auto"/>
        </w:rPr>
      </w:pPr>
    </w:p>
    <w:p>
      <w:pPr>
        <w:ind w:left="4" w:right="4419" w:firstLine="368"/>
        <w:spacing w:after="0" w:line="250" w:lineRule="auto"/>
        <w:rPr>
          <w:sz w:val="20"/>
          <w:szCs w:val="20"/>
          <w:color w:val="auto"/>
        </w:rPr>
      </w:pPr>
      <w:r>
        <w:rPr>
          <w:rFonts w:ascii="Courier New" w:cs="Courier New" w:eastAsia="Courier New" w:hAnsi="Courier New"/>
          <w:sz w:val="12"/>
          <w:szCs w:val="12"/>
          <w:color w:val="auto"/>
        </w:rPr>
        <w:t>WHEREAS, at the request of Tower, the Banks and Tower have entered into an Amending Agreement dated August 24, 2006 (the "AMENDING AGREEMENT"), the conditions to the effectiveness of which include, INTER ALIA, the issuance to each of the Banks or its nominee, of an equity-equivalent convertible capital note which will in turn be convertible, in whole or in part, by the Bank at any time and from time to time into shares of Tower and the entering into by the Bank and Tower of a conversion agreement (the "CONVERSION AGREEMENT") and this Agreement, in each case, on the date of the effectiveness of the Amending Agreement (the "AMENDMENT CLOSING DATE"); and</w:t>
      </w:r>
    </w:p>
    <w:p>
      <w:pPr>
        <w:spacing w:after="0" w:line="141" w:lineRule="exact"/>
        <w:rPr>
          <w:sz w:val="20"/>
          <w:szCs w:val="20"/>
          <w:color w:val="auto"/>
        </w:rPr>
      </w:pPr>
    </w:p>
    <w:p>
      <w:pPr>
        <w:ind w:left="4" w:right="4359" w:firstLine="368"/>
        <w:spacing w:after="0" w:line="250" w:lineRule="auto"/>
        <w:rPr>
          <w:sz w:val="20"/>
          <w:szCs w:val="20"/>
          <w:color w:val="auto"/>
        </w:rPr>
      </w:pPr>
      <w:r>
        <w:rPr>
          <w:rFonts w:ascii="Courier New" w:cs="Courier New" w:eastAsia="Courier New" w:hAnsi="Courier New"/>
          <w:sz w:val="12"/>
          <w:szCs w:val="12"/>
          <w:color w:val="auto"/>
        </w:rPr>
        <w:t>WHEREAS, clause 9.4 of the Facility Agreement, as amended by the Amending Agreement, obligates the Company, under certain circumstances, to make a payment to the Banks which, subject to said clause 9.4 and the Conversion Agreement, can be paid in the form of shares, capital notes or convertible debentures and the parties intend that the registration rights set forth in this Agreement also be applicable with respect to such shares and/or shares issuable upon conversion of any such capital notes or convertible debentures (the "CLAUSE 9.4 EQUITY ISSUANCES"),</w:t>
      </w:r>
    </w:p>
    <w:p>
      <w:pPr>
        <w:spacing w:after="0" w:line="141" w:lineRule="exact"/>
        <w:rPr>
          <w:sz w:val="20"/>
          <w:szCs w:val="20"/>
          <w:color w:val="auto"/>
        </w:rPr>
      </w:pPr>
    </w:p>
    <w:p>
      <w:pPr>
        <w:ind w:left="4" w:right="4499" w:firstLine="368"/>
        <w:spacing w:after="0" w:line="251" w:lineRule="auto"/>
        <w:rPr>
          <w:sz w:val="20"/>
          <w:szCs w:val="20"/>
          <w:color w:val="auto"/>
        </w:rPr>
      </w:pPr>
      <w:r>
        <w:rPr>
          <w:rFonts w:ascii="Courier New" w:cs="Courier New" w:eastAsia="Courier New" w:hAnsi="Courier New"/>
          <w:sz w:val="12"/>
          <w:szCs w:val="12"/>
          <w:color w:val="auto"/>
        </w:rPr>
        <w:t>NOW, THEREFORE, in consideration of the premises and the mutual covenants contained herein and other good and valuable consideration, the receipt and sufficiency of which are hereby acknowledged, the Company and the Bank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4" w:hanging="364"/>
        <w:spacing w:after="0"/>
        <w:tabs>
          <w:tab w:leader="none" w:pos="364" w:val="left"/>
        </w:tabs>
        <w:numPr>
          <w:ilvl w:val="0"/>
          <w:numId w:val="2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DEFINITIONS AND INTERPRETATION.</w:t>
      </w:r>
    </w:p>
    <w:p>
      <w:pPr>
        <w:spacing w:after="0" w:line="147" w:lineRule="exact"/>
        <w:rPr>
          <w:rFonts w:ascii="Courier New" w:cs="Courier New" w:eastAsia="Courier New" w:hAnsi="Courier New"/>
          <w:sz w:val="12"/>
          <w:szCs w:val="12"/>
          <w:color w:val="auto"/>
        </w:rPr>
      </w:pPr>
    </w:p>
    <w:p>
      <w:pPr>
        <w:ind w:left="364" w:right="4639"/>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used in this Agreement, the following terms shall have the following meanings:</w:t>
      </w:r>
    </w:p>
    <w:p>
      <w:pPr>
        <w:spacing w:after="0" w:line="138" w:lineRule="exact"/>
        <w:rPr>
          <w:rFonts w:ascii="Courier New" w:cs="Courier New" w:eastAsia="Courier New" w:hAnsi="Courier New"/>
          <w:sz w:val="12"/>
          <w:szCs w:val="12"/>
          <w:color w:val="auto"/>
        </w:rPr>
      </w:pPr>
    </w:p>
    <w:p>
      <w:pPr>
        <w:ind w:left="744" w:right="4419" w:hanging="376"/>
        <w:spacing w:after="0" w:line="253" w:lineRule="auto"/>
        <w:tabs>
          <w:tab w:leader="none" w:pos="744" w:val="left"/>
        </w:tabs>
        <w:numPr>
          <w:ilvl w:val="1"/>
          <w:numId w:val="2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"CAPITAL NOTE" means any capital note that is convertible into shares of Tower.</w:t>
      </w:r>
    </w:p>
    <w:p>
      <w:pPr>
        <w:spacing w:after="0" w:line="138" w:lineRule="exact"/>
        <w:rPr>
          <w:rFonts w:ascii="Courier New" w:cs="Courier New" w:eastAsia="Courier New" w:hAnsi="Courier New"/>
          <w:sz w:val="12"/>
          <w:szCs w:val="12"/>
          <w:color w:val="auto"/>
        </w:rPr>
      </w:pPr>
    </w:p>
    <w:p>
      <w:pPr>
        <w:ind w:left="744" w:right="4419" w:hanging="376"/>
        <w:spacing w:after="0" w:line="250" w:lineRule="auto"/>
        <w:tabs>
          <w:tab w:leader="none" w:pos="744" w:val="left"/>
        </w:tabs>
        <w:numPr>
          <w:ilvl w:val="1"/>
          <w:numId w:val="2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"HOLDER" means the Bank, any nominee of the Bank to hold the Clause 9.4 Equity Issuances (the "NOMINEE"), any transferee or assignee to whom the Bank or the Nominee assigns its rights, in whole or in part, and any transferee or assignee thereof to whom a transferee or assignee assigns its rights, in accordance with Section 9.</w:t>
      </w:r>
    </w:p>
    <w:p>
      <w:pPr>
        <w:spacing w:after="0" w:line="141" w:lineRule="exact"/>
        <w:rPr>
          <w:rFonts w:ascii="Courier New" w:cs="Courier New" w:eastAsia="Courier New" w:hAnsi="Courier New"/>
          <w:sz w:val="12"/>
          <w:szCs w:val="12"/>
          <w:color w:val="auto"/>
        </w:rPr>
      </w:pPr>
    </w:p>
    <w:p>
      <w:pPr>
        <w:ind w:left="744" w:right="4579" w:hanging="376"/>
        <w:spacing w:after="0" w:line="253" w:lineRule="auto"/>
        <w:tabs>
          <w:tab w:leader="none" w:pos="744" w:val="left"/>
        </w:tabs>
        <w:numPr>
          <w:ilvl w:val="1"/>
          <w:numId w:val="2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"ISA" means the Israel Securities Authority or any similar or successor agency of Israel administering the Israel Securities Law.</w:t>
      </w:r>
    </w:p>
    <w:p>
      <w:pPr>
        <w:spacing w:after="0" w:line="138" w:lineRule="exact"/>
        <w:rPr>
          <w:rFonts w:ascii="Courier New" w:cs="Courier New" w:eastAsia="Courier New" w:hAnsi="Courier New"/>
          <w:sz w:val="12"/>
          <w:szCs w:val="12"/>
          <w:color w:val="auto"/>
        </w:rPr>
      </w:pPr>
    </w:p>
    <w:p>
      <w:pPr>
        <w:ind w:left="744" w:right="4639" w:hanging="376"/>
        <w:spacing w:after="0" w:line="253" w:lineRule="auto"/>
        <w:tabs>
          <w:tab w:leader="none" w:pos="744" w:val="left"/>
        </w:tabs>
        <w:numPr>
          <w:ilvl w:val="1"/>
          <w:numId w:val="2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"ISRAEL SECURITIES LAW" means the Israel Securities Law, 5728-1968 (including the regulations promulgated thereunder), as amended.</w:t>
      </w:r>
    </w:p>
    <w:p>
      <w:pPr>
        <w:spacing w:after="0" w:line="138" w:lineRule="exact"/>
        <w:rPr>
          <w:rFonts w:ascii="Courier New" w:cs="Courier New" w:eastAsia="Courier New" w:hAnsi="Courier New"/>
          <w:sz w:val="12"/>
          <w:szCs w:val="12"/>
          <w:color w:val="auto"/>
        </w:rPr>
      </w:pPr>
    </w:p>
    <w:p>
      <w:pPr>
        <w:ind w:left="744" w:right="4419" w:hanging="376"/>
        <w:spacing w:after="0" w:line="253" w:lineRule="auto"/>
        <w:tabs>
          <w:tab w:leader="none" w:pos="744" w:val="left"/>
        </w:tabs>
        <w:numPr>
          <w:ilvl w:val="1"/>
          <w:numId w:val="2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"1933 ACT" means the U.S. Securities Act of 1933, as amended, and the rules and regulations thereunder, or any similar successor statute.</w:t>
      </w:r>
    </w:p>
    <w:p>
      <w:pPr>
        <w:spacing w:after="0" w:line="138" w:lineRule="exact"/>
        <w:rPr>
          <w:rFonts w:ascii="Courier New" w:cs="Courier New" w:eastAsia="Courier New" w:hAnsi="Courier New"/>
          <w:sz w:val="12"/>
          <w:szCs w:val="12"/>
          <w:color w:val="auto"/>
        </w:rPr>
      </w:pPr>
    </w:p>
    <w:p>
      <w:pPr>
        <w:ind w:left="744" w:right="4359" w:hanging="376"/>
        <w:spacing w:after="0" w:line="251" w:lineRule="auto"/>
        <w:tabs>
          <w:tab w:leader="none" w:pos="744" w:val="left"/>
        </w:tabs>
        <w:numPr>
          <w:ilvl w:val="1"/>
          <w:numId w:val="2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"1934 ACT" means the U.S. Securities Exchange Act of 1934, as amended, and the rules and regulations thereunder, or any similar successor statute.</w:t>
      </w:r>
    </w:p>
    <w:p>
      <w:pPr>
        <w:spacing w:after="0" w:line="139" w:lineRule="exact"/>
        <w:rPr>
          <w:rFonts w:ascii="Courier New" w:cs="Courier New" w:eastAsia="Courier New" w:hAnsi="Courier New"/>
          <w:sz w:val="12"/>
          <w:szCs w:val="12"/>
          <w:color w:val="auto"/>
        </w:rPr>
      </w:pPr>
    </w:p>
    <w:p>
      <w:pPr>
        <w:ind w:left="744" w:right="4499" w:hanging="376"/>
        <w:spacing w:after="0" w:line="250" w:lineRule="auto"/>
        <w:tabs>
          <w:tab w:leader="none" w:pos="744" w:val="left"/>
        </w:tabs>
        <w:numPr>
          <w:ilvl w:val="1"/>
          <w:numId w:val="2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"REGISTER", "REGISTERED", and "REGISTRATION" refer to a registration effected by preparing and filing a registration statement in compliance with the 1933 Act and the effectiveness of such registration statement in accordance with the 1933 Act or the equivalent actions under the laws of another jurisdiction.</w:t>
      </w:r>
    </w:p>
    <w:p>
      <w:pPr>
        <w:spacing w:after="0" w:line="141" w:lineRule="exact"/>
        <w:rPr>
          <w:rFonts w:ascii="Courier New" w:cs="Courier New" w:eastAsia="Courier New" w:hAnsi="Courier New"/>
          <w:sz w:val="12"/>
          <w:szCs w:val="12"/>
          <w:color w:val="auto"/>
        </w:rPr>
      </w:pPr>
    </w:p>
    <w:p>
      <w:pPr>
        <w:jc w:val="both"/>
        <w:ind w:left="744" w:right="4419" w:hanging="376"/>
        <w:spacing w:after="0" w:line="249" w:lineRule="auto"/>
        <w:tabs>
          <w:tab w:leader="none" w:pos="744" w:val="left"/>
        </w:tabs>
        <w:numPr>
          <w:ilvl w:val="1"/>
          <w:numId w:val="2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"REGISTRABLE SECURITIES" means (i) the ordinary shares of the Company issued or issuable upon conversion of any Capital Note by any Holder,</w:t>
      </w:r>
    </w:p>
    <w:p>
      <w:pPr>
        <w:spacing w:after="0" w:line="1" w:lineRule="exact"/>
        <w:rPr>
          <w:rFonts w:ascii="Courier New" w:cs="Courier New" w:eastAsia="Courier New" w:hAnsi="Courier New"/>
          <w:sz w:val="12"/>
          <w:szCs w:val="12"/>
          <w:color w:val="auto"/>
        </w:rPr>
      </w:pPr>
    </w:p>
    <w:p>
      <w:pPr>
        <w:ind w:left="744" w:right="4359" w:hanging="8"/>
        <w:spacing w:after="0" w:line="250" w:lineRule="auto"/>
        <w:tabs>
          <w:tab w:leader="none" w:pos="1113" w:val="left"/>
        </w:tabs>
        <w:numPr>
          <w:ilvl w:val="2"/>
          <w:numId w:val="2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ordinary shares issued as part of the Clause 9.4 Equity Issuances, including shares issued or issuable upon conversion of Capital Notes or convertible debentures issued as part of the Clause 9.4 Equity Issuances, which are held by a Holder (iii) ordinary shares of the Company issued or issuable upon exercise of a Warrant and (iv) any shares of capital stock issued or issuable with respect to the ordinary shares of the Company as a result of any stock split, stock dividend, rights offering, recapitalization, merger, exchange or similar event or otherwise, including as described in any Capital Note.</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3"/>
          <w:numId w:val="2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2 -</w:t>
      </w:r>
    </w:p>
    <w:p>
      <w:pPr>
        <w:sectPr>
          <w:pgSz w:w="11900" w:h="16838" w:orient="portrait"/>
          <w:cols w:equalWidth="0" w:num="1">
            <w:col w:w="10244"/>
          </w:cols>
          <w:pgMar w:left="216" w:top="283" w:right="1440" w:bottom="1440" w:gutter="0" w:footer="0" w:header="0"/>
        </w:sectPr>
      </w:pPr>
    </w:p>
    <w:bookmarkStart w:id="180" w:name="page181"/>
    <w:bookmarkEnd w:id="180"/>
    <w:p>
      <w:pPr>
        <w:ind w:left="380" w:right="4359" w:hanging="376"/>
        <w:spacing w:after="0" w:line="249" w:lineRule="auto"/>
        <w:tabs>
          <w:tab w:leader="none" w:pos="380" w:val="left"/>
        </w:tabs>
        <w:numPr>
          <w:ilvl w:val="0"/>
          <w:numId w:val="2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"REGISTRATION STATEMENT" means a registration statement or registration statements of the Company covering Registrable Securities filed with (a) the SEC under the 1933 Act, including the Form F-3 Registration Statement No. 333-131315 previously filed by the Company covering ordinary shares issuable upon the exercise of Warrants, and</w:t>
      </w:r>
    </w:p>
    <w:p>
      <w:pPr>
        <w:spacing w:after="0" w:line="2" w:lineRule="exact"/>
        <w:rPr>
          <w:rFonts w:ascii="Courier New" w:cs="Courier New" w:eastAsia="Courier New" w:hAnsi="Courier New"/>
          <w:sz w:val="12"/>
          <w:szCs w:val="12"/>
          <w:color w:val="auto"/>
        </w:rPr>
      </w:pPr>
    </w:p>
    <w:p>
      <w:pPr>
        <w:ind w:left="380" w:right="4499" w:hanging="8"/>
        <w:spacing w:after="0" w:line="251" w:lineRule="auto"/>
        <w:tabs>
          <w:tab w:leader="none" w:pos="675" w:val="left"/>
        </w:tabs>
        <w:numPr>
          <w:ilvl w:val="1"/>
          <w:numId w:val="2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ISA under the Israel Securities Law, to the extent required under the Israel Securities Law, so as to allow the Holder to freely resell the Registrable Securities in Israel, including on the TASE.</w:t>
      </w:r>
    </w:p>
    <w:p>
      <w:pPr>
        <w:spacing w:after="0" w:line="139" w:lineRule="exact"/>
        <w:rPr>
          <w:rFonts w:ascii="Courier New" w:cs="Courier New" w:eastAsia="Courier New" w:hAnsi="Courier New"/>
          <w:sz w:val="12"/>
          <w:szCs w:val="12"/>
          <w:color w:val="auto"/>
        </w:rPr>
      </w:pPr>
    </w:p>
    <w:p>
      <w:pPr>
        <w:ind w:left="380" w:right="4359" w:hanging="376"/>
        <w:spacing w:after="0" w:line="251" w:lineRule="auto"/>
        <w:tabs>
          <w:tab w:leader="none" w:pos="380" w:val="left"/>
        </w:tabs>
        <w:numPr>
          <w:ilvl w:val="0"/>
          <w:numId w:val="2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"SEC" means the United States Securities and Exchange Commission or any similar or successor agency of the United States administering the 1933 Act.</w:t>
      </w:r>
    </w:p>
    <w:p>
      <w:pPr>
        <w:spacing w:after="0" w:line="139" w:lineRule="exact"/>
        <w:rPr>
          <w:rFonts w:ascii="Courier New" w:cs="Courier New" w:eastAsia="Courier New" w:hAnsi="Courier New"/>
          <w:sz w:val="12"/>
          <w:szCs w:val="12"/>
          <w:color w:val="auto"/>
        </w:rPr>
      </w:pPr>
    </w:p>
    <w:p>
      <w:pPr>
        <w:jc w:val="both"/>
        <w:ind w:left="380" w:right="4499" w:hanging="376"/>
        <w:spacing w:after="0" w:line="251" w:lineRule="auto"/>
        <w:tabs>
          <w:tab w:leader="none" w:pos="380" w:val="left"/>
        </w:tabs>
        <w:numPr>
          <w:ilvl w:val="0"/>
          <w:numId w:val="2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"WARRANT" means the warrants issued to the Bank by the Company prior to the Amendment Closing Date and which are amended on the Amendment Closing Date.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 this Agreement:</w:t>
      </w:r>
    </w:p>
    <w:p>
      <w:pPr>
        <w:spacing w:after="0" w:line="147" w:lineRule="exact"/>
        <w:rPr>
          <w:sz w:val="20"/>
          <w:szCs w:val="20"/>
          <w:color w:val="auto"/>
        </w:rPr>
      </w:pPr>
    </w:p>
    <w:p>
      <w:pPr>
        <w:ind w:left="380" w:right="4499" w:hanging="376"/>
        <w:spacing w:after="0" w:line="251" w:lineRule="auto"/>
        <w:tabs>
          <w:tab w:leader="none" w:pos="380" w:val="left"/>
        </w:tabs>
        <w:numPr>
          <w:ilvl w:val="0"/>
          <w:numId w:val="2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Words importing the singular shall include the plural and VICE VERSA and words importing any gender shall include all other genders and references to persons shall include partnerships, corporations and unincorporated associations.</w:t>
      </w:r>
    </w:p>
    <w:p>
      <w:pPr>
        <w:spacing w:after="0" w:line="139" w:lineRule="exact"/>
        <w:rPr>
          <w:rFonts w:ascii="Courier New" w:cs="Courier New" w:eastAsia="Courier New" w:hAnsi="Courier New"/>
          <w:sz w:val="12"/>
          <w:szCs w:val="12"/>
          <w:color w:val="auto"/>
        </w:rPr>
      </w:pPr>
    </w:p>
    <w:p>
      <w:pPr>
        <w:ind w:left="380" w:right="4359" w:hanging="376"/>
        <w:spacing w:after="0" w:line="251" w:lineRule="auto"/>
        <w:tabs>
          <w:tab w:leader="none" w:pos="380" w:val="left"/>
        </w:tabs>
        <w:numPr>
          <w:ilvl w:val="0"/>
          <w:numId w:val="2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reference in this Agreement to a specific form or to any rule or regulation adopted by the SEC shall also include any successor form or amended or successor rule or regulation subsequently adopted by the SEC, all as the same may be in effect at the time.</w:t>
      </w:r>
    </w:p>
    <w:p>
      <w:pPr>
        <w:spacing w:after="0" w:line="139" w:lineRule="exact"/>
        <w:rPr>
          <w:rFonts w:ascii="Courier New" w:cs="Courier New" w:eastAsia="Courier New" w:hAnsi="Courier New"/>
          <w:sz w:val="12"/>
          <w:szCs w:val="12"/>
          <w:color w:val="auto"/>
        </w:rPr>
      </w:pPr>
    </w:p>
    <w:p>
      <w:pPr>
        <w:ind w:left="380" w:right="4499" w:hanging="376"/>
        <w:spacing w:after="0" w:line="251" w:lineRule="auto"/>
        <w:tabs>
          <w:tab w:leader="none" w:pos="380" w:val="left"/>
        </w:tabs>
        <w:numPr>
          <w:ilvl w:val="0"/>
          <w:numId w:val="2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reference in this Agreement to a statute, act or law shall be construed as a reference to such statute, act or law as the same may have been, or may from time to time be, amended or reenacted.</w:t>
      </w:r>
    </w:p>
    <w:p>
      <w:pPr>
        <w:spacing w:after="0" w:line="139" w:lineRule="exact"/>
        <w:rPr>
          <w:rFonts w:ascii="Courier New" w:cs="Courier New" w:eastAsia="Courier New" w:hAnsi="Courier New"/>
          <w:sz w:val="12"/>
          <w:szCs w:val="12"/>
          <w:color w:val="auto"/>
        </w:rPr>
      </w:pPr>
    </w:p>
    <w:p>
      <w:pPr>
        <w:ind w:left="380" w:right="4579" w:hanging="376"/>
        <w:spacing w:after="0" w:line="251" w:lineRule="auto"/>
        <w:tabs>
          <w:tab w:leader="none" w:pos="380" w:val="left"/>
        </w:tabs>
        <w:numPr>
          <w:ilvl w:val="0"/>
          <w:numId w:val="2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"PERSON" shall be construed as a reference to any person, firm, company, corporation, government, state or agency of a state or any association or partnership (whether or not having separate legal personality) or two or more of the aforegoing.</w:t>
      </w:r>
    </w:p>
    <w:p>
      <w:pPr>
        <w:spacing w:after="0" w:line="280" w:lineRule="exact"/>
        <w:rPr>
          <w:rFonts w:ascii="Courier New" w:cs="Courier New" w:eastAsia="Courier New" w:hAnsi="Courier New"/>
          <w:sz w:val="12"/>
          <w:szCs w:val="12"/>
          <w:color w:val="auto"/>
        </w:rPr>
      </w:pPr>
    </w:p>
    <w:p>
      <w:pPr>
        <w:ind w:left="2500" w:hanging="141"/>
        <w:spacing w:after="0"/>
        <w:tabs>
          <w:tab w:leader="none" w:pos="2500" w:val="left"/>
        </w:tabs>
        <w:numPr>
          <w:ilvl w:val="1"/>
          <w:numId w:val="2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3 -</w:t>
      </w:r>
    </w:p>
    <w:p>
      <w:pPr>
        <w:sectPr>
          <w:pgSz w:w="11900" w:h="16838" w:orient="portrait"/>
          <w:cols w:equalWidth="0" w:num="1">
            <w:col w:w="9879"/>
          </w:cols>
          <w:pgMar w:left="580" w:top="689" w:right="1440" w:bottom="1440" w:gutter="0" w:footer="0" w:header="0"/>
        </w:sectPr>
      </w:pPr>
    </w:p>
    <w:bookmarkStart w:id="181" w:name="page182"/>
    <w:bookmarkEnd w:id="181"/>
    <w:p>
      <w:pPr>
        <w:ind w:left="744" w:right="4719" w:hanging="376"/>
        <w:spacing w:after="0" w:line="253" w:lineRule="auto"/>
        <w:tabs>
          <w:tab w:leader="none" w:pos="744" w:val="left"/>
        </w:tabs>
        <w:numPr>
          <w:ilvl w:val="1"/>
          <w:numId w:val="2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"INCLUDING" and "INCLUDES" means, including, without limiting the generality of any description preceding such terms.</w:t>
      </w:r>
    </w:p>
    <w:p>
      <w:pPr>
        <w:spacing w:after="0" w:line="138" w:lineRule="exact"/>
        <w:rPr>
          <w:rFonts w:ascii="Courier New" w:cs="Courier New" w:eastAsia="Courier New" w:hAnsi="Courier New"/>
          <w:sz w:val="12"/>
          <w:szCs w:val="12"/>
          <w:color w:val="auto"/>
        </w:rPr>
      </w:pPr>
    </w:p>
    <w:p>
      <w:pPr>
        <w:ind w:left="744" w:right="4359" w:hanging="376"/>
        <w:spacing w:after="0" w:line="251" w:lineRule="auto"/>
        <w:tabs>
          <w:tab w:leader="none" w:pos="744" w:val="left"/>
        </w:tabs>
        <w:numPr>
          <w:ilvl w:val="1"/>
          <w:numId w:val="2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headings herein are for convenience only, do not constitute a part of this Agreement and shall not be deemed to limit or affect any of the provisions hereof.</w:t>
      </w:r>
    </w:p>
    <w:p>
      <w:pPr>
        <w:spacing w:after="0" w:line="139"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2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REGISTRATION.</w:t>
      </w:r>
    </w:p>
    <w:p>
      <w:pPr>
        <w:spacing w:after="0" w:line="147" w:lineRule="exact"/>
        <w:rPr>
          <w:rFonts w:ascii="Courier New" w:cs="Courier New" w:eastAsia="Courier New" w:hAnsi="Courier New"/>
          <w:sz w:val="12"/>
          <w:szCs w:val="12"/>
          <w:color w:val="auto"/>
        </w:rPr>
      </w:pPr>
    </w:p>
    <w:p>
      <w:pPr>
        <w:ind w:left="744" w:right="4359" w:hanging="376"/>
        <w:spacing w:after="0" w:line="250" w:lineRule="auto"/>
        <w:tabs>
          <w:tab w:leader="none" w:pos="744" w:val="left"/>
        </w:tabs>
        <w:numPr>
          <w:ilvl w:val="1"/>
          <w:numId w:val="2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prepare, and, as soon as practicable but in no event later than (a) 45 days after the date of this Agreement and (b) the date of the Clause 9.4 Equity Issuances, in each case file with the SEC a Registration Statement on Form F-3 and make all required filings with the ISA covering the resale of all of the then Registrable Securities that are not already registered. The Company shall use its best efforts to have the Registration Statement declared effective by the SEC and the ISA as soon as possible after such filing with the SEC and the ISA.</w:t>
      </w:r>
    </w:p>
    <w:p>
      <w:pPr>
        <w:spacing w:after="0" w:line="282" w:lineRule="exact"/>
        <w:rPr>
          <w:rFonts w:ascii="Courier New" w:cs="Courier New" w:eastAsia="Courier New" w:hAnsi="Courier New"/>
          <w:sz w:val="12"/>
          <w:szCs w:val="12"/>
          <w:color w:val="auto"/>
        </w:rPr>
      </w:pPr>
    </w:p>
    <w:p>
      <w:pPr>
        <w:ind w:left="744" w:right="4359" w:hanging="376"/>
        <w:spacing w:after="0" w:line="249" w:lineRule="auto"/>
        <w:tabs>
          <w:tab w:leader="none" w:pos="744" w:val="left"/>
        </w:tabs>
        <w:numPr>
          <w:ilvl w:val="1"/>
          <w:numId w:val="2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that Form F-3 shall not be available for the registration of the resale of Registrable Securities hereunder, the Company shall</w:t>
      </w:r>
    </w:p>
    <w:p>
      <w:pPr>
        <w:spacing w:after="0" w:line="1" w:lineRule="exact"/>
        <w:rPr>
          <w:rFonts w:ascii="Courier New" w:cs="Courier New" w:eastAsia="Courier New" w:hAnsi="Courier New"/>
          <w:sz w:val="12"/>
          <w:szCs w:val="12"/>
          <w:color w:val="auto"/>
        </w:rPr>
      </w:pPr>
    </w:p>
    <w:p>
      <w:pPr>
        <w:ind w:left="744" w:right="4359" w:hanging="8"/>
        <w:spacing w:after="0" w:line="250" w:lineRule="auto"/>
        <w:tabs>
          <w:tab w:leader="none" w:pos="1039" w:val="left"/>
        </w:tabs>
        <w:numPr>
          <w:ilvl w:val="2"/>
          <w:numId w:val="2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register the resale of the Registrable Securities on another appropriate form reasonably acceptable to the Holders of the Registrable Securities to be registered on such Registration Statement and (ii) undertake to register the Registrable Securities on Form F-3 as soon as such form is available, provided that, in each such event, the Company shall maintain the effectiveness of the Registration Statement then in effect until such time as a Registration Statement on Form F-3 covering the Registrable Securities has been declared effective by the SEC.</w:t>
      </w:r>
    </w:p>
    <w:p>
      <w:pPr>
        <w:spacing w:after="0" w:line="141"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2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RELATED OBLIGATIONS.</w:t>
      </w:r>
    </w:p>
    <w:p>
      <w:pPr>
        <w:spacing w:after="0" w:line="147" w:lineRule="exact"/>
        <w:rPr>
          <w:rFonts w:ascii="Courier New" w:cs="Courier New" w:eastAsia="Courier New" w:hAnsi="Courier New"/>
          <w:sz w:val="12"/>
          <w:szCs w:val="12"/>
          <w:color w:val="auto"/>
        </w:rPr>
      </w:pPr>
    </w:p>
    <w:p>
      <w:pPr>
        <w:ind w:left="744" w:right="4419" w:hanging="376"/>
        <w:spacing w:after="0" w:line="249" w:lineRule="auto"/>
        <w:tabs>
          <w:tab w:leader="none" w:pos="744" w:val="left"/>
        </w:tabs>
        <w:numPr>
          <w:ilvl w:val="1"/>
          <w:numId w:val="2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filing and effectiveness of each Registration Statement with the SEC pursuant to Section 2(a), the Company shall keep the Registration Statement effective pursuant to Rule 415 of the 1933 Act and under the Israel Securities Law at all times until the earlier of</w:t>
      </w:r>
    </w:p>
    <w:p>
      <w:pPr>
        <w:spacing w:after="0" w:line="2" w:lineRule="exact"/>
        <w:rPr>
          <w:rFonts w:ascii="Courier New" w:cs="Courier New" w:eastAsia="Courier New" w:hAnsi="Courier New"/>
          <w:sz w:val="12"/>
          <w:szCs w:val="12"/>
          <w:color w:val="auto"/>
        </w:rPr>
      </w:pPr>
    </w:p>
    <w:p>
      <w:pPr>
        <w:ind w:left="744" w:right="4359" w:hanging="8"/>
        <w:spacing w:after="0" w:line="250" w:lineRule="auto"/>
        <w:tabs>
          <w:tab w:leader="none" w:pos="1039" w:val="left"/>
        </w:tabs>
        <w:numPr>
          <w:ilvl w:val="2"/>
          <w:numId w:val="2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date as of which all of the Holders confirm to the Company in writing that they may sell all of the Registrable Securities covered by such Registration Statement without restriction pursuant to all of the following: (x) Rule 144(k) under the 1933 Act, (y) the Israel Securities Law and (z) other securities or "blue sky" laws of each jurisdiction in which the Company obtained a registration or qualification in accordance with Section 3(d) below or (ii) the date on which the Holders shall have sold all the Registrable Securities covered by such Registration Statement (A) in accordance with such Registration Statement (except to another Holder pursuant to Section 9) or (B) to the public pursuant to Rule 144 under the 1933 Act (the "REGISTRATION PERIOD"), the Company to ensure that such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subject to Section 3(e) below.</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3"/>
          <w:numId w:val="2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4 -</w:t>
      </w:r>
    </w:p>
    <w:p>
      <w:pPr>
        <w:sectPr>
          <w:pgSz w:w="11900" w:h="16838" w:orient="portrait"/>
          <w:cols w:equalWidth="0" w:num="1">
            <w:col w:w="10244"/>
          </w:cols>
          <w:pgMar w:left="216" w:top="689" w:right="1440" w:bottom="1440" w:gutter="0" w:footer="0" w:header="0"/>
        </w:sectPr>
      </w:pPr>
    </w:p>
    <w:bookmarkStart w:id="182" w:name="page183"/>
    <w:bookmarkEnd w:id="182"/>
    <w:p>
      <w:pPr>
        <w:ind w:left="376" w:right="4359" w:hanging="376"/>
        <w:spacing w:after="0" w:line="250" w:lineRule="auto"/>
        <w:tabs>
          <w:tab w:leader="none" w:pos="376" w:val="left"/>
        </w:tabs>
        <w:numPr>
          <w:ilvl w:val="0"/>
          <w:numId w:val="2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prepare and file with the SEC and the ISA (to the extent required) such amendments (including post-effective amendments) and supplements to each Registration Statement and the prospectus used in connection with such Registration Statement, which prospectus is to be filed pursuant to Rule 424 under the 1933 Act or under the Israel Securities Law, as may be necessary to keep such Registration Statement effective at all times during the Registration Period, and, during such period, comply with the provisions of the 1933 Act and the Israel Securities Law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which, for the avoidance of doubt, shall include sales on the Nasdaq Stock Market and the TASE, as well as sales not made on such exchanges. In the case of amendments and supplements to a Registration Statement which are required to be filed pursuant to the Agreement (including pursuant to this Section 3(b) by reason of the Company filing a report on Form 20-F, Form 6-K or any analogous report under the 1934 Act), the Company shall have incorporated such report by reference into the Registration Statement, if applicable, or shall file such amendments or supplements with the SEC and the ISA on the same day on which the 1934 Act report is filed which created the requirement for the Company to amend or supplement the Registration Statement.</w:t>
      </w:r>
    </w:p>
    <w:p>
      <w:pPr>
        <w:spacing w:after="0" w:line="200" w:lineRule="exact"/>
        <w:rPr>
          <w:rFonts w:ascii="Courier New" w:cs="Courier New" w:eastAsia="Courier New" w:hAnsi="Courier New"/>
          <w:sz w:val="12"/>
          <w:szCs w:val="12"/>
          <w:color w:val="auto"/>
        </w:rPr>
      </w:pPr>
    </w:p>
    <w:p>
      <w:pPr>
        <w:spacing w:after="0" w:line="224" w:lineRule="exact"/>
        <w:rPr>
          <w:rFonts w:ascii="Courier New" w:cs="Courier New" w:eastAsia="Courier New" w:hAnsi="Courier New"/>
          <w:sz w:val="12"/>
          <w:szCs w:val="12"/>
          <w:color w:val="auto"/>
        </w:rPr>
      </w:pPr>
    </w:p>
    <w:p>
      <w:pPr>
        <w:ind w:left="2496" w:hanging="141"/>
        <w:spacing w:after="0"/>
        <w:tabs>
          <w:tab w:leader="none" w:pos="2496" w:val="left"/>
        </w:tabs>
        <w:numPr>
          <w:ilvl w:val="1"/>
          <w:numId w:val="2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5 -</w:t>
      </w:r>
    </w:p>
    <w:p>
      <w:pPr>
        <w:sectPr>
          <w:pgSz w:w="11900" w:h="16838" w:orient="portrait"/>
          <w:cols w:equalWidth="0" w:num="1">
            <w:col w:w="9876"/>
          </w:cols>
          <w:pgMar w:left="584" w:top="689" w:right="1440" w:bottom="1440" w:gutter="0" w:footer="0" w:header="0"/>
        </w:sectPr>
      </w:pPr>
    </w:p>
    <w:bookmarkStart w:id="183" w:name="page184"/>
    <w:bookmarkEnd w:id="183"/>
    <w:p>
      <w:pPr>
        <w:ind w:left="376" w:right="4359" w:hanging="376"/>
        <w:spacing w:after="0" w:line="249" w:lineRule="auto"/>
        <w:tabs>
          <w:tab w:leader="none" w:pos="376" w:val="left"/>
        </w:tabs>
        <w:numPr>
          <w:ilvl w:val="0"/>
          <w:numId w:val="2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furnish each Holder whose Registrable Securities are included in any Registration Statement, without charge, (i) promptly after the same is prepared and filed with the SEC, at least three (3) copies of such Registration Statement and any amendment(s) thereto, including financial statements and schedules, all documents incorporated therein by reference, all exhibits and each preliminary prospectus (or such other number of copies as such Holder may reasonably request), (ii) upon the effectiveness of any Registration Statement, at least ten (10) copies of the prospectus included in such Registration Statement and all amendments and supplements thereto (or such other number of copies as such Holder may reasonably request) and</w:t>
      </w:r>
    </w:p>
    <w:p>
      <w:pPr>
        <w:spacing w:after="0" w:line="5" w:lineRule="exact"/>
        <w:rPr>
          <w:rFonts w:ascii="Courier New" w:cs="Courier New" w:eastAsia="Courier New" w:hAnsi="Courier New"/>
          <w:sz w:val="12"/>
          <w:szCs w:val="12"/>
          <w:color w:val="auto"/>
        </w:rPr>
      </w:pPr>
    </w:p>
    <w:p>
      <w:pPr>
        <w:ind w:left="376" w:right="4359" w:hanging="8"/>
        <w:spacing w:after="0" w:line="250" w:lineRule="auto"/>
        <w:tabs>
          <w:tab w:leader="none" w:pos="818" w:val="left"/>
        </w:tabs>
        <w:numPr>
          <w:ilvl w:val="1"/>
          <w:numId w:val="2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such other documents, including copies of any preliminary or final prospectus and of any Registration Statements and prospectuses filed with the ISA, as such Holder may reasonably request from time to time in order to facilitate the disposition of the Registrable Securities owned by such Holder.</w:t>
      </w:r>
    </w:p>
    <w:p>
      <w:pPr>
        <w:spacing w:after="0" w:line="141"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2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use its best efforts to (i) register and qualify, unless an exemption from registration and qualification applies, the resale by the Holders of the Registrable Securities covered by a Registration Statement under such other securities or "blue sky" laws of all the states of the United States,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3(d), or (y) file a general consent to service of process in any such jurisdiction. The Company shall promptly notify each Holder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282" w:lineRule="exact"/>
        <w:rPr>
          <w:rFonts w:ascii="Courier New" w:cs="Courier New" w:eastAsia="Courier New" w:hAnsi="Courier New"/>
          <w:sz w:val="12"/>
          <w:szCs w:val="12"/>
          <w:color w:val="auto"/>
        </w:rPr>
      </w:pPr>
    </w:p>
    <w:p>
      <w:pPr>
        <w:ind w:left="2496" w:hanging="141"/>
        <w:spacing w:after="0"/>
        <w:tabs>
          <w:tab w:leader="none" w:pos="2496" w:val="left"/>
        </w:tabs>
        <w:numPr>
          <w:ilvl w:val="2"/>
          <w:numId w:val="2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6 -</w:t>
      </w:r>
    </w:p>
    <w:p>
      <w:pPr>
        <w:sectPr>
          <w:pgSz w:w="11900" w:h="16838" w:orient="portrait"/>
          <w:cols w:equalWidth="0" w:num="1">
            <w:col w:w="9876"/>
          </w:cols>
          <w:pgMar w:left="584" w:top="689" w:right="1440" w:bottom="1440" w:gutter="0" w:footer="0" w:header="0"/>
        </w:sectPr>
      </w:pPr>
    </w:p>
    <w:bookmarkStart w:id="184" w:name="page185"/>
    <w:bookmarkEnd w:id="184"/>
    <w:p>
      <w:pPr>
        <w:ind w:left="376" w:right="4359" w:hanging="376"/>
        <w:spacing w:after="0" w:line="250" w:lineRule="auto"/>
        <w:tabs>
          <w:tab w:leader="none" w:pos="376" w:val="left"/>
        </w:tabs>
        <w:numPr>
          <w:ilvl w:val="0"/>
          <w:numId w:val="2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notify each Holder in writing of the happening of any event, as promptly as practicable after becoming aware of such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The Company shall use its best efforts to minimize the period of time during which a Registration Statement includes an untrue statement of a material fact or omission to state a material fact required to be stated therein or necessary to make the statements therein, in light of the circumstances under which they were made, not misleading. The Company shall promptly notify each Holder in writing (i) when a prospectus or any prospectus supplement or post-effective amendment has been filed so that the Registration Statement does not include an untrue statement of a material fact or omission to state a material fact required to be stated therein or necessary to make the statements therein, in light of the circumstances under which they were made, not misleading, and when a Registration Statement or any post-effective amendment has become effective (notification of such effectiveness shall be delivered to each Holder by facsimile on the same day of such effectiveness and by overnight mail), (ii) of any request by the SEC or the ISA for amendments or supplements to a Registration Statement or related prospectus or related information, and (iii) of the Company's reasonable determination that a post-effective amendment to a Registration Statement would be appropriate.</w:t>
      </w:r>
    </w:p>
    <w:p>
      <w:pPr>
        <w:spacing w:after="0" w:line="140" w:lineRule="exact"/>
        <w:rPr>
          <w:rFonts w:ascii="Courier New" w:cs="Courier New" w:eastAsia="Courier New" w:hAnsi="Courier New"/>
          <w:sz w:val="12"/>
          <w:szCs w:val="12"/>
          <w:color w:val="auto"/>
        </w:rPr>
      </w:pPr>
    </w:p>
    <w:p>
      <w:pPr>
        <w:ind w:left="376" w:right="4419" w:hanging="376"/>
        <w:spacing w:after="0" w:line="250" w:lineRule="auto"/>
        <w:tabs>
          <w:tab w:leader="none" w:pos="376" w:val="left"/>
        </w:tabs>
        <w:numPr>
          <w:ilvl w:val="0"/>
          <w:numId w:val="2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use its best efforts to prevent the issuance of any stop order or other suspension of effectiveness of a Registration Statement, or the suspension of the qualification of any of the Registrable Securities for sale in any jurisdiction and, if such an order or suspension is issued, to obtain the withdrawal of such order or suspension at the earliest possible moment and to notify each Holder who holds Registrable Securities being sold of the issuance of such order and the resolution thereof or its receipt of actual notice of the initiation or threat of any proceeding for such purpose.</w:t>
      </w:r>
    </w:p>
    <w:p>
      <w:pPr>
        <w:spacing w:after="0" w:line="141"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2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cause all the Registrable Securities covered by a Registration Statement to be listed on each securities exchange on which securities of the same class or series issued by the Company are then listed, including the NASDAQ and the TASE and the Company shall, not later than the effective date of a Registration Statement, deliver to the Holders a copy of the approvals of the TASE and the NASDAQ (and/or any other exchange, if applicable) to the listing of the Registrable Securities covered by such Registration Statement on such exchange.</w:t>
      </w:r>
    </w:p>
    <w:p>
      <w:pPr>
        <w:spacing w:after="0" w:line="282" w:lineRule="exact"/>
        <w:rPr>
          <w:rFonts w:ascii="Courier New" w:cs="Courier New" w:eastAsia="Courier New" w:hAnsi="Courier New"/>
          <w:sz w:val="12"/>
          <w:szCs w:val="12"/>
          <w:color w:val="auto"/>
        </w:rPr>
      </w:pPr>
    </w:p>
    <w:p>
      <w:pPr>
        <w:ind w:left="2496" w:hanging="141"/>
        <w:spacing w:after="0"/>
        <w:tabs>
          <w:tab w:leader="none" w:pos="2496" w:val="left"/>
        </w:tabs>
        <w:numPr>
          <w:ilvl w:val="1"/>
          <w:numId w:val="2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7 -</w:t>
      </w:r>
    </w:p>
    <w:p>
      <w:pPr>
        <w:sectPr>
          <w:pgSz w:w="11900" w:h="16838" w:orient="portrait"/>
          <w:cols w:equalWidth="0" w:num="1">
            <w:col w:w="9876"/>
          </w:cols>
          <w:pgMar w:left="584" w:top="689" w:right="1440" w:bottom="1440" w:gutter="0" w:footer="0" w:header="0"/>
        </w:sectPr>
      </w:pPr>
    </w:p>
    <w:bookmarkStart w:id="185" w:name="page186"/>
    <w:bookmarkEnd w:id="185"/>
    <w:p>
      <w:pPr>
        <w:ind w:left="376" w:right="4359" w:hanging="376"/>
        <w:spacing w:after="0" w:line="250" w:lineRule="auto"/>
        <w:tabs>
          <w:tab w:leader="none" w:pos="376" w:val="left"/>
        </w:tabs>
        <w:numPr>
          <w:ilvl w:val="0"/>
          <w:numId w:val="2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cooperate with the Holders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Holders may reasonably request and registered in such names as the Holders may request.</w:t>
      </w:r>
    </w:p>
    <w:p>
      <w:pPr>
        <w:spacing w:after="0" w:line="141" w:lineRule="exact"/>
        <w:rPr>
          <w:rFonts w:ascii="Courier New" w:cs="Courier New" w:eastAsia="Courier New" w:hAnsi="Courier New"/>
          <w:sz w:val="12"/>
          <w:szCs w:val="12"/>
          <w:color w:val="auto"/>
        </w:rPr>
      </w:pPr>
    </w:p>
    <w:p>
      <w:pPr>
        <w:ind w:left="376" w:right="4359" w:hanging="376"/>
        <w:spacing w:after="0" w:line="251" w:lineRule="auto"/>
        <w:tabs>
          <w:tab w:leader="none" w:pos="376" w:val="left"/>
        </w:tabs>
        <w:numPr>
          <w:ilvl w:val="0"/>
          <w:numId w:val="2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provide a transfer agent and registrar of all Registrable Securities and a CUSIP number not later than the effective date of the applicable Registration Statement.</w:t>
      </w:r>
    </w:p>
    <w:p>
      <w:pPr>
        <w:spacing w:after="0" w:line="139"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2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requested by a Holder, the Company shall (i) as soon as practicable incorporate in a prospectus supplement or post-effective amendment such information as a Holder requests to be included therein, information with respect to the number of Registrable Securities being offered or sold, the purchase price being paid therefor and any other terms of the offering of the Registrable Securities to be sold in such offering; (ii) as soon as practicable make all required filings of such prospectus supplement or post-effective amendment after being notified of the matters to be incorporated in such prospectus supplement or post-effective amendment; and (iii) as soon as practicable, supplement or make amendments to any Registration Statement if reasonably requested by a Holder of such Registrable Securities.</w:t>
      </w:r>
    </w:p>
    <w:p>
      <w:pPr>
        <w:spacing w:after="0" w:line="282" w:lineRule="exact"/>
        <w:rPr>
          <w:rFonts w:ascii="Courier New" w:cs="Courier New" w:eastAsia="Courier New" w:hAnsi="Courier New"/>
          <w:sz w:val="12"/>
          <w:szCs w:val="12"/>
          <w:color w:val="auto"/>
        </w:rPr>
      </w:pPr>
    </w:p>
    <w:p>
      <w:pPr>
        <w:ind w:left="376" w:right="4499" w:hanging="376"/>
        <w:spacing w:after="0" w:line="250" w:lineRule="auto"/>
        <w:tabs>
          <w:tab w:leader="none" w:pos="376" w:val="left"/>
        </w:tabs>
        <w:numPr>
          <w:ilvl w:val="0"/>
          <w:numId w:val="2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of any underwritten public offering of the Registrable Securities, enter into and perform its obligations under an underwriting agreement with usual and customary terms that are generally satisfactory to the managing underwriter of such offering. The Holder shall also enter into and perform its obligations under such an agreement (the terms of which must be satisfactory to the Holder if the Holder is to participate in such offering).</w:t>
      </w:r>
    </w:p>
    <w:p>
      <w:pPr>
        <w:spacing w:after="0" w:line="141"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2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afford the Holder and its representatives (including counsel) the opportunity at any time and from time to time during the Registration Period to make such examinations of the business affairs and other material financial and corporate documents of the Company and its subsidiaries as the Holder may reasonably deem necessary to satisfy itself as to the accuracy of the registration statement (subject to a reasonable confidentiality undertaking on the part of the Holder and its representatives).</w:t>
      </w:r>
    </w:p>
    <w:p>
      <w:pPr>
        <w:spacing w:after="0" w:line="282" w:lineRule="exact"/>
        <w:rPr>
          <w:rFonts w:ascii="Courier New" w:cs="Courier New" w:eastAsia="Courier New" w:hAnsi="Courier New"/>
          <w:sz w:val="12"/>
          <w:szCs w:val="12"/>
          <w:color w:val="auto"/>
        </w:rPr>
      </w:pPr>
    </w:p>
    <w:p>
      <w:pPr>
        <w:ind w:left="2496" w:hanging="141"/>
        <w:spacing w:after="0"/>
        <w:tabs>
          <w:tab w:leader="none" w:pos="2496" w:val="left"/>
        </w:tabs>
        <w:numPr>
          <w:ilvl w:val="1"/>
          <w:numId w:val="2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8 -</w:t>
      </w:r>
    </w:p>
    <w:p>
      <w:pPr>
        <w:sectPr>
          <w:pgSz w:w="11900" w:h="16838" w:orient="portrait"/>
          <w:cols w:equalWidth="0" w:num="1">
            <w:col w:w="9876"/>
          </w:cols>
          <w:pgMar w:left="584" w:top="689" w:right="1440" w:bottom="1440" w:gutter="0" w:footer="0" w:header="0"/>
        </w:sectPr>
      </w:pPr>
    </w:p>
    <w:bookmarkStart w:id="186" w:name="page187"/>
    <w:bookmarkEnd w:id="186"/>
    <w:p>
      <w:pPr>
        <w:ind w:left="744" w:right="4359" w:hanging="376"/>
        <w:spacing w:after="0" w:line="250" w:lineRule="auto"/>
        <w:tabs>
          <w:tab w:leader="none" w:pos="744" w:val="left"/>
        </w:tabs>
        <w:numPr>
          <w:ilvl w:val="1"/>
          <w:numId w:val="2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furnish, at the request of the Holder in connection with the registration of Registrable Shares pursuant to this Agreement, on the date that such Registrable Shares are delivered to the underwriters for sale, if such securities are being sold through underwriters, or, if such securities are not being sold through underwriters, on the date that the Registration Statement with respect to such securities becomes effective and on the date of each post-effective amendment thereof: (i) an opinion, dated such date, of the counsel representing the Company for the purposes of such registration, in form and substance as is customarily given to underwriters in an underwritten public offering, addressed to the underwriters, if any, and to the Holder;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w:t>
      </w:r>
    </w:p>
    <w:p>
      <w:pPr>
        <w:spacing w:after="0" w:line="141" w:lineRule="exact"/>
        <w:rPr>
          <w:rFonts w:ascii="Courier New" w:cs="Courier New" w:eastAsia="Courier New" w:hAnsi="Courier New"/>
          <w:sz w:val="12"/>
          <w:szCs w:val="12"/>
          <w:color w:val="auto"/>
        </w:rPr>
      </w:pPr>
    </w:p>
    <w:p>
      <w:pPr>
        <w:ind w:left="744" w:right="4419" w:hanging="376"/>
        <w:spacing w:after="0" w:line="250" w:lineRule="auto"/>
        <w:tabs>
          <w:tab w:leader="none" w:pos="744" w:val="left"/>
        </w:tabs>
        <w:numPr>
          <w:ilvl w:val="1"/>
          <w:numId w:val="2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comply with all applicable rules and regulations of the SEC and shall make generally available to its security holders an earnings statement satisfying the provisions of Section 11(a) of the 1933 Act as soon as practicable after the effective date of the Registration Statement and in any event no later than 45 days after the end of a 12-month period (or 90 days, if such period is a fiscal year) beginning with the first month of the Company's first fiscal quarter commencing after the effective date of the Registration Statement.</w:t>
      </w:r>
    </w:p>
    <w:p>
      <w:pPr>
        <w:spacing w:after="0" w:line="141"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2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OBLIGATIONS OF THE HOLDERS.</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Each Holder agrees that, upon receipt of any notice from the Company of the happening of any event of the kind described in the first sentence of Section 3(e) or in Section 3(f), such Holder will immediately discontinue disposition of Registrable Securities pursuant to any Registration Statement(s) covering such Registrable Securities until such Holder's receipt of the copies of the supplemented or amended prospectus contemplated by the first sentence of Section 3(e) or receipt of notice that no supplement or amendment is required.</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2"/>
          <w:numId w:val="2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9 -</w:t>
      </w:r>
    </w:p>
    <w:p>
      <w:pPr>
        <w:sectPr>
          <w:pgSz w:w="11900" w:h="16838" w:orient="portrait"/>
          <w:cols w:equalWidth="0" w:num="1">
            <w:col w:w="10244"/>
          </w:cols>
          <w:pgMar w:left="216" w:top="689" w:right="1440" w:bottom="1440" w:gutter="0" w:footer="0" w:header="0"/>
        </w:sectPr>
      </w:pPr>
    </w:p>
    <w:bookmarkStart w:id="187" w:name="page188"/>
    <w:bookmarkEnd w:id="187"/>
    <w:p>
      <w:pPr>
        <w:ind w:left="364" w:hanging="364"/>
        <w:spacing w:after="0"/>
        <w:tabs>
          <w:tab w:leader="none" w:pos="364" w:val="left"/>
        </w:tabs>
        <w:numPr>
          <w:ilvl w:val="0"/>
          <w:numId w:val="2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EXPENSES OF REGISTRATION.</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All expenses, other than underwriting discounts and commissions, incurred in connection with registrations, filings or qualifications pursuant to Sections 2 and 3, including, without limitation, all registration, listing and qualifications fees, printers and accounting fees, fees and disbursements of counsel to the Company and the Holders, including in connection with such examinations described in Section 3(l) above, shall be paid by the Company.</w:t>
      </w:r>
    </w:p>
    <w:p>
      <w:pPr>
        <w:spacing w:after="0" w:line="141"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2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INDEMNIFICATION.</w:t>
      </w:r>
    </w:p>
    <w:p>
      <w:pPr>
        <w:spacing w:after="0" w:line="147" w:lineRule="exact"/>
        <w:rPr>
          <w:rFonts w:ascii="Courier New" w:cs="Courier New" w:eastAsia="Courier New" w:hAnsi="Courier New"/>
          <w:sz w:val="12"/>
          <w:szCs w:val="12"/>
          <w:color w:val="auto"/>
        </w:rPr>
      </w:pPr>
    </w:p>
    <w:p>
      <w:pPr>
        <w:ind w:left="364" w:right="4719"/>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any Registrable Securities are included in a Registration Statement under this Agreement:</w:t>
      </w:r>
    </w:p>
    <w:p>
      <w:pPr>
        <w:spacing w:after="0" w:line="279"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2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10 -</w:t>
      </w:r>
    </w:p>
    <w:p>
      <w:pPr>
        <w:sectPr>
          <w:pgSz w:w="11900" w:h="16838" w:orient="portrait"/>
          <w:cols w:equalWidth="0" w:num="1">
            <w:col w:w="10244"/>
          </w:cols>
          <w:pgMar w:left="216" w:top="689" w:right="1440" w:bottom="1440" w:gutter="0" w:footer="0" w:header="0"/>
        </w:sectPr>
      </w:pPr>
    </w:p>
    <w:bookmarkStart w:id="188" w:name="page189"/>
    <w:bookmarkEnd w:id="188"/>
    <w:p>
      <w:pPr>
        <w:ind w:left="376" w:right="4359" w:hanging="376"/>
        <w:spacing w:after="0" w:line="250" w:lineRule="auto"/>
        <w:tabs>
          <w:tab w:leader="none" w:pos="376" w:val="left"/>
        </w:tabs>
        <w:numPr>
          <w:ilvl w:val="0"/>
          <w:numId w:val="2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the fullest extent permitted by law, the Company will, and hereby does, indemnify, hold harmless and defend each Holder, the directors, officers, partners, employees, agents, representatives of, and each Person, if any, who controls any Holder within the meaning of the 1933 Act or 1934 Act (each, an "INDEMNIFIED PERSON"), against any losses, claims, damages, liabilities, judgments, fines, penalties, charges, costs, reasonable attorneys' fees, amounts paid in settlement or expenses, joint or several, (collectively, "CLAIMS") incurred in investigating, preparing or defending any action, claim, suit, inquiry, proceeding, investigation or appeal taken from the foregoing by or before any court or governmental, administrative or other regulatory agency, body or the SEC or the ISA, whether pending or threatened, whether or not a person to be indemnified is or may be a party thereto ("INDEMNIFIED DAMAGES"),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("BLUE SKY FILING"), or the omission or alleged omission to state a material fact required to be stated therein or necessary to make the statements therein not misleading, (ii) any untrue statement or alleged untrue statement of a material fact contained in any Registration Statement, preliminary prospectus, final prospectus or "free writing prospectus" (as such term is defined in Rule 405 under the 1933 Act) or any amendment or supplement to any such prospectus or the omission or alleged omission to state therein any material fact necessary to make the statements made therein, in light of the circumstances under which the statements therein were made, not misleading, (iii) any violation or alleged violation by the Company of the 1933 Act, the 1934 Act, any other law, including, without limitation, any state securities law, the Israel Securities Law or any rule or regulation thereunder relating to the offer or sale of the Registrable Securities pursuant to a Registration Statement or (iv) any material violation of this Agreement (the matters in the foregoing clauses (i) through (iv) being, collectively, "VIOLATIONS"). Subject to Section 6(c), the Company shall reimburse the Indemnified Persons promptly as such expenses are incurred and are due and payable, for any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furnished in writing to the Company by such Indemnified Person expressly for inclusion in any such Registration Statement, preliminary prospectus, final prospectus or free writing prospectus or any such amendment thereof or supplement thereto and (ii)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Holders pursuant to Section 9.</w:t>
      </w:r>
    </w:p>
    <w:p>
      <w:pPr>
        <w:spacing w:after="0" w:line="200" w:lineRule="exact"/>
        <w:rPr>
          <w:rFonts w:ascii="Courier New" w:cs="Courier New" w:eastAsia="Courier New" w:hAnsi="Courier New"/>
          <w:sz w:val="12"/>
          <w:szCs w:val="12"/>
          <w:color w:val="auto"/>
        </w:rPr>
      </w:pPr>
    </w:p>
    <w:p>
      <w:pPr>
        <w:spacing w:after="0" w:line="223"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2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connection with any Registration Statement in which a Holder is participating, each such Holder agrees, severally and not jointly, to indemnify, hold harmless and defend, to the same extent and in the same manner as is set forth in Section 6(a), the Company, each of its directors, each of its officers who signs the Registration Statement, each Person, if any, who controls the Company within the meaning of the 1933 Act or the 1934 Act (each an "INDEMNIFIED PARTY"),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furnished to the Company by such Holder expressly for inclusion in Registration Statement, preliminary prospectus, final prospectus or free writing prospectus and, subject to Section 6(c), such Holder will reimburse any legal or other expenses reasonably incurred by an Indemnified Party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such Holder; provided, further, however, that the Holder shall be liable under this Section 6 for only that amount of a Claim or Indemnified Damages as does not exceed the net proceeds to such Holder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Holders pursuant to Section 9.</w:t>
      </w:r>
    </w:p>
    <w:p>
      <w:pPr>
        <w:spacing w:after="0" w:line="200" w:lineRule="exact"/>
        <w:rPr>
          <w:rFonts w:ascii="Courier New" w:cs="Courier New" w:eastAsia="Courier New" w:hAnsi="Courier New"/>
          <w:sz w:val="12"/>
          <w:szCs w:val="12"/>
          <w:color w:val="auto"/>
        </w:rPr>
      </w:pPr>
    </w:p>
    <w:p>
      <w:pPr>
        <w:spacing w:after="0" w:line="224" w:lineRule="exact"/>
        <w:rPr>
          <w:rFonts w:ascii="Courier New" w:cs="Courier New" w:eastAsia="Courier New" w:hAnsi="Courier New"/>
          <w:sz w:val="12"/>
          <w:szCs w:val="12"/>
          <w:color w:val="auto"/>
        </w:rPr>
      </w:pPr>
    </w:p>
    <w:p>
      <w:pPr>
        <w:ind w:left="2496" w:hanging="141"/>
        <w:spacing w:after="0"/>
        <w:tabs>
          <w:tab w:leader="none" w:pos="2496" w:val="left"/>
        </w:tabs>
        <w:numPr>
          <w:ilvl w:val="1"/>
          <w:numId w:val="2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11 -</w:t>
      </w:r>
    </w:p>
    <w:p>
      <w:pPr>
        <w:sectPr>
          <w:pgSz w:w="11900" w:h="16838" w:orient="portrait"/>
          <w:cols w:equalWidth="0" w:num="1">
            <w:col w:w="9876"/>
          </w:cols>
          <w:pgMar w:left="584" w:top="689" w:right="1440" w:bottom="1440" w:gutter="0" w:footer="0" w:header="0"/>
        </w:sectPr>
      </w:pPr>
    </w:p>
    <w:bookmarkStart w:id="189" w:name="page190"/>
    <w:bookmarkEnd w:id="189"/>
    <w:p>
      <w:pPr>
        <w:ind w:left="376" w:right="4359" w:hanging="376"/>
        <w:spacing w:after="0" w:line="250" w:lineRule="auto"/>
        <w:tabs>
          <w:tab w:leader="none" w:pos="376" w:val="left"/>
        </w:tabs>
        <w:numPr>
          <w:ilvl w:val="0"/>
          <w:numId w:val="2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counsel for such Indemnified Person or Indemnified Party to be paid by the indemnifying party, if,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In the case of an Indemnified Person, legal counsel referred to in the immediately preceding sentence shall be selected by the Holders holding a majority in interest of the Registrable Securities included in the Registration Statement to which the Claim relates.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 but the omission to so notify the indemnifying party will not relieve such indemnifying party of any liability that it may have to any Indemnified Person or Party otherwise than under this Section 6(c), including under Section 6(e).</w:t>
      </w:r>
    </w:p>
    <w:p>
      <w:pPr>
        <w:spacing w:after="0" w:line="282" w:lineRule="exact"/>
        <w:rPr>
          <w:rFonts w:ascii="Courier New" w:cs="Courier New" w:eastAsia="Courier New" w:hAnsi="Courier New"/>
          <w:sz w:val="12"/>
          <w:szCs w:val="12"/>
          <w:color w:val="auto"/>
        </w:rPr>
      </w:pPr>
    </w:p>
    <w:p>
      <w:pPr>
        <w:ind w:left="2496" w:hanging="141"/>
        <w:spacing w:after="0"/>
        <w:tabs>
          <w:tab w:leader="none" w:pos="2496" w:val="left"/>
        </w:tabs>
        <w:numPr>
          <w:ilvl w:val="1"/>
          <w:numId w:val="2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12 -</w:t>
      </w:r>
    </w:p>
    <w:p>
      <w:pPr>
        <w:sectPr>
          <w:pgSz w:w="11900" w:h="16838" w:orient="portrait"/>
          <w:cols w:equalWidth="0" w:num="1">
            <w:col w:w="9876"/>
          </w:cols>
          <w:pgMar w:left="584" w:top="689" w:right="1440" w:bottom="1440" w:gutter="0" w:footer="0" w:header="0"/>
        </w:sectPr>
      </w:pPr>
    </w:p>
    <w:bookmarkStart w:id="190" w:name="page191"/>
    <w:bookmarkEnd w:id="190"/>
    <w:p>
      <w:pPr>
        <w:ind w:left="744" w:right="4799" w:hanging="376"/>
        <w:spacing w:after="0" w:line="251" w:lineRule="auto"/>
        <w:tabs>
          <w:tab w:leader="none" w:pos="744" w:val="left"/>
        </w:tabs>
        <w:numPr>
          <w:ilvl w:val="1"/>
          <w:numId w:val="2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139" w:lineRule="exact"/>
        <w:rPr>
          <w:rFonts w:ascii="Courier New" w:cs="Courier New" w:eastAsia="Courier New" w:hAnsi="Courier New"/>
          <w:sz w:val="12"/>
          <w:szCs w:val="12"/>
          <w:color w:val="auto"/>
        </w:rPr>
      </w:pPr>
    </w:p>
    <w:p>
      <w:pPr>
        <w:ind w:left="744" w:right="4419" w:hanging="376"/>
        <w:spacing w:after="0" w:line="250" w:lineRule="auto"/>
        <w:tabs>
          <w:tab w:leader="none" w:pos="744" w:val="left"/>
        </w:tabs>
        <w:numPr>
          <w:ilvl w:val="1"/>
          <w:numId w:val="2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41"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2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CONTRIBUTION.</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To the extent any indemnification by an indemnifying party is prohibited or limited by law or insufficient to hold an Indemnified Person or an Indemnified Party, as the case may be, harmless, then the indemnifying party, in lieu of indemnifying such Indemnified Person or Indemnified Party hereunder, shall contribute to the amount paid or payable by such Indemnified Person or Indemnified Party as a result of such Claims and Indemnified Damages (each as defined in Section 6(a) above) in such proportion as is appropriate to reflect the relative fault of the indemnifying party on the one hand and of the Indemnified Person or Indemnified Party, as the case may be, on the other in connection with the statements or omissions that resulted in such loss, liability, claim, damage, or expense as well as any other relevant equitable considerations. The relative fault of the indemnifying party and of the Indemnified Person or Indemnified Party, as the case may be, shall be determined by reference to, among other things, whether the untrue or alleged untrue statement of a material fact or the omission to state a material fact relates to information supplied by the indemnifying party or by the Indemnified Person or Indemnified Party and the parties' relative intent, knowledge, access to information, and opportunity to correct or prevent such statement or omission.</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2"/>
          <w:numId w:val="2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13 -</w:t>
      </w:r>
    </w:p>
    <w:p>
      <w:pPr>
        <w:sectPr>
          <w:pgSz w:w="11900" w:h="16838" w:orient="portrait"/>
          <w:cols w:equalWidth="0" w:num="1">
            <w:col w:w="10244"/>
          </w:cols>
          <w:pgMar w:left="216" w:top="689" w:right="1440" w:bottom="1440" w:gutter="0" w:footer="0" w:header="0"/>
        </w:sectPr>
      </w:pPr>
    </w:p>
    <w:bookmarkStart w:id="191" w:name="page192"/>
    <w:bookmarkEnd w:id="191"/>
    <w:p>
      <w:pPr>
        <w:ind w:left="364" w:right="4419"/>
        <w:spacing w:after="0" w:line="250" w:lineRule="auto"/>
        <w:rPr>
          <w:sz w:val="20"/>
          <w:szCs w:val="20"/>
          <w:color w:val="auto"/>
        </w:rPr>
      </w:pPr>
      <w:r>
        <w:rPr>
          <w:rFonts w:ascii="Courier New" w:cs="Courier New" w:eastAsia="Courier New" w:hAnsi="Courier New"/>
          <w:sz w:val="12"/>
          <w:szCs w:val="12"/>
          <w:color w:val="auto"/>
        </w:rPr>
        <w:t>Notwithstanding the foregoing, (i)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 contribution by any seller of Registrable Securities shall be limited in amount to the net amount of proceeds received by such seller from the sale of such Registrable Securities pursuant to such Registration Statement.</w:t>
      </w:r>
    </w:p>
    <w:p>
      <w:pPr>
        <w:spacing w:after="0" w:line="141" w:lineRule="exact"/>
        <w:rPr>
          <w:sz w:val="20"/>
          <w:szCs w:val="20"/>
          <w:color w:val="auto"/>
        </w:rPr>
      </w:pPr>
    </w:p>
    <w:p>
      <w:pPr>
        <w:ind w:left="364" w:hanging="364"/>
        <w:spacing w:after="0"/>
        <w:tabs>
          <w:tab w:leader="none" w:pos="364" w:val="left"/>
        </w:tabs>
        <w:numPr>
          <w:ilvl w:val="0"/>
          <w:numId w:val="2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REPORTS UNDER THE 1934 ACT.</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With a view to making available to the Holders the benefits of Rule 144 promulgated under the 1933 Act or any other similar rule or regulation of the SEC that may at any time permit the Holders to sell securities of the Company to the public without registration ("RULE 144"), the Company agrees to:</w:t>
      </w:r>
    </w:p>
    <w:p>
      <w:pPr>
        <w:spacing w:after="0" w:line="141" w:lineRule="exact"/>
        <w:rPr>
          <w:rFonts w:ascii="Courier New" w:cs="Courier New" w:eastAsia="Courier New" w:hAnsi="Courier New"/>
          <w:sz w:val="12"/>
          <w:szCs w:val="12"/>
          <w:color w:val="auto"/>
        </w:rPr>
      </w:pPr>
    </w:p>
    <w:p>
      <w:pPr>
        <w:ind w:left="744" w:right="4939" w:hanging="376"/>
        <w:spacing w:after="0" w:line="253" w:lineRule="auto"/>
        <w:tabs>
          <w:tab w:leader="none" w:pos="744" w:val="left"/>
        </w:tabs>
        <w:numPr>
          <w:ilvl w:val="1"/>
          <w:numId w:val="2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make and keep public information available, as those terms are understood and defined in Rule 144;</w:t>
      </w:r>
    </w:p>
    <w:p>
      <w:pPr>
        <w:spacing w:after="0" w:line="138" w:lineRule="exact"/>
        <w:rPr>
          <w:rFonts w:ascii="Courier New" w:cs="Courier New" w:eastAsia="Courier New" w:hAnsi="Courier New"/>
          <w:sz w:val="12"/>
          <w:szCs w:val="12"/>
          <w:color w:val="auto"/>
        </w:rPr>
      </w:pPr>
    </w:p>
    <w:p>
      <w:pPr>
        <w:ind w:left="744" w:right="4359" w:hanging="376"/>
        <w:spacing w:after="0" w:line="250" w:lineRule="auto"/>
        <w:tabs>
          <w:tab w:leader="none" w:pos="744" w:val="left"/>
        </w:tabs>
        <w:numPr>
          <w:ilvl w:val="1"/>
          <w:numId w:val="2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file with the SEC in a timely manner all reports and other documents required by the Company under the 1993 Act and the 1934 Act so long as the Company remains subject to such requirements and the filing of such reports and other documents is required for the applicable provisions of Rule 144; and</w:t>
      </w:r>
    </w:p>
    <w:p>
      <w:pPr>
        <w:spacing w:after="0" w:line="141" w:lineRule="exact"/>
        <w:rPr>
          <w:rFonts w:ascii="Courier New" w:cs="Courier New" w:eastAsia="Courier New" w:hAnsi="Courier New"/>
          <w:sz w:val="12"/>
          <w:szCs w:val="12"/>
          <w:color w:val="auto"/>
        </w:rPr>
      </w:pPr>
    </w:p>
    <w:p>
      <w:pPr>
        <w:ind w:left="744" w:right="4359" w:hanging="376"/>
        <w:spacing w:after="0" w:line="250" w:lineRule="auto"/>
        <w:tabs>
          <w:tab w:leader="none" w:pos="744" w:val="left"/>
        </w:tabs>
        <w:numPr>
          <w:ilvl w:val="1"/>
          <w:numId w:val="2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furnish to each Holder so long as such Holder owns Registrable Securities, promptly upon request, (i) a written statement by the Company that it has complied with the reporting requirements of Rule 144, the 1933 Act and the 1934 Act, (ii) a copy of the most recent annual or quarterly report of the Company and such other reports and documents so filed by the Company, and (iii) such other information as may be reasonably requested to permit the Holders to sell such securities pursuant to any rule or regulation of the SEC allowing the Holder to sell any securities without registration.</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2"/>
          <w:numId w:val="2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14 -</w:t>
      </w:r>
    </w:p>
    <w:p>
      <w:pPr>
        <w:sectPr>
          <w:pgSz w:w="11900" w:h="16838" w:orient="portrait"/>
          <w:cols w:equalWidth="0" w:num="1">
            <w:col w:w="10244"/>
          </w:cols>
          <w:pgMar w:left="216" w:top="689" w:right="1440" w:bottom="1440" w:gutter="0" w:footer="0" w:header="0"/>
        </w:sectPr>
      </w:pPr>
    </w:p>
    <w:bookmarkStart w:id="192" w:name="page193"/>
    <w:bookmarkEnd w:id="192"/>
    <w:p>
      <w:pPr>
        <w:ind w:left="364" w:hanging="364"/>
        <w:spacing w:after="0"/>
        <w:tabs>
          <w:tab w:leader="none" w:pos="364" w:val="left"/>
        </w:tabs>
        <w:numPr>
          <w:ilvl w:val="0"/>
          <w:numId w:val="2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ASSIGNMENT OF REGISTRATION RIGHTS.</w:t>
      </w:r>
    </w:p>
    <w:p>
      <w:pPr>
        <w:spacing w:after="0" w:line="147" w:lineRule="exact"/>
        <w:rPr>
          <w:rFonts w:ascii="Courier New" w:cs="Courier New" w:eastAsia="Courier New" w:hAnsi="Courier New"/>
          <w:sz w:val="12"/>
          <w:szCs w:val="12"/>
          <w:color w:val="auto"/>
        </w:rPr>
      </w:pPr>
    </w:p>
    <w:p>
      <w:pPr>
        <w:ind w:left="364" w:right="435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rights under this Agreement shall be freely assignable, in whole or in part at any time and from time to time during the Registration Period, by the Holder to any transferee of all or any portion of a Capital Note or of the Registrable Securities (provided that, in the case of the transfer of Registrable Securities only, the rights under the Agreement may be transferred only if the Holder reasonably believes that such transferee cannot immediately make a public distribution of such Registrable Securities without restriction under the 1933 Act, the Israel Securities Law or other applicable securities laws) if: (i) the Holder agrees in writing with the transferee or assignee to assign such rights, and a copy of such agreement is furnished to the Company within a reasonable time after such transfer or assignment; (ii) the Company is, within a reasonable time after such transfer or assignment, furnished with written notice of</w:t>
      </w:r>
    </w:p>
    <w:p>
      <w:pPr>
        <w:spacing w:after="0" w:line="7" w:lineRule="exact"/>
        <w:rPr>
          <w:rFonts w:ascii="Courier New" w:cs="Courier New" w:eastAsia="Courier New" w:hAnsi="Courier New"/>
          <w:sz w:val="12"/>
          <w:szCs w:val="12"/>
          <w:color w:val="auto"/>
        </w:rPr>
      </w:pPr>
    </w:p>
    <w:p>
      <w:pPr>
        <w:ind w:left="364" w:right="4359" w:firstLine="4"/>
        <w:spacing w:after="0" w:line="250" w:lineRule="auto"/>
        <w:tabs>
          <w:tab w:leader="none" w:pos="659" w:val="left"/>
        </w:tabs>
        <w:numPr>
          <w:ilvl w:val="1"/>
          <w:numId w:val="2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name and address of such transferee or assignee, and (b) the securities with respect to which such registration rights are being transferred or assigned; and (iii) within a reasonable period of time after such transfer or assignment, the transferee or assignee agrees in writing with the Company to be bound by all of the provisions contained herein. At the transferee's request, the Company shall promptly prepare and file any required prospectus supplement under Rule 424(b)(3) of the 1933 Act or other applicable provision of the 1933 Act and/or the Israel Securities Law to appropriately amend the list of selling shareholders thereunder to include such transferee.</w:t>
      </w:r>
    </w:p>
    <w:p>
      <w:pPr>
        <w:spacing w:after="0" w:line="141"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2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 OF REGISTRATION RIGHTS.</w:t>
      </w:r>
    </w:p>
    <w:p>
      <w:pPr>
        <w:spacing w:after="0" w:line="147" w:lineRule="exact"/>
        <w:rPr>
          <w:rFonts w:ascii="Courier New" w:cs="Courier New" w:eastAsia="Courier New" w:hAnsi="Courier New"/>
          <w:sz w:val="12"/>
          <w:szCs w:val="12"/>
          <w:color w:val="auto"/>
        </w:rPr>
      </w:pPr>
    </w:p>
    <w:p>
      <w:pPr>
        <w:ind w:left="364" w:right="441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Provisions of this Agreement may be amended and the observance thereof may be waived (either generally or in a particular instance and either retroactively or prospectively), only with the written consent of the Company and the Holders. Any amendment or waiver effected in accordance with this Section 10 shall be binding upon each Holder and the Company. No such amendment shall be effective to the extent that it applies to less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2"/>
          <w:numId w:val="2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15 -</w:t>
      </w:r>
    </w:p>
    <w:p>
      <w:pPr>
        <w:sectPr>
          <w:pgSz w:w="11900" w:h="16838" w:orient="portrait"/>
          <w:cols w:equalWidth="0" w:num="1">
            <w:col w:w="10244"/>
          </w:cols>
          <w:pgMar w:left="216" w:top="688" w:right="1440" w:bottom="1440" w:gutter="0" w:footer="0" w:header="0"/>
        </w:sectPr>
      </w:pPr>
    </w:p>
    <w:bookmarkStart w:id="193" w:name="page194"/>
    <w:bookmarkEnd w:id="193"/>
    <w:p>
      <w:pPr>
        <w:ind w:left="364" w:right="4719" w:hanging="364"/>
        <w:spacing w:after="0" w:line="253" w:lineRule="auto"/>
        <w:tabs>
          <w:tab w:leader="none" w:pos="364" w:val="left"/>
        </w:tabs>
        <w:numPr>
          <w:ilvl w:val="0"/>
          <w:numId w:val="2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REGISTRATION STATEMENTS; DEMAND AND INCIDENTAL REGISTRATIONS; NO CONFLICTING AGREEMENTS.</w:t>
      </w:r>
    </w:p>
    <w:p>
      <w:pPr>
        <w:spacing w:after="0" w:line="138" w:lineRule="exact"/>
        <w:rPr>
          <w:rFonts w:ascii="Courier New" w:cs="Courier New" w:eastAsia="Courier New" w:hAnsi="Courier New"/>
          <w:sz w:val="12"/>
          <w:szCs w:val="12"/>
          <w:color w:val="auto"/>
        </w:rPr>
      </w:pPr>
    </w:p>
    <w:p>
      <w:pPr>
        <w:ind w:left="744" w:right="4359" w:hanging="376"/>
        <w:spacing w:after="0" w:line="250" w:lineRule="auto"/>
        <w:tabs>
          <w:tab w:leader="none" w:pos="744" w:val="left"/>
        </w:tabs>
        <w:numPr>
          <w:ilvl w:val="1"/>
          <w:numId w:val="2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From and after the time of filing of any Registration Statement filed pursuant hereto and prior to the effectiveness thereof, the Company shall not file a registration statement (including any shelf registration statements) (other than on Form S-8) with the SEC with respect to any securities of the Company, provided that nothing herein shall limit the filing of any registration statement demanded to be filed pursuant to a "demand" right granted by the Company prior to the filing of any such Registration Statement.</w:t>
      </w:r>
    </w:p>
    <w:p>
      <w:pPr>
        <w:spacing w:after="0" w:line="141" w:lineRule="exact"/>
        <w:rPr>
          <w:rFonts w:ascii="Courier New" w:cs="Courier New" w:eastAsia="Courier New" w:hAnsi="Courier New"/>
          <w:sz w:val="12"/>
          <w:szCs w:val="12"/>
          <w:color w:val="auto"/>
        </w:rPr>
      </w:pPr>
    </w:p>
    <w:p>
      <w:pPr>
        <w:ind w:left="744" w:right="4419" w:hanging="376"/>
        <w:spacing w:after="0" w:line="250" w:lineRule="auto"/>
        <w:tabs>
          <w:tab w:leader="none" w:pos="744" w:val="left"/>
        </w:tabs>
        <w:numPr>
          <w:ilvl w:val="1"/>
          <w:numId w:val="2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at any time during the Registration Period there is not an effective Registration Statement covering all of the then Registrable Securities, the Company shall, upon the demand of any Holder, immediately file a registration statement covering all of the then Registrable Securities and the provisions of this Agreement shall apply to such Registration Statement, MUTATIS MUTANDIS.</w:t>
      </w:r>
    </w:p>
    <w:p>
      <w:pPr>
        <w:spacing w:after="0" w:line="141" w:lineRule="exact"/>
        <w:rPr>
          <w:rFonts w:ascii="Courier New" w:cs="Courier New" w:eastAsia="Courier New" w:hAnsi="Courier New"/>
          <w:sz w:val="12"/>
          <w:szCs w:val="12"/>
          <w:color w:val="auto"/>
        </w:rPr>
      </w:pPr>
    </w:p>
    <w:p>
      <w:pPr>
        <w:ind w:left="744" w:right="4359" w:hanging="376"/>
        <w:spacing w:after="0" w:line="250" w:lineRule="auto"/>
        <w:tabs>
          <w:tab w:leader="none" w:pos="744" w:val="left"/>
        </w:tabs>
        <w:numPr>
          <w:ilvl w:val="1"/>
          <w:numId w:val="2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at any time the Company shall determine to prepare and file with the SEC and/or the ISA a registration statement relating to an underwritten offering for its own account or the account of others under the 1933 Act and/or the Israel Securities Law of any of its equity securities, other than on Form F-4 or Form S-8 (each as promulgated under the 1933 Act) or their then equivalents relating to equity securities to be issued solely in connection with any acquisition of any entity or business or equity securities issuable in connection with stock option or other employee benefit plans, then the Company shall send each Holder written notice of such determination and, if within twenty days after receipt of such notice, any such Holder shall so request in writing, the Company shall include in such registration statement all or any part of such Registrable Securities such Holder requests to be registered, subject to customary underwriter cutbacks applicable on a basis consistent with the Company's obligation to other existing holders of registration rights.</w:t>
      </w:r>
    </w:p>
    <w:p>
      <w:pPr>
        <w:spacing w:after="0" w:line="141" w:lineRule="exact"/>
        <w:rPr>
          <w:rFonts w:ascii="Courier New" w:cs="Courier New" w:eastAsia="Courier New" w:hAnsi="Courier New"/>
          <w:sz w:val="12"/>
          <w:szCs w:val="12"/>
          <w:color w:val="auto"/>
        </w:rPr>
      </w:pPr>
    </w:p>
    <w:p>
      <w:pPr>
        <w:ind w:left="744" w:right="4419" w:hanging="376"/>
        <w:spacing w:after="0" w:line="251" w:lineRule="auto"/>
        <w:tabs>
          <w:tab w:leader="none" w:pos="744" w:val="left"/>
        </w:tabs>
        <w:numPr>
          <w:ilvl w:val="1"/>
          <w:numId w:val="2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represents and warrants to the Holder that the Company is not a party to any agreement that conflicts in any manner with the Holder's rights to cause the Company to register Registrable Shares pursuant to this Agreement.</w:t>
      </w:r>
    </w:p>
    <w:p>
      <w:pPr>
        <w:spacing w:after="0" w:line="280" w:lineRule="exact"/>
        <w:rPr>
          <w:rFonts w:ascii="Courier New" w:cs="Courier New" w:eastAsia="Courier New" w:hAnsi="Courier New"/>
          <w:sz w:val="12"/>
          <w:szCs w:val="12"/>
          <w:color w:val="auto"/>
        </w:rPr>
      </w:pPr>
    </w:p>
    <w:p>
      <w:pPr>
        <w:ind w:left="2864" w:hanging="141"/>
        <w:spacing w:after="0"/>
        <w:tabs>
          <w:tab w:leader="none" w:pos="2864" w:val="left"/>
        </w:tabs>
        <w:numPr>
          <w:ilvl w:val="2"/>
          <w:numId w:val="2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16 -</w:t>
      </w:r>
    </w:p>
    <w:p>
      <w:pPr>
        <w:sectPr>
          <w:pgSz w:w="11900" w:h="16838" w:orient="portrait"/>
          <w:cols w:equalWidth="0" w:num="1">
            <w:col w:w="10244"/>
          </w:cols>
          <w:pgMar w:left="216" w:top="689" w:right="1440" w:bottom="1440" w:gutter="0" w:footer="0" w:header="0"/>
        </w:sectPr>
      </w:pPr>
    </w:p>
    <w:bookmarkStart w:id="194" w:name="page195"/>
    <w:bookmarkEnd w:id="194"/>
    <w:p>
      <w:pPr>
        <w:ind w:left="364" w:hanging="364"/>
        <w:spacing w:after="0"/>
        <w:tabs>
          <w:tab w:leader="none" w:pos="364" w:val="left"/>
        </w:tabs>
        <w:numPr>
          <w:ilvl w:val="0"/>
          <w:numId w:val="2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MISCELLANEOUS.</w:t>
      </w:r>
    </w:p>
    <w:p>
      <w:pPr>
        <w:spacing w:after="0" w:line="147" w:lineRule="exact"/>
        <w:rPr>
          <w:rFonts w:ascii="Courier New" w:cs="Courier New" w:eastAsia="Courier New" w:hAnsi="Courier New"/>
          <w:sz w:val="12"/>
          <w:szCs w:val="12"/>
          <w:color w:val="auto"/>
        </w:rPr>
      </w:pPr>
    </w:p>
    <w:p>
      <w:pPr>
        <w:ind w:left="744" w:right="4499" w:hanging="376"/>
        <w:spacing w:after="0" w:line="249" w:lineRule="auto"/>
        <w:tabs>
          <w:tab w:leader="none" w:pos="744" w:val="left"/>
        </w:tabs>
        <w:numPr>
          <w:ilvl w:val="1"/>
          <w:numId w:val="2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w:t>
      </w:r>
    </w:p>
    <w:p>
      <w:pPr>
        <w:spacing w:after="0" w:line="3" w:lineRule="exact"/>
        <w:rPr>
          <w:rFonts w:ascii="Courier New" w:cs="Courier New" w:eastAsia="Courier New" w:hAnsi="Courier New"/>
          <w:sz w:val="12"/>
          <w:szCs w:val="12"/>
          <w:color w:val="auto"/>
        </w:rPr>
      </w:pPr>
    </w:p>
    <w:p>
      <w:pPr>
        <w:ind w:left="744" w:right="4499" w:hanging="8"/>
        <w:spacing w:after="0" w:line="251" w:lineRule="auto"/>
        <w:tabs>
          <w:tab w:leader="none" w:pos="1186" w:val="left"/>
        </w:tabs>
        <w:numPr>
          <w:ilvl w:val="2"/>
          <w:numId w:val="2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three business days after deposit if deposited in the mail for mailing by certified mail, postage prepaid, in each case properly addressed to the party to receive the same. The addresses and facsimile numbers for such communications shall be:</w:t>
      </w:r>
    </w:p>
    <w:p>
      <w:pPr>
        <w:sectPr>
          <w:pgSz w:w="11900" w:h="16838" w:orient="portrait"/>
          <w:cols w:equalWidth="0" w:num="1">
            <w:col w:w="10244"/>
          </w:cols>
          <w:pgMar w:left="216" w:top="689" w:right="1440" w:bottom="1440" w:gutter="0" w:footer="0" w:header="0"/>
        </w:sectPr>
      </w:pPr>
    </w:p>
    <w:p>
      <w:pPr>
        <w:spacing w:after="0" w:line="139"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to the Borrower at: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Tower Semiconductor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P.O. Box 619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Migdal Haemek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Israel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(04) 604 7242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Attention: Oren Shirazi</w:t>
      </w:r>
    </w:p>
    <w:p>
      <w:pPr>
        <w:spacing w:after="0" w:line="6" w:lineRule="exact"/>
        <w:rPr>
          <w:sz w:val="20"/>
          <w:szCs w:val="20"/>
          <w:color w:val="auto"/>
        </w:rPr>
      </w:pPr>
    </w:p>
    <w:p>
      <w:pPr>
        <w:ind w:left="800"/>
        <w:spacing w:after="0"/>
        <w:rPr>
          <w:sz w:val="20"/>
          <w:szCs w:val="20"/>
          <w:color w:val="auto"/>
        </w:rPr>
      </w:pPr>
      <w:r>
        <w:rPr>
          <w:rFonts w:ascii="Courier New" w:cs="Courier New" w:eastAsia="Courier New" w:hAnsi="Courier New"/>
          <w:sz w:val="12"/>
          <w:szCs w:val="12"/>
          <w:color w:val="auto"/>
        </w:rPr>
        <w:t>Acting Chief Financial Officer</w:t>
      </w:r>
    </w:p>
    <w:p>
      <w:pPr>
        <w:spacing w:after="0" w:line="147" w:lineRule="exact"/>
        <w:rPr>
          <w:sz w:val="20"/>
          <w:szCs w:val="20"/>
          <w:color w:val="auto"/>
        </w:rPr>
      </w:pPr>
    </w:p>
    <w:p>
      <w:pPr>
        <w:sectPr>
          <w:pgSz w:w="11900" w:h="16838" w:orient="portrait"/>
          <w:cols w:equalWidth="0" w:num="2">
            <w:col w:w="2144" w:space="140"/>
            <w:col w:w="7959"/>
          </w:cols>
          <w:pgMar w:left="216" w:top="689" w:right="1440" w:bottom="1440" w:gutter="0" w:footer="0" w:header="0"/>
          <w:type w:val="continuous"/>
        </w:sectPr>
      </w:pPr>
    </w:p>
    <w:p>
      <w:pPr>
        <w:ind w:left="744"/>
        <w:spacing w:after="0"/>
        <w:rPr>
          <w:sz w:val="20"/>
          <w:szCs w:val="20"/>
          <w:color w:val="auto"/>
        </w:rPr>
      </w:pPr>
      <w:r>
        <w:rPr>
          <w:rFonts w:ascii="Courier New" w:cs="Courier New" w:eastAsia="Courier New" w:hAnsi="Courier New"/>
          <w:sz w:val="12"/>
          <w:szCs w:val="12"/>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Yigal Arnon &amp;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 Azrieli Center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46th Floor, The Round Tower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Tel-Aviv, Israel 67021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(03) 608 7714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Attention: David H. Schapiro, Adv./</w:t>
      </w:r>
    </w:p>
    <w:p>
      <w:pPr>
        <w:spacing w:after="0" w:line="6" w:lineRule="exact"/>
        <w:rPr>
          <w:sz w:val="20"/>
          <w:szCs w:val="20"/>
          <w:color w:val="auto"/>
        </w:rPr>
      </w:pPr>
    </w:p>
    <w:p>
      <w:pPr>
        <w:ind w:left="800"/>
        <w:spacing w:after="0"/>
        <w:rPr>
          <w:sz w:val="20"/>
          <w:szCs w:val="20"/>
          <w:color w:val="auto"/>
        </w:rPr>
      </w:pPr>
      <w:r>
        <w:rPr>
          <w:rFonts w:ascii="Courier New" w:cs="Courier New" w:eastAsia="Courier New" w:hAnsi="Courier New"/>
          <w:sz w:val="12"/>
          <w:szCs w:val="12"/>
          <w:color w:val="auto"/>
        </w:rPr>
        <w:t>Ari Fried, Adv.</w:t>
      </w:r>
    </w:p>
    <w:p>
      <w:pPr>
        <w:spacing w:after="0" w:line="147" w:lineRule="exact"/>
        <w:rPr>
          <w:sz w:val="20"/>
          <w:szCs w:val="20"/>
          <w:color w:val="auto"/>
        </w:rPr>
      </w:pPr>
    </w:p>
    <w:p>
      <w:pPr>
        <w:sectPr>
          <w:pgSz w:w="11900" w:h="16838" w:orient="portrait"/>
          <w:cols w:equalWidth="0" w:num="2">
            <w:col w:w="1844" w:space="440"/>
            <w:col w:w="7959"/>
          </w:cols>
          <w:pgMar w:left="216" w:top="689" w:right="1440" w:bottom="1440" w:gutter="0" w:footer="0" w:header="0"/>
          <w:type w:val="continuous"/>
        </w:sectPr>
      </w:pPr>
    </w:p>
    <w:p>
      <w:pPr>
        <w:ind w:left="744"/>
        <w:spacing w:after="0"/>
        <w:rPr>
          <w:sz w:val="20"/>
          <w:szCs w:val="20"/>
          <w:color w:val="auto"/>
        </w:rPr>
      </w:pPr>
      <w:r>
        <w:rPr>
          <w:rFonts w:ascii="Courier New" w:cs="Courier New" w:eastAsia="Courier New" w:hAnsi="Courier New"/>
          <w:sz w:val="12"/>
          <w:szCs w:val="12"/>
          <w:color w:val="auto"/>
        </w:rPr>
        <w:t>to the Bank 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Corporate Division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34 Yehuda Halevi Street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Tel-Aviv, Israel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(03) 514 9278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Attention: Manager of Hi-Tech Industries Section</w:t>
      </w:r>
    </w:p>
    <w:p>
      <w:pPr>
        <w:spacing w:after="0" w:line="147" w:lineRule="exact"/>
        <w:rPr>
          <w:sz w:val="20"/>
          <w:szCs w:val="20"/>
          <w:color w:val="auto"/>
        </w:rPr>
      </w:pPr>
    </w:p>
    <w:p>
      <w:pPr>
        <w:sectPr>
          <w:pgSz w:w="11900" w:h="16838" w:orient="portrait"/>
          <w:cols w:equalWidth="0" w:num="2">
            <w:col w:w="1844" w:space="440"/>
            <w:col w:w="7959"/>
          </w:cols>
          <w:pgMar w:left="216" w:top="689" w:right="1440" w:bottom="1440" w:gutter="0" w:footer="0" w:header="0"/>
          <w:type w:val="continuous"/>
        </w:sectPr>
      </w:pPr>
    </w:p>
    <w:p>
      <w:pPr>
        <w:ind w:left="664"/>
        <w:spacing w:after="0" w:line="251" w:lineRule="auto"/>
        <w:rPr>
          <w:sz w:val="20"/>
          <w:szCs w:val="20"/>
          <w:color w:val="auto"/>
        </w:rPr>
      </w:pPr>
      <w:r>
        <w:rPr>
          <w:rFonts w:ascii="Courier New" w:cs="Courier New" w:eastAsia="Courier New" w:hAnsi="Courier New"/>
          <w:sz w:val="12"/>
          <w:szCs w:val="12"/>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Leumi and Co. Investment House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25 Kalisher Street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Tel-Aviv 65165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Israel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Fax: 972-3-5141215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Attn: Head of Investment Sector</w:t>
      </w:r>
    </w:p>
    <w:p>
      <w:pPr>
        <w:spacing w:after="0" w:line="147" w:lineRule="exact"/>
        <w:rPr>
          <w:sz w:val="20"/>
          <w:szCs w:val="20"/>
          <w:color w:val="auto"/>
        </w:rPr>
      </w:pPr>
    </w:p>
    <w:p>
      <w:pPr>
        <w:sectPr>
          <w:pgSz w:w="11900" w:h="16838" w:orient="portrait"/>
          <w:cols w:equalWidth="0" w:num="2">
            <w:col w:w="2064" w:space="220"/>
            <w:col w:w="7959"/>
          </w:cols>
          <w:pgMar w:left="216" w:top="689" w:right="1440" w:bottom="1440" w:gutter="0" w:footer="0" w:header="0"/>
          <w:type w:val="continuous"/>
        </w:sectPr>
      </w:pPr>
    </w:p>
    <w:p>
      <w:pPr>
        <w:ind w:left="664"/>
        <w:spacing w:after="0"/>
        <w:tabs>
          <w:tab w:leader="none" w:pos="2564" w:val="left"/>
        </w:tabs>
        <w:rPr>
          <w:sz w:val="20"/>
          <w:szCs w:val="20"/>
          <w:color w:val="auto"/>
        </w:rPr>
      </w:pPr>
      <w:r>
        <w:rPr>
          <w:rFonts w:ascii="Courier New" w:cs="Courier New" w:eastAsia="Courier New" w:hAnsi="Courier New"/>
          <w:sz w:val="12"/>
          <w:szCs w:val="12"/>
          <w:color w:val="auto"/>
        </w:rPr>
        <w:t>to any other Holder at:</w:t>
        <w:tab/>
        <w:t>such address as shall be notified to the</w:t>
      </w:r>
    </w:p>
    <w:p>
      <w:pPr>
        <w:spacing w:after="0" w:line="6" w:lineRule="exact"/>
        <w:rPr>
          <w:sz w:val="20"/>
          <w:szCs w:val="20"/>
          <w:color w:val="auto"/>
        </w:rPr>
      </w:pPr>
    </w:p>
    <w:p>
      <w:pPr>
        <w:ind w:left="2584"/>
        <w:spacing w:after="0"/>
        <w:rPr>
          <w:sz w:val="20"/>
          <w:szCs w:val="20"/>
          <w:color w:val="auto"/>
        </w:rPr>
      </w:pPr>
      <w:r>
        <w:rPr>
          <w:rFonts w:ascii="Courier New" w:cs="Courier New" w:eastAsia="Courier New" w:hAnsi="Courier New"/>
          <w:sz w:val="12"/>
          <w:szCs w:val="12"/>
          <w:color w:val="auto"/>
        </w:rPr>
        <w:t>Company pursuant to Section 9 above.</w:t>
      </w: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- 17 -</w:t>
      </w:r>
    </w:p>
    <w:p>
      <w:pPr>
        <w:sectPr>
          <w:pgSz w:w="11900" w:h="16838" w:orient="portrait"/>
          <w:cols w:equalWidth="0" w:num="1">
            <w:col w:w="10244"/>
          </w:cols>
          <w:pgMar w:left="216" w:top="689" w:right="1440" w:bottom="1440" w:gutter="0" w:footer="0" w:header="0"/>
          <w:type w:val="continuous"/>
        </w:sectPr>
      </w:pPr>
    </w:p>
    <w:bookmarkStart w:id="195" w:name="page196"/>
    <w:bookmarkEnd w:id="195"/>
    <w:p>
      <w:pPr>
        <w:ind w:left="376" w:right="4499" w:hanging="376"/>
        <w:spacing w:after="0" w:line="251" w:lineRule="auto"/>
        <w:tabs>
          <w:tab w:leader="none" w:pos="376" w:val="left"/>
        </w:tabs>
        <w:numPr>
          <w:ilvl w:val="0"/>
          <w:numId w:val="2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Failure of any party to exercise any right or remedy under this Agreement or otherwise, or delay by a party in exercising such right or remedy, shall not operate as a waiver thereof.</w:t>
      </w:r>
    </w:p>
    <w:p>
      <w:pPr>
        <w:spacing w:after="0" w:line="139"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2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shall be governed by and construed in accordance with the laws of the State of Israel as applicable to contracts between two residents of the State of Israel entered into and to be performed entirely within the State of Israel. Any dispute arising under or in relation to this Agreement shall be resolved in the competent court for Tel Aviv-Jaffa district, and each of the parties hereby submits irrevocably to the jurisdiction of such court.</w:t>
      </w:r>
    </w:p>
    <w:p>
      <w:pPr>
        <w:spacing w:after="0" w:line="141" w:lineRule="exact"/>
        <w:rPr>
          <w:rFonts w:ascii="Courier New" w:cs="Courier New" w:eastAsia="Courier New" w:hAnsi="Courier New"/>
          <w:sz w:val="12"/>
          <w:szCs w:val="12"/>
          <w:color w:val="auto"/>
        </w:rPr>
      </w:pPr>
    </w:p>
    <w:p>
      <w:pPr>
        <w:ind w:left="376" w:right="4419" w:hanging="376"/>
        <w:spacing w:after="0" w:line="250" w:lineRule="auto"/>
        <w:tabs>
          <w:tab w:leader="none" w:pos="376" w:val="left"/>
        </w:tabs>
        <w:numPr>
          <w:ilvl w:val="0"/>
          <w:numId w:val="2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constitutes the entire agreement among the parties hereto with respect to the subject matter hereof and thereof. There are no restrictions, promises, warranties or undertakings, other than those set forth or referred to herein and therein. This Agreement supersedes all prior agreements and understandings among the parties hereto with respect to the subject matter hereof and thereof.</w:t>
      </w:r>
    </w:p>
    <w:p>
      <w:pPr>
        <w:spacing w:after="0" w:line="141"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2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Neither this Agreement, nor any of Tower's obligations hereunder, may be assigned by Tower, except with the prior written consent of all the Holders. Subject to the requirements of Section 9, this Agreement shall inure to the benefit of and be binding upon the successors and permitted assigns of each of the parties hereto.</w:t>
      </w:r>
    </w:p>
    <w:p>
      <w:pPr>
        <w:spacing w:after="0" w:line="141" w:lineRule="exact"/>
        <w:rPr>
          <w:rFonts w:ascii="Courier New" w:cs="Courier New" w:eastAsia="Courier New" w:hAnsi="Courier New"/>
          <w:sz w:val="12"/>
          <w:szCs w:val="12"/>
          <w:color w:val="auto"/>
        </w:rPr>
      </w:pPr>
    </w:p>
    <w:p>
      <w:pPr>
        <w:ind w:left="376" w:right="4499" w:hanging="376"/>
        <w:spacing w:after="0" w:line="253" w:lineRule="auto"/>
        <w:tabs>
          <w:tab w:leader="none" w:pos="376" w:val="left"/>
        </w:tabs>
        <w:numPr>
          <w:ilvl w:val="0"/>
          <w:numId w:val="2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headings in this Agreement are for convenience of reference only and shall not limit or otherwise affect the meaning hereof.</w:t>
      </w:r>
    </w:p>
    <w:p>
      <w:pPr>
        <w:spacing w:after="0" w:line="138" w:lineRule="exact"/>
        <w:rPr>
          <w:rFonts w:ascii="Courier New" w:cs="Courier New" w:eastAsia="Courier New" w:hAnsi="Courier New"/>
          <w:sz w:val="12"/>
          <w:szCs w:val="12"/>
          <w:color w:val="auto"/>
        </w:rPr>
      </w:pPr>
    </w:p>
    <w:p>
      <w:pPr>
        <w:ind w:left="376" w:right="4359" w:hanging="376"/>
        <w:spacing w:after="0" w:line="250" w:lineRule="auto"/>
        <w:tabs>
          <w:tab w:leader="none" w:pos="376" w:val="left"/>
        </w:tabs>
        <w:numPr>
          <w:ilvl w:val="0"/>
          <w:numId w:val="2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may be executed in identical counterparts, each of which shall be deemed an original but all of which shall constitute one and the same agreement. This Agreement, once executed by a party, may be delivered to the other parties hereto by facsimile transmission of a copy of this Agreement bearing the signature of the party so delivering this Agreement.</w:t>
      </w:r>
    </w:p>
    <w:p>
      <w:pPr>
        <w:spacing w:after="0" w:line="141" w:lineRule="exact"/>
        <w:rPr>
          <w:rFonts w:ascii="Courier New" w:cs="Courier New" w:eastAsia="Courier New" w:hAnsi="Courier New"/>
          <w:sz w:val="12"/>
          <w:szCs w:val="12"/>
          <w:color w:val="auto"/>
        </w:rPr>
      </w:pPr>
    </w:p>
    <w:p>
      <w:pPr>
        <w:ind w:left="376" w:right="4419" w:hanging="376"/>
        <w:spacing w:after="0" w:line="250" w:lineRule="auto"/>
        <w:tabs>
          <w:tab w:leader="none" w:pos="376" w:val="left"/>
        </w:tabs>
        <w:numPr>
          <w:ilvl w:val="0"/>
          <w:numId w:val="2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Each party shall do and perform, or cause to be done and performed, all such further acts and things, and shall execute and deliver all such other agreements, certificates, instruments and documents, as another party may reasonably request in order to carry out the intent and accomplish the purposes of this Agreement and the consummation of the transactions contemplated hereby.</w:t>
      </w:r>
    </w:p>
    <w:p>
      <w:pPr>
        <w:spacing w:after="0" w:line="283" w:lineRule="exact"/>
        <w:rPr>
          <w:rFonts w:ascii="Courier New" w:cs="Courier New" w:eastAsia="Courier New" w:hAnsi="Courier New"/>
          <w:sz w:val="12"/>
          <w:szCs w:val="12"/>
          <w:color w:val="auto"/>
        </w:rPr>
      </w:pPr>
    </w:p>
    <w:p>
      <w:pPr>
        <w:ind w:left="2496" w:hanging="141"/>
        <w:spacing w:after="0"/>
        <w:tabs>
          <w:tab w:leader="none" w:pos="2496" w:val="left"/>
        </w:tabs>
        <w:numPr>
          <w:ilvl w:val="1"/>
          <w:numId w:val="2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18 -</w:t>
      </w:r>
    </w:p>
    <w:p>
      <w:pPr>
        <w:sectPr>
          <w:pgSz w:w="11900" w:h="16838" w:orient="portrait"/>
          <w:cols w:equalWidth="0" w:num="1">
            <w:col w:w="9876"/>
          </w:cols>
          <w:pgMar w:left="584" w:top="689" w:right="1440" w:bottom="1440" w:gutter="0" w:footer="0" w:header="0"/>
        </w:sectPr>
      </w:pPr>
    </w:p>
    <w:bookmarkStart w:id="196" w:name="page197"/>
    <w:bookmarkEnd w:id="196"/>
    <w:p>
      <w:pPr>
        <w:ind w:left="740" w:right="4419" w:hanging="376"/>
        <w:spacing w:after="0" w:line="251" w:lineRule="auto"/>
        <w:tabs>
          <w:tab w:leader="none" w:pos="740" w:val="left"/>
        </w:tabs>
        <w:numPr>
          <w:ilvl w:val="0"/>
          <w:numId w:val="2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language used in this Agreement will be deemed to be the language chosen by the parties to express their mutual intent and no rules of strict construction will be applied against any party.</w:t>
      </w:r>
    </w:p>
    <w:p>
      <w:pPr>
        <w:spacing w:after="0" w:line="139" w:lineRule="exact"/>
        <w:rPr>
          <w:rFonts w:ascii="Courier New" w:cs="Courier New" w:eastAsia="Courier New" w:hAnsi="Courier New"/>
          <w:sz w:val="12"/>
          <w:szCs w:val="12"/>
          <w:color w:val="auto"/>
        </w:rPr>
      </w:pPr>
    </w:p>
    <w:p>
      <w:pPr>
        <w:ind w:left="740" w:right="4419" w:hanging="376"/>
        <w:spacing w:after="0" w:line="251" w:lineRule="auto"/>
        <w:tabs>
          <w:tab w:leader="none" w:pos="740" w:val="left"/>
        </w:tabs>
        <w:numPr>
          <w:ilvl w:val="0"/>
          <w:numId w:val="2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is intended for the benefit of the parties hereto and their respective successors and permitted assigns, and is not for the benefit of, nor may any provision hereof be enforced by, any other person.</w:t>
      </w:r>
    </w:p>
    <w:p>
      <w:pPr>
        <w:spacing w:after="0" w:line="139" w:lineRule="exact"/>
        <w:rPr>
          <w:sz w:val="20"/>
          <w:szCs w:val="20"/>
          <w:color w:val="auto"/>
        </w:rPr>
      </w:pPr>
    </w:p>
    <w:p>
      <w:pPr>
        <w:jc w:val="both"/>
        <w:ind w:right="4879" w:firstLine="368"/>
        <w:spacing w:after="0" w:line="253" w:lineRule="auto"/>
        <w:rPr>
          <w:sz w:val="20"/>
          <w:szCs w:val="20"/>
          <w:color w:val="auto"/>
        </w:rPr>
      </w:pPr>
      <w:r>
        <w:rPr>
          <w:rFonts w:ascii="Courier New" w:cs="Courier New" w:eastAsia="Courier New" w:hAnsi="Courier New"/>
          <w:sz w:val="12"/>
          <w:szCs w:val="12"/>
          <w:color w:val="auto"/>
        </w:rPr>
        <w:t>IN WITNESS WHEREOF, the parties have caused this Registration Rights Agreement to be duly executed as of the day and year first above written.</w:t>
      </w:r>
    </w:p>
    <w:p>
      <w:pPr>
        <w:spacing w:after="0" w:line="280"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TOWER SEMICONDUCTOR LTD.</w:t>
      </w:r>
    </w:p>
    <w:p>
      <w:pPr>
        <w:spacing w:after="0" w:line="147"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By: ______________________________</w:t>
      </w:r>
    </w:p>
    <w:p>
      <w:pPr>
        <w:spacing w:after="0" w:line="147"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Name: ____________________________</w:t>
      </w:r>
    </w:p>
    <w:p>
      <w:pPr>
        <w:spacing w:after="0" w:line="147"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Its: _______________________________</w:t>
      </w:r>
    </w:p>
    <w:p>
      <w:pPr>
        <w:spacing w:after="0" w:line="289"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BANK LEUMI LE-ISRAEL B.M.</w:t>
      </w:r>
    </w:p>
    <w:p>
      <w:pPr>
        <w:spacing w:after="0" w:line="147"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By: ______________________________</w:t>
      </w:r>
    </w:p>
    <w:p>
      <w:pPr>
        <w:spacing w:after="0" w:line="147"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Name: ____________________________</w:t>
      </w:r>
    </w:p>
    <w:p>
      <w:pPr>
        <w:spacing w:after="0" w:line="147"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Its: _______________________________</w:t>
      </w:r>
    </w:p>
    <w:p>
      <w:pPr>
        <w:spacing w:after="0" w:line="289"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- 19 -</w:t>
      </w:r>
    </w:p>
    <w:p>
      <w:pPr>
        <w:sectPr>
          <w:pgSz w:w="11900" w:h="16838" w:orient="portrait"/>
          <w:cols w:equalWidth="0" w:num="1">
            <w:col w:w="10239"/>
          </w:cols>
          <w:pgMar w:left="220" w:top="689" w:right="1440" w:bottom="1440" w:gutter="0" w:footer="0" w:header="0"/>
        </w:sectPr>
      </w:pPr>
    </w:p>
    <w:bookmarkStart w:id="197" w:name="page198"/>
    <w:bookmarkEnd w:id="197"/>
    <w:p>
      <w:pPr>
        <w:ind w:left="4924"/>
        <w:spacing w:after="0"/>
        <w:rPr>
          <w:sz w:val="20"/>
          <w:szCs w:val="20"/>
          <w:color w:val="auto"/>
        </w:rPr>
      </w:pPr>
      <w:r>
        <w:rPr>
          <w:rFonts w:ascii="Courier New" w:cs="Courier New" w:eastAsia="Courier New" w:hAnsi="Courier New"/>
          <w:sz w:val="12"/>
          <w:szCs w:val="12"/>
          <w:color w:val="auto"/>
        </w:rPr>
        <w:t>EXHIBIT 99.12</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THESE SECURITIES [(INCLUDING THE SECURITIES ISSUABLE PURSUANT HERETO)](1) HAVE NOT BEEN REGISTERED OR QUALIFIED UNDER THE U.S. SECURITIES ACT OF 1933, AS AMENDED ("THE ACT"), OR ANY U.S. STATE OR OTHER JURISDICTION'S SECURITIES LAWS. THESE SECURITIES (INCLUDING THE SECURITIES ISSUABLE PURSUANT HERETO) MAY NOT BE SOLD, OFFERED FOR SALE OR PLEDGED, HYPOTHECATED OR OTHERWISE TRANSFERRED IN THE ABSENCE OF A REGISTRATION STATEMENT IN EFFECT UNDER THE ACT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141" w:lineRule="exact"/>
        <w:rPr>
          <w:sz w:val="20"/>
          <w:szCs w:val="20"/>
          <w:color w:val="auto"/>
        </w:rPr>
      </w:pPr>
    </w:p>
    <w:p>
      <w:pPr>
        <w:jc w:val="center"/>
        <w:ind w:right="4355"/>
        <w:spacing w:after="0"/>
        <w:rPr>
          <w:sz w:val="20"/>
          <w:szCs w:val="20"/>
          <w:color w:val="auto"/>
        </w:rPr>
      </w:pPr>
      <w:r>
        <w:rPr>
          <w:rFonts w:ascii="Courier New" w:cs="Courier New" w:eastAsia="Courier New" w:hAnsi="Courier New"/>
          <w:sz w:val="12"/>
          <w:szCs w:val="12"/>
          <w:color w:val="auto"/>
        </w:rPr>
        <w:t>EQUITY EQUIVALENT CONVERTIBLE CAPITAL NOTE</w:t>
      </w:r>
    </w:p>
    <w:p>
      <w:pPr>
        <w:spacing w:after="0" w:line="6" w:lineRule="exact"/>
        <w:rPr>
          <w:sz w:val="20"/>
          <w:szCs w:val="20"/>
          <w:color w:val="auto"/>
        </w:rPr>
      </w:pPr>
    </w:p>
    <w:p>
      <w:pPr>
        <w:jc w:val="center"/>
        <w:ind w:right="4355"/>
        <w:spacing w:after="0"/>
        <w:rPr>
          <w:sz w:val="20"/>
          <w:szCs w:val="20"/>
          <w:color w:val="auto"/>
        </w:rPr>
      </w:pPr>
      <w:r>
        <w:rPr>
          <w:rFonts w:ascii="Courier New" w:cs="Courier New" w:eastAsia="Courier New" w:hAnsi="Courier New"/>
          <w:sz w:val="12"/>
          <w:szCs w:val="12"/>
          <w:color w:val="auto"/>
        </w:rPr>
        <w:t>(PRINCIPAL AMOUNT OF US $39,500,000)</w:t>
      </w:r>
    </w:p>
    <w:p>
      <w:pPr>
        <w:spacing w:after="0" w:line="147" w:lineRule="exact"/>
        <w:rPr>
          <w:sz w:val="20"/>
          <w:szCs w:val="20"/>
          <w:color w:val="auto"/>
        </w:rPr>
      </w:pPr>
    </w:p>
    <w:p>
      <w:pPr>
        <w:ind w:left="4" w:right="4359"/>
        <w:spacing w:after="0" w:line="250" w:lineRule="auto"/>
        <w:rPr>
          <w:sz w:val="20"/>
          <w:szCs w:val="20"/>
          <w:color w:val="auto"/>
        </w:rPr>
      </w:pPr>
      <w:r>
        <w:rPr>
          <w:rFonts w:ascii="Courier New" w:cs="Courier New" w:eastAsia="Courier New" w:hAnsi="Courier New"/>
          <w:sz w:val="12"/>
          <w:szCs w:val="12"/>
          <w:color w:val="auto"/>
        </w:rPr>
        <w:t>THIS EQUITY EQUIVALENT CONVERTIBLE CAPITAL NOTE ("THIS CAPITAL NOTE") in the principal amount of US $39,500,000 (thirty-nine million five hundred thousand United States Dollars) ("THE PRINCIPAL AMOUNT") has been issued by Tower Semiconductor Ltd., an Israeli company ("THE COMPANY"), whose shares are currently traded on The Nasdaq National Market ("NASDAQ") and the Tel-Aviv Stock Exchange ("TASE"), to Bank Hapoalim B.M. ("THE HOLDER"). This Capital Note was originally issued by the Company in exchange for the conversion by the original Holder of this Capital Note of loans to the Company in a principal amount equal to twice the Principal Amount and represents the obligation of the Company to pay the Principal Amount to the Holder in accordance with and subject to the terms set forth in this Capital Note.</w:t>
      </w:r>
    </w:p>
    <w:p>
      <w:pPr>
        <w:spacing w:after="0" w:line="141" w:lineRule="exact"/>
        <w:rPr>
          <w:sz w:val="20"/>
          <w:szCs w:val="20"/>
          <w:color w:val="auto"/>
        </w:rPr>
      </w:pPr>
    </w:p>
    <w:p>
      <w:pPr>
        <w:ind w:left="364" w:hanging="364"/>
        <w:spacing w:after="0"/>
        <w:tabs>
          <w:tab w:leader="none" w:pos="364" w:val="left"/>
        </w:tabs>
        <w:numPr>
          <w:ilvl w:val="0"/>
          <w:numId w:val="2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DEFINITIONS</w:t>
      </w:r>
    </w:p>
    <w:p>
      <w:pPr>
        <w:spacing w:after="0" w:line="147" w:lineRule="exact"/>
        <w:rPr>
          <w:rFonts w:ascii="Courier New" w:cs="Courier New" w:eastAsia="Courier New" w:hAnsi="Courier New"/>
          <w:sz w:val="12"/>
          <w:szCs w:val="12"/>
          <w:color w:val="auto"/>
        </w:rPr>
      </w:pPr>
    </w:p>
    <w:p>
      <w:pPr>
        <w:ind w:left="364" w:right="4499"/>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this Capital Note, the following terms have the meanings given to them in this clause 1:</w:t>
      </w:r>
    </w:p>
    <w:p>
      <w:pPr>
        <w:spacing w:after="0" w:line="138" w:lineRule="exact"/>
        <w:rPr>
          <w:rFonts w:ascii="Courier New" w:cs="Courier New" w:eastAsia="Courier New" w:hAnsi="Courier New"/>
          <w:sz w:val="12"/>
          <w:szCs w:val="12"/>
          <w:color w:val="auto"/>
        </w:rPr>
      </w:pPr>
    </w:p>
    <w:p>
      <w:pPr>
        <w:ind w:left="744" w:right="4719" w:hanging="368"/>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1.1. "COMPANY" includes any person that shall succeed to or assume the obligations of the Company under this Capital Note; and</w:t>
      </w:r>
    </w:p>
    <w:p>
      <w:pPr>
        <w:spacing w:after="0" w:line="138" w:lineRule="exact"/>
        <w:rPr>
          <w:sz w:val="20"/>
          <w:szCs w:val="20"/>
          <w:color w:val="auto"/>
        </w:rPr>
      </w:pPr>
    </w:p>
    <w:p>
      <w:pPr>
        <w:ind w:left="744" w:right="4359" w:hanging="367"/>
        <w:spacing w:after="0" w:line="253" w:lineRule="auto"/>
        <w:rPr>
          <w:sz w:val="20"/>
          <w:szCs w:val="20"/>
          <w:color w:val="auto"/>
        </w:rPr>
      </w:pPr>
      <w:r>
        <w:rPr>
          <w:rFonts w:ascii="Courier New" w:cs="Courier New" w:eastAsia="Courier New" w:hAnsi="Courier New"/>
          <w:sz w:val="12"/>
          <w:szCs w:val="12"/>
          <w:color w:val="auto"/>
        </w:rPr>
        <w:t>1.2. "HOLDER" shall mean any person who at the time shall be the registered holder of this Capital Note or any part thereof.</w:t>
      </w:r>
    </w:p>
    <w:p>
      <w:pPr>
        <w:spacing w:after="0" w:line="138"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 ----------</w:t>
      </w:r>
    </w:p>
    <w:p>
      <w:pPr>
        <w:spacing w:after="0" w:line="6" w:lineRule="exact"/>
        <w:rPr>
          <w:sz w:val="20"/>
          <w:szCs w:val="20"/>
          <w:color w:val="auto"/>
        </w:rPr>
      </w:pPr>
    </w:p>
    <w:p>
      <w:pPr>
        <w:ind w:left="364" w:right="4359" w:hanging="364"/>
        <w:spacing w:after="0" w:line="250" w:lineRule="auto"/>
        <w:tabs>
          <w:tab w:leader="none" w:pos="364" w:val="left"/>
        </w:tabs>
        <w:numPr>
          <w:ilvl w:val="0"/>
          <w:numId w:val="2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effective date of the Registration Statement covering the Conversion Shares, bracketed language to be removed from all future Capital Notes to be issued and, at the request of the Holder, a substitute Capital Note omitting the bracketed language will promptly be delivered to the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44" w:right="4359" w:hanging="367"/>
        <w:spacing w:after="0" w:line="250" w:lineRule="auto"/>
        <w:rPr>
          <w:sz w:val="20"/>
          <w:szCs w:val="20"/>
          <w:color w:val="auto"/>
        </w:rPr>
      </w:pPr>
      <w:r>
        <w:rPr>
          <w:rFonts w:ascii="Courier New" w:cs="Courier New" w:eastAsia="Courier New" w:hAnsi="Courier New"/>
          <w:sz w:val="12"/>
          <w:szCs w:val="12"/>
          <w:color w:val="auto"/>
        </w:rPr>
        <w:t>1.3. "ORDINARY SHARES" means the ordinary shares, nominal value NIS 1.00 (one New Israel Sheqel) per share, of the Company (and any shares of capital stock substituted for the ordinary shares as a result of any stock split, stock dividend, recapitalisation, rights offering, exchange, merger or similar event or otherwise, including as described in this Capital Note).</w:t>
      </w:r>
    </w:p>
    <w:p>
      <w:pPr>
        <w:spacing w:after="0" w:line="141" w:lineRule="exact"/>
        <w:rPr>
          <w:sz w:val="20"/>
          <w:szCs w:val="20"/>
          <w:color w:val="auto"/>
        </w:rPr>
      </w:pPr>
    </w:p>
    <w:p>
      <w:pPr>
        <w:ind w:left="364" w:hanging="364"/>
        <w:spacing w:after="0"/>
        <w:tabs>
          <w:tab w:leader="none" w:pos="364" w:val="left"/>
        </w:tabs>
        <w:numPr>
          <w:ilvl w:val="0"/>
          <w:numId w:val="2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TERMS</w:t>
      </w:r>
    </w:p>
    <w:p>
      <w:pPr>
        <w:spacing w:after="0" w:line="147" w:lineRule="exact"/>
        <w:rPr>
          <w:rFonts w:ascii="Courier New" w:cs="Courier New" w:eastAsia="Courier New" w:hAnsi="Courier New"/>
          <w:sz w:val="12"/>
          <w:szCs w:val="12"/>
          <w:color w:val="auto"/>
        </w:rPr>
      </w:pPr>
    </w:p>
    <w:p>
      <w:pPr>
        <w:jc w:val="both"/>
        <w:ind w:left="364" w:right="435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Principal Amount shall neither bear interest nor be linked to any index and shall be subordinated to all liabilities of the Company having priority over the Ordinary Shares.</w:t>
      </w:r>
    </w:p>
    <w:p>
      <w:pPr>
        <w:spacing w:after="0" w:line="139"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Principal Amount shall only be payable by the Company to the Holder out of distributions made upon the winding-up (whether solvent or insolvent), liquidation or dissolution of the Company and, in such event, on a PARI PASSU and pro rata basis with the Ordinary Shares after payment of all liabilities of the Company having priority over the Ordinary Shares. For the purposes only of calculation of the allocation of such distributions between holders of the Capital Note and holders of Ordinary Shares, the holder of this Capital Note shall be deemed to own the number of Ordinary Shares into which this Capital Note may then be converted. The Company shall not be entitled to prepay or redeem this Capital Note.</w:t>
      </w:r>
    </w:p>
    <w:p>
      <w:pPr>
        <w:spacing w:after="0" w:line="141" w:lineRule="exact"/>
        <w:rPr>
          <w:rFonts w:ascii="Courier New" w:cs="Courier New" w:eastAsia="Courier New" w:hAnsi="Courier New"/>
          <w:sz w:val="12"/>
          <w:szCs w:val="12"/>
          <w:color w:val="auto"/>
        </w:rPr>
      </w:pPr>
    </w:p>
    <w:p>
      <w:pPr>
        <w:ind w:left="364" w:right="449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Capital Note shall be convertible into Ordinary Shares as set forth below and, for the removal of doubt, no such conversion shall be deemed a redemption or prepayment of this Capital Note.</w:t>
      </w:r>
    </w:p>
    <w:p>
      <w:pPr>
        <w:spacing w:after="0" w:line="139"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2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CONVERSION</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3.1. CONVERSION RIGHT</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The Holder of this Capital Note has the right, at the Holder's option, at any time and from time to time, to convert this Capital Note, without payment of any additional consideration, in accordance with the provisions of this clause 3, in whole or in part, into fully-paid and non-assessable Ordinary Shares. The number of Ordinary Shares into which this Capital Note may be converted ("THE CONVERSION SHARES") shall be determined by dividing the aggregate Principal Amount of this Capital Note by the conversion price in effect at the time of such conversion ("THE CONVERSION PRICE"). The Conversion Price initially shall be US $1.52 (one United States Dollar and fifty-two cents), as adjusted at any time and from time to time in accordance with clause 7 below.</w:t>
      </w:r>
    </w:p>
    <w:p>
      <w:pPr>
        <w:spacing w:after="0" w:line="141"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- 2 -</w:t>
      </w:r>
    </w:p>
    <w:p>
      <w:pPr>
        <w:sectPr>
          <w:pgSz w:w="11900" w:h="16838" w:orient="portrait"/>
          <w:cols w:equalWidth="0" w:num="1">
            <w:col w:w="10244"/>
          </w:cols>
          <w:pgMar w:left="216" w:top="283" w:right="1440" w:bottom="1440" w:gutter="0" w:footer="0" w:header="0"/>
        </w:sectPr>
      </w:pPr>
    </w:p>
    <w:bookmarkStart w:id="198" w:name="page199"/>
    <w:bookmarkEnd w:id="198"/>
    <w:p>
      <w:pPr>
        <w:ind w:left="364"/>
        <w:spacing w:after="0"/>
        <w:rPr>
          <w:sz w:val="20"/>
          <w:szCs w:val="20"/>
          <w:color w:val="auto"/>
        </w:rPr>
      </w:pPr>
      <w:r>
        <w:rPr>
          <w:rFonts w:ascii="Courier New" w:cs="Courier New" w:eastAsia="Courier New" w:hAnsi="Courier New"/>
          <w:sz w:val="12"/>
          <w:szCs w:val="12"/>
          <w:color w:val="auto"/>
        </w:rPr>
        <w:t>3.2. CONVERSION PROCEDURE</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This Capital Note may be converted in whole or in part at any time and from time to time by the surrender of this Capital Note to the Company at its principal office together with written notice of the election to convert all or any portion of the Principal Amount thereof, duly signed on behalf of the Holder. The Company shall, on such surrender date or as soon as practicable thereafter, issue irrevocable instructions to its stock transfer agent to deliver to the Holder a certificate or certificates for the number of Conversion Shares to which the Holder shall be entitled as a result of such conversion as aforesaid. Such conversion, the issue and allotment of such Conversion Shares and the registration of the Holder in the register of members of the Company as the holder of such Conversion Shares shall be deemed to have been made immediately prior to the close of business on the date of such surrender of this Capital Note or portion thereof and the person or persons entitled to receive the Conversion Shares issuable upon such conversion shall be treated for all purposes as the record holder or holders as of such date of such number of Conversion Shares to which the Holder shall be entitled as a result of such conversion as aforesaid. In the event of a partial conversion, the Company shall concurrently issue to the Holder a replacement Capital Note of like tenor as this Capital Note, but representing the Principal Amount remaining after such partial conversion. For the avoidance of doubt, the Company confirms that the terms of this Capital Note, including, without limitation, this clause 3, constitute the issue terms of the Conversion Shares and that, accordingly, the right of the Company pursuant to clauses 16.1 and 16.2 of the Company's Articles of Association to delay the issuance of stock certificates for up to 6 (six) months after the allotment and registration of transfer is inapplicable. For the further removal of doubt, nothing herein shall derogate from the second sentence of clause 16.1 of the Company's Articles of Association.</w:t>
      </w:r>
    </w:p>
    <w:p>
      <w:pPr>
        <w:spacing w:after="0" w:line="141" w:lineRule="exact"/>
        <w:rPr>
          <w:sz w:val="20"/>
          <w:szCs w:val="20"/>
          <w:color w:val="auto"/>
        </w:rPr>
      </w:pPr>
    </w:p>
    <w:p>
      <w:pPr>
        <w:ind w:left="364" w:hanging="364"/>
        <w:spacing w:after="0"/>
        <w:tabs>
          <w:tab w:leader="none" w:pos="364" w:val="left"/>
        </w:tabs>
        <w:numPr>
          <w:ilvl w:val="0"/>
          <w:numId w:val="2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FRACTIONAL INTEREST</w:t>
      </w:r>
    </w:p>
    <w:p>
      <w:pPr>
        <w:spacing w:after="0" w:line="147" w:lineRule="exact"/>
        <w:rPr>
          <w:rFonts w:ascii="Courier New" w:cs="Courier New" w:eastAsia="Courier New" w:hAnsi="Courier New"/>
          <w:sz w:val="12"/>
          <w:szCs w:val="12"/>
          <w:color w:val="auto"/>
        </w:rPr>
      </w:pPr>
    </w:p>
    <w:p>
      <w:pPr>
        <w:ind w:left="364" w:right="449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No fractional shares will be issued in connection with any conversion hereunder. The Company shall round-down, to the nearest whole number, the number of Conversion Shares issuable in connection with any conversion hereunder.</w:t>
      </w:r>
    </w:p>
    <w:p>
      <w:pPr>
        <w:spacing w:after="0" w:line="280"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2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3 -</w:t>
      </w:r>
    </w:p>
    <w:p>
      <w:pPr>
        <w:sectPr>
          <w:pgSz w:w="11900" w:h="16838" w:orient="portrait"/>
          <w:cols w:equalWidth="0" w:num="1">
            <w:col w:w="10244"/>
          </w:cols>
          <w:pgMar w:left="216" w:top="689" w:right="1440" w:bottom="1440" w:gutter="0" w:footer="0" w:header="0"/>
        </w:sectPr>
      </w:pPr>
    </w:p>
    <w:bookmarkStart w:id="199" w:name="page200"/>
    <w:bookmarkEnd w:id="199"/>
    <w:p>
      <w:pPr>
        <w:ind w:left="364" w:hanging="364"/>
        <w:spacing w:after="0"/>
        <w:tabs>
          <w:tab w:leader="none" w:pos="364" w:val="left"/>
        </w:tabs>
        <w:numPr>
          <w:ilvl w:val="0"/>
          <w:numId w:val="2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CAPITAL NOTE CONFERS NO RIGHTS OF SHAREHOLDER</w:t>
      </w:r>
    </w:p>
    <w:p>
      <w:pPr>
        <w:spacing w:after="0" w:line="147" w:lineRule="exact"/>
        <w:rPr>
          <w:rFonts w:ascii="Courier New" w:cs="Courier New" w:eastAsia="Courier New" w:hAnsi="Courier New"/>
          <w:sz w:val="12"/>
          <w:szCs w:val="12"/>
          <w:color w:val="auto"/>
        </w:rPr>
      </w:pPr>
    </w:p>
    <w:p>
      <w:pPr>
        <w:ind w:left="364" w:right="441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Holder shall not, by virtue of this Capital Note, have any rights as a shareholder of the Company prior to actual conversion into Conversion Shares in accordance with clause 3.2 above.</w:t>
      </w:r>
    </w:p>
    <w:p>
      <w:pPr>
        <w:spacing w:after="0" w:line="139"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2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ACQUISITION FOR INVESTMENT</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Capital Note [, including the Conversion Shares,(2)] has not been registered under the Securities Act of 1933, as amended ("THE SECURITIES ACT"), or any other securities laws. The Holder acknowledges by acceptance of this Capital Note that it has acquired this Capital Note for investment and not with a view to distribution. [The Holder agrees that, unless the Conversion Shares have been registered under the Securities Act, any Conversion Shares issuable upon conversion of this Capital Note will be acquired for investment and not with a view to distribution in a manner inconsistent with the registration requirements of the U.S. securities laws and may have to be held indefinitely unless they are subsequently registered under the Securities Act or, based on an opinion of counsel reasonably satisfactory to the Company, an exemption from such registration is available; provided, however, that no opinion shall be required if sold pursuant to Rule 144 of the Securities Act or the transfer will be effected on the TASE and the Holder represents that the applicable conditions under Regulation S under the Securities Act have been satisfied.(3)] The Holder, by acceptance hereof, consents to the placement of legend(s) on this Capital Note and also on the Conversion Shares issuable upon conversion of this Capital Note, as to the applicable restrictions on transferability in order to ensure compliance with the Securities Act, unless in the reasonable opinion of counsel for the Company such legend is not required in order to ensure compliance with the Securities Act. The Company may issue stop transfer instructions to its transfer agent in connection with such restrictions.</w:t>
      </w:r>
    </w:p>
    <w:p>
      <w:pPr>
        <w:spacing w:after="0" w:line="141" w:lineRule="exact"/>
        <w:rPr>
          <w:sz w:val="20"/>
          <w:szCs w:val="20"/>
          <w:color w:val="auto"/>
        </w:rPr>
      </w:pPr>
    </w:p>
    <w:p>
      <w:pPr>
        <w:jc w:val="both"/>
        <w:ind w:left="364" w:right="4359"/>
        <w:spacing w:after="0" w:line="251" w:lineRule="auto"/>
        <w:rPr>
          <w:sz w:val="20"/>
          <w:szCs w:val="20"/>
          <w:color w:val="auto"/>
        </w:rPr>
      </w:pPr>
      <w:r>
        <w:rPr>
          <w:rFonts w:ascii="Courier New" w:cs="Courier New" w:eastAsia="Courier New" w:hAnsi="Courier New"/>
          <w:sz w:val="12"/>
          <w:szCs w:val="12"/>
          <w:color w:val="auto"/>
        </w:rPr>
        <w:t>Nothing in this clause 6 shall derogate from any obligations of the Company under any Registration Rights Agreement to which the Company and the Holder are parties.</w:t>
      </w:r>
    </w:p>
    <w:p>
      <w:pPr>
        <w:spacing w:after="0" w:line="140"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 ----------</w:t>
      </w:r>
    </w:p>
    <w:p>
      <w:pPr>
        <w:spacing w:after="0" w:line="6" w:lineRule="exact"/>
        <w:rPr>
          <w:sz w:val="20"/>
          <w:szCs w:val="20"/>
          <w:color w:val="auto"/>
        </w:rPr>
      </w:pPr>
    </w:p>
    <w:p>
      <w:pPr>
        <w:ind w:left="364" w:right="4359" w:hanging="364"/>
        <w:spacing w:after="0" w:line="250" w:lineRule="auto"/>
        <w:tabs>
          <w:tab w:leader="none" w:pos="364" w:val="left"/>
        </w:tabs>
        <w:numPr>
          <w:ilvl w:val="0"/>
          <w:numId w:val="2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effective date of the Registration Statement covering the Conversion Shares, bracketed language to be removed from all future Capital Notes to be issued and, at the request of the Holder, a substitute Capital Note omitting the bracketed language will promptly be delivered to the Holder.</w:t>
      </w:r>
    </w:p>
    <w:p>
      <w:pPr>
        <w:spacing w:after="0" w:line="141" w:lineRule="exact"/>
        <w:rPr>
          <w:rFonts w:ascii="Courier New" w:cs="Courier New" w:eastAsia="Courier New" w:hAnsi="Courier New"/>
          <w:sz w:val="12"/>
          <w:szCs w:val="12"/>
          <w:color w:val="auto"/>
        </w:rPr>
      </w:pPr>
    </w:p>
    <w:p>
      <w:pPr>
        <w:ind w:left="364" w:right="4359" w:hanging="364"/>
        <w:spacing w:after="0" w:line="250" w:lineRule="auto"/>
        <w:tabs>
          <w:tab w:leader="none" w:pos="364" w:val="left"/>
        </w:tabs>
        <w:numPr>
          <w:ilvl w:val="0"/>
          <w:numId w:val="2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effective date of the Registration Statement covering the Conversion Shares, bracketed language to be replaced with the following: "The Conversion Shares have been registered under the Securities Act on Form F-3 Registration Statement No. [INSERT RELEVANT REGISTRATION NUMBER]." on all future Capital Notes to be issued, and, at the request of the Holder, a substitute Capital Note having such replacement language will promptly be delivered to the Holder.</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2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4 -</w:t>
      </w:r>
    </w:p>
    <w:p>
      <w:pPr>
        <w:sectPr>
          <w:pgSz w:w="11900" w:h="16838" w:orient="portrait"/>
          <w:cols w:equalWidth="0" w:num="1">
            <w:col w:w="10244"/>
          </w:cols>
          <w:pgMar w:left="216" w:top="688" w:right="1440" w:bottom="1440" w:gutter="0" w:footer="0" w:header="0"/>
        </w:sectPr>
      </w:pPr>
    </w:p>
    <w:bookmarkStart w:id="200" w:name="page201"/>
    <w:bookmarkEnd w:id="200"/>
    <w:p>
      <w:pPr>
        <w:ind w:left="364" w:hanging="364"/>
        <w:spacing w:after="0"/>
        <w:tabs>
          <w:tab w:leader="none" w:pos="364" w:val="left"/>
        </w:tabs>
        <w:numPr>
          <w:ilvl w:val="0"/>
          <w:numId w:val="2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ADJUSTMENT OF CONVERSION PRICE AND NUMBER OF CONVERSION SHARES</w:t>
      </w:r>
    </w:p>
    <w:p>
      <w:pPr>
        <w:spacing w:after="0" w:line="147" w:lineRule="exact"/>
        <w:rPr>
          <w:sz w:val="20"/>
          <w:szCs w:val="20"/>
          <w:color w:val="auto"/>
        </w:rPr>
      </w:pPr>
    </w:p>
    <w:p>
      <w:pPr>
        <w:ind w:left="364" w:right="4359"/>
        <w:spacing w:after="0" w:line="251" w:lineRule="auto"/>
        <w:rPr>
          <w:sz w:val="20"/>
          <w:szCs w:val="20"/>
          <w:color w:val="auto"/>
        </w:rPr>
      </w:pPr>
      <w:r>
        <w:rPr>
          <w:rFonts w:ascii="Courier New" w:cs="Courier New" w:eastAsia="Courier New" w:hAnsi="Courier New"/>
          <w:sz w:val="12"/>
          <w:szCs w:val="12"/>
          <w:color w:val="auto"/>
        </w:rPr>
        <w:t>The number and kind of securities issuable initially upon the conversion of this Capital Note and the Conversion Price shall be subject to adjustment at any time and from time to time upon the occurrence of certain events, as follows:</w:t>
      </w:r>
    </w:p>
    <w:p>
      <w:pPr>
        <w:spacing w:after="0" w:line="139"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7.1. ADJUSTMENT FOR SHARES SPLITS AND COMBINATIONS</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If the Company at any time or from time to time effects a subdivision of the outstanding Ordinary Shares, the number of Conversion Shares issuable upon conversion of this Capital Note immediately before the subdivision shall be proportionately increased, and conversely, if the Company at any time or from time to time combines the outstanding Ordinary Shares, the number of Conversion Shares issuable upon conversion of this Capital Note immediately before the combination shall be proportionately decreased. Any adjustment under this clause 7.1 shall become effective at the close of business on the date the subdivision or combination becomes effective.</w:t>
      </w:r>
    </w:p>
    <w:p>
      <w:pPr>
        <w:spacing w:after="0" w:line="141"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7.2. ADJUSTMENT FOR CERTAIN DIVIDENDS AND DISTRIBUTIONS</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In the event the Company at any time, or from time to time, makes or fixes a record date for the determination of holders of Ordinary Shares entitled to receive a dividend or other distribution payable in additional Ordinary Shares, then and in each such event, the number of Ordinary Shares issuable upon conversion of this Capital Note shall be increased as of the time of such issuance or, in the event such a record date is fixed, as of the close of business on such record date, by multiplying the number of Ordinary Shares issuable upon conversion of this Capital Note by a fraction: (i) the numerator of which shall be the total number of Ordinary Shares issued and outstanding immediately prior to the time of such issuance or the close of business on such record date, as applicable, plus the number of Ordinary Shares issuable in payment of such dividend or distribution; and (ii) the denominator of which is the total number of Ordinary Shares issued and outstanding immediately prior to the time of such issuance or the close of business on such record date, as applicable; provided, however, that if such record date is fixed and such dividend is not fully paid or if such distribution is not fully made on the date fixed therefor, the number of Ordinary Shares issuable upon conversion of this Capital Note shall be recomputed accordingly as of the close of business on such record date and thereafter the number of Ordinary Shares issuable upon conversion of this Capital Note shall be adjusted pursuant to this clause 7.2 as of the time of the actual payment of such dividends or distribution.</w:t>
      </w:r>
    </w:p>
    <w:p>
      <w:pPr>
        <w:spacing w:after="0" w:line="283"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- 5 -</w:t>
      </w:r>
    </w:p>
    <w:p>
      <w:pPr>
        <w:sectPr>
          <w:pgSz w:w="11900" w:h="16838" w:orient="portrait"/>
          <w:cols w:equalWidth="0" w:num="1">
            <w:col w:w="10244"/>
          </w:cols>
          <w:pgMar w:left="216" w:top="689" w:right="1440" w:bottom="1440" w:gutter="0" w:footer="0" w:header="0"/>
        </w:sectPr>
      </w:pPr>
    </w:p>
    <w:bookmarkStart w:id="201" w:name="page202"/>
    <w:bookmarkEnd w:id="201"/>
    <w:p>
      <w:pPr>
        <w:spacing w:after="0"/>
        <w:rPr>
          <w:sz w:val="20"/>
          <w:szCs w:val="20"/>
          <w:color w:val="auto"/>
        </w:rPr>
      </w:pPr>
      <w:r>
        <w:rPr>
          <w:rFonts w:ascii="Courier New" w:cs="Courier New" w:eastAsia="Courier New" w:hAnsi="Courier New"/>
          <w:sz w:val="12"/>
          <w:szCs w:val="12"/>
          <w:color w:val="auto"/>
        </w:rPr>
        <w:t>7.3. ADJUSTMENTS FOR OTHER DIVIDENDS AND DISTRIBUTIONS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(for the avoidance of doubt, other than in a rights offering as to which clause 7.7 shall be applicable), then in each such event provision shall be made so that the Holder shall receive upon conversion of this Capital Note and for no additional consideration, in addition to the number of Ordinary Shares receivable thereupon, the amount of securities of the Company that the Holder would have received had this Capital Note been converted immediately prior to such event, or the record date for such event, as applicable.</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7.4. ADJUSTMENT FOR RECLASSIFICATION, EXCHANGE AND SUBSTITUTION</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If the Ordinary Shares issuable upon conversion of this Capital Note are changed into the same or a different number of shares of any class or classes of shares, whether by recapitalization, reclassification, exchange, substitution or otherwise (other than a subdivision or combination of shares, dividends payable in Ordinary Shares or other securities of the Company or a reorganization, merger, consolidation or sale of assets, provided for elsewhere in this clause 7), then and in any such event the Holder shall have the right thereafter to exercise this Capital Note into the kind and amount of shares and other securities receivable upon such recapitalization, reclassification, exchange, substitution or other change, by holders of the number of Ordinary Shares for which this Capital Note might have been converted immediately prior to such recapitalization, reclassification, exchange, substitution or other change (or the record date for such event), all subject to further adjustment as provided herein and under the Company's Articles of Association.</w:t>
      </w:r>
    </w:p>
    <w:p>
      <w:pPr>
        <w:spacing w:after="0" w:line="283"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- 6 -</w:t>
      </w:r>
    </w:p>
    <w:p>
      <w:pPr>
        <w:sectPr>
          <w:pgSz w:w="11900" w:h="16838" w:orient="portrait"/>
          <w:cols w:equalWidth="0" w:num="1">
            <w:col w:w="9879"/>
          </w:cols>
          <w:pgMar w:left="580" w:top="689" w:right="1440" w:bottom="1440" w:gutter="0" w:footer="0" w:header="0"/>
        </w:sectPr>
      </w:pPr>
    </w:p>
    <w:bookmarkStart w:id="202" w:name="page203"/>
    <w:bookmarkEnd w:id="202"/>
    <w:p>
      <w:pPr>
        <w:spacing w:after="0"/>
        <w:rPr>
          <w:sz w:val="20"/>
          <w:szCs w:val="20"/>
          <w:color w:val="auto"/>
        </w:rPr>
      </w:pPr>
      <w:r>
        <w:rPr>
          <w:rFonts w:ascii="Courier New" w:cs="Courier New" w:eastAsia="Courier New" w:hAnsi="Courier New"/>
          <w:sz w:val="12"/>
          <w:szCs w:val="12"/>
          <w:color w:val="auto"/>
        </w:rPr>
        <w:t>7.5. REORGANIZATION, MERGERS, CONSOLIDATIONS OR SALES OF ASSETS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If at any time or from time to time there is a capital reorganization of the Ordinary Shares (other than a recapitalization, subdivision, combination, reclassification, exchange or substitution of shares as provided for elsewhere in this clause 7), or a merger or consolidation of the 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conversion of this Capital Note and for no additional consideration, the number of shares or other securities or property (including, without limitation, cash) of the Company, or of the successor corporation resulting from such merger or consolidation or sale, to which a holder of the number of Ordinary Shares issuable upon conversion of this Capital Note would have been entitled on such capital reorganization, merger, consolidation or sale.</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7.6. OTHER TRANSACTIONS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Conversion Shares or by procuring that the Holder shall be entitled, on terms economically proportionate to those provided to its shareholders, to acquire additional shares of the spun-off or split-off entities.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7.7. RIGHTS OFFERINGS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If the Company, at any time and from time to time, shall fix a record date for, or shall make a distribution to, its shareholders of rights or warrants to subscribe for or purchase any security (collectively, "RIGHTS"), then, in each such event, the Company will provide the Holder, concurrently with the distribution of the Rights to its shareholders, identical rights, having terms and conditions identical to the Rights (for the avoidance of doubt, exercisable at the same time as the Rights), in such number to which the Holder would be entitled had the Holder converted this Capital Note into Conversion Shares immediately prior to the record date for such distribution, or if no record date shall be fixed, then immediately prior to such distribution , as applicable. Nothing in this clause 7.7 shall require the Company to complete any such distribution of Rights to its shareholders, including following the record date thereof, unless required pursuant to the terms of such distribution and, if such distribution of Rights to its shareholders is not completed in conformity with the terms of such distribution, then the Company shall be entitled not to complete the provision of rights to the Holder pursuant to this clause 7.7 above.</w:t>
      </w:r>
    </w:p>
    <w:p>
      <w:pPr>
        <w:spacing w:after="0" w:line="283"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- 7 -</w:t>
      </w:r>
    </w:p>
    <w:p>
      <w:pPr>
        <w:sectPr>
          <w:pgSz w:w="11900" w:h="16838" w:orient="portrait"/>
          <w:cols w:equalWidth="0" w:num="1">
            <w:col w:w="9879"/>
          </w:cols>
          <w:pgMar w:left="580" w:top="689" w:right="1440" w:bottom="1440" w:gutter="0" w:footer="0" w:header="0"/>
        </w:sectPr>
      </w:pPr>
    </w:p>
    <w:bookmarkStart w:id="203" w:name="page204"/>
    <w:bookmarkEnd w:id="203"/>
    <w:p>
      <w:pPr>
        <w:spacing w:after="0"/>
        <w:rPr>
          <w:sz w:val="20"/>
          <w:szCs w:val="20"/>
          <w:color w:val="auto"/>
        </w:rPr>
      </w:pPr>
      <w:r>
        <w:rPr>
          <w:rFonts w:ascii="Courier New" w:cs="Courier New" w:eastAsia="Courier New" w:hAnsi="Courier New"/>
          <w:sz w:val="12"/>
          <w:szCs w:val="12"/>
          <w:color w:val="auto"/>
        </w:rPr>
        <w:t>7.8. ADJUSTMENT FOR CASH DIVIDENDS AND DISTRIBUTIONS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In the event the Company, at any time or from time to time until September 28, 2021, makes or fixes a record date for the determination of holders of Ordinary Shares entitled to receive a cash dividend or distribution, then and in each such event, the number of Ordinary Shares issuable upon conversion of this Capital Note shall be adjusted (for the avoidance of doubt, never decreased but either shall remain the same or increased), as of the close of business on such record date, by multiplying the number of Ordinary Shares issuable upon conversion of this Capital Note by a fraction: (i) the numerator of which shall be the closing price per share of the Ordinary Shares on the TASE on the determining date ("HAYOM HAKOVAYA") for such dividend or distribution; and (ii) the denominator of which shall be the adjusted "ex-dividend" price of the Ordinary Shares as such prices set out in (i) and (ii) are determined in each case by the TASE in accordance with its rules.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7.9. GENERAL PROTECTION</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 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pacing w:after="0" w:line="200" w:lineRule="exact"/>
        <w:rPr>
          <w:sz w:val="20"/>
          <w:szCs w:val="20"/>
          <w:color w:val="auto"/>
        </w:rPr>
      </w:pPr>
    </w:p>
    <w:p>
      <w:pPr>
        <w:spacing w:after="0" w:line="224"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- 8 -</w:t>
      </w:r>
    </w:p>
    <w:p>
      <w:pPr>
        <w:sectPr>
          <w:pgSz w:w="11900" w:h="16838" w:orient="portrait"/>
          <w:cols w:equalWidth="0" w:num="1">
            <w:col w:w="9879"/>
          </w:cols>
          <w:pgMar w:left="580" w:top="689" w:right="1440" w:bottom="1440" w:gutter="0" w:footer="0" w:header="0"/>
        </w:sectPr>
      </w:pPr>
    </w:p>
    <w:bookmarkStart w:id="204" w:name="page205"/>
    <w:bookmarkEnd w:id="204"/>
    <w:p>
      <w:pPr>
        <w:ind w:left="364"/>
        <w:spacing w:after="0"/>
        <w:rPr>
          <w:sz w:val="20"/>
          <w:szCs w:val="20"/>
          <w:color w:val="auto"/>
        </w:rPr>
      </w:pPr>
      <w:r>
        <w:rPr>
          <w:rFonts w:ascii="Courier New" w:cs="Courier New" w:eastAsia="Courier New" w:hAnsi="Courier New"/>
          <w:sz w:val="12"/>
          <w:szCs w:val="12"/>
          <w:color w:val="auto"/>
        </w:rPr>
        <w:t>7.10. NOTICE OF CAPITAL CHANGES</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If at any time the Company shall declare any dividend or distribution of any kind, or offer for subscription pro rata to the holders of Ordinary Shares any additional shares of any class, other rights or any security of any kind, or there shall be any capital reorganization or reclassification of the capital shares of the Company, or consolidation or merger of the Company with, or sale of all or substantially all of its assets to another company or there shall be a voluntary or involuntary dissolution, liquidation or winding-up of the Company, or other transaction described in this clause 7, then, in any one or more of the said cases, the Company shall give the Holder prior written notice, by registered or certified mail, postage prepaid, of the date on which: (i) a record shall be taken for such dividend, distribution or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dividend or distribution, subscription rights, or shall be entitled to exchange their Ordinary Shares for securities or other property deliverable upon such reorganization, reclassification, consolidation, merger, sale, dissolution, liquidation or winding-up, as the case may be. Such written notice shall be given at least 14 (fourteen) days prior to the action in question and not less than 14 (fourteen) days prior to the record date in respect thereto.</w:t>
      </w:r>
    </w:p>
    <w:p>
      <w:pPr>
        <w:spacing w:after="0" w:line="283"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7.11. ADJUSTMENT OF CONVERSION PRICE</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Upon each adjustment in the number of Ordinary Shares purchasable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hereunder, the Conversion Price shall be proportionately increased or</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decreased, as the case may be, in a manner that is the inverse of the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manner in which the number of Ordinary Shares purchasable hereunder</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shall be adjusted.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7.12. NOTICE OF ADJUSTMENTS</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Whenever the Conversion Price or the number of Ordinary Shares issuable upon conversion of this Capital Note shall be adjusted pursuant to this clause 7, the Company shall prepare a certificate signed by the chief financial officer of the Company setting forth, in reasonable detail, the event requiring the adjustment, the amount of the adjustment, the method by which such adjustment was calculated, and the Conversion Price and the number of Conversion Shares issuable upon conversion of this Capital Note after giving effect to such adjustment, and shall cause copies of such certificate to be mailed (by first class mail, postage prepaid) to the Holder.</w:t>
      </w:r>
    </w:p>
    <w:p>
      <w:pPr>
        <w:spacing w:after="0" w:line="141" w:lineRule="exact"/>
        <w:rPr>
          <w:sz w:val="20"/>
          <w:szCs w:val="20"/>
          <w:color w:val="auto"/>
        </w:rPr>
      </w:pPr>
    </w:p>
    <w:p>
      <w:pPr>
        <w:ind w:left="364" w:hanging="364"/>
        <w:spacing w:after="0"/>
        <w:tabs>
          <w:tab w:leader="none" w:pos="364" w:val="left"/>
        </w:tabs>
        <w:numPr>
          <w:ilvl w:val="0"/>
          <w:numId w:val="2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TRANSACTIONS</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that the Company or its shareholders receive an offer to transfer all or substantially all of the shares in the Company, or to effect a merger or acquisition or sale of all or substantially all of the assets of the Company, then the Company shall promptly inform the Holder in writing of such offer.</w:t>
      </w:r>
    </w:p>
    <w:p>
      <w:pPr>
        <w:spacing w:after="0" w:line="283"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2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9 -</w:t>
      </w:r>
    </w:p>
    <w:p>
      <w:pPr>
        <w:sectPr>
          <w:pgSz w:w="11900" w:h="16838" w:orient="portrait"/>
          <w:cols w:equalWidth="0" w:num="1">
            <w:col w:w="10244"/>
          </w:cols>
          <w:pgMar w:left="216" w:top="689" w:right="1440" w:bottom="1440" w:gutter="0" w:footer="0" w:header="0"/>
        </w:sectPr>
      </w:pPr>
    </w:p>
    <w:bookmarkStart w:id="205" w:name="page206"/>
    <w:bookmarkEnd w:id="205"/>
    <w:p>
      <w:pPr>
        <w:ind w:left="364" w:hanging="364"/>
        <w:spacing w:after="0"/>
        <w:tabs>
          <w:tab w:leader="none" w:pos="364" w:val="left"/>
        </w:tabs>
        <w:numPr>
          <w:ilvl w:val="0"/>
          <w:numId w:val="2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TRANSFER OF THIS CAPITAL NOTE BY THE HOLDER</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Capital Note shall be freely transferable or assignable by the Holder in whole or in part, at any time and from time to time, subject to the provisions of this clause 9. With respect to any transfer of this Capital Note, in whole or in part, the Holder shall surrender the Capital Note, together with a written request to transfer all or a portion of the Principal Amount of this Capital Note to the transferee, as well as, if reasonably requested by the Company, a written opinion of such Holder's counsel, to the effect that such offer, sale or other distribution may be effected without registration under the Securities Act. Upon surrender of such Capital Note (and delivery of such opinion, if so requested) by the Holder, the Company shall immediately register such transferee as the Holder of this Capital Note, or the portion thereof, transferred to such transferee, such registration shall be deemed to have been made immediately prior to the close of business on the date of such surrender and delivery (if applicable), and such transferee or transferees shall be treated for all purposes as the record holder or holders as of such date of a Capital Note in that portion of the Principal Amount of this Capital Note so transferred. The Company shall, as promptly as practicable, deliver to the Holder one or more Capital Notes, of like tenor as this Capital Note, except that the Principal Amount thereof shall be the amount transferred to such transferee, for delivery to the transferee or transferees (or, if the Holder requests, deliver such Capital Note directly to such transferee or transferees) and shall, if only a portion of the Principal Amount of this Capital Note is being transferred, concurrently deliver to the Holder one or more replacement Capital Notes to represent the portion of the Principal Amount of this Capital Note not so transferred. For the avoidance of doubt, the Company confirms that no approval by the Board of Directors of the Company of any transfer of this Capital Note or the Conversion Shares is required.</w:t>
      </w:r>
    </w:p>
    <w:p>
      <w:pPr>
        <w:spacing w:after="0" w:line="282"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2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WARRANTIES AND COVENANTS</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represents, warrants and covenants to the Holder as follows:</w:t>
      </w:r>
    </w:p>
    <w:p>
      <w:pPr>
        <w:spacing w:after="0" w:line="147" w:lineRule="exact"/>
        <w:rPr>
          <w:rFonts w:ascii="Courier New" w:cs="Courier New" w:eastAsia="Courier New" w:hAnsi="Courier New"/>
          <w:sz w:val="12"/>
          <w:szCs w:val="12"/>
          <w:color w:val="auto"/>
        </w:rPr>
      </w:pPr>
    </w:p>
    <w:p>
      <w:pPr>
        <w:ind w:left="744" w:right="4879" w:hanging="368"/>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10.1. this Capital Note has been duly authorized and executed by the Company and is a valid and binding obligation of the Company enforceable in accordance with its terms;</w:t>
      </w:r>
    </w:p>
    <w:p>
      <w:pPr>
        <w:spacing w:after="0" w:line="281"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2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10 -</w:t>
      </w:r>
    </w:p>
    <w:p>
      <w:pPr>
        <w:sectPr>
          <w:pgSz w:w="11900" w:h="16838" w:orient="portrait"/>
          <w:cols w:equalWidth="0" w:num="1">
            <w:col w:w="10244"/>
          </w:cols>
          <w:pgMar w:left="216" w:top="689" w:right="1440" w:bottom="1440" w:gutter="0" w:footer="0" w:header="0"/>
        </w:sectPr>
      </w:pPr>
    </w:p>
    <w:bookmarkStart w:id="206" w:name="page207"/>
    <w:bookmarkEnd w:id="206"/>
    <w:p>
      <w:pPr>
        <w:ind w:left="744" w:right="4359" w:hanging="367"/>
        <w:spacing w:after="0" w:line="250" w:lineRule="auto"/>
        <w:rPr>
          <w:sz w:val="20"/>
          <w:szCs w:val="20"/>
          <w:color w:val="auto"/>
        </w:rPr>
      </w:pPr>
      <w:r>
        <w:rPr>
          <w:rFonts w:ascii="Courier New" w:cs="Courier New" w:eastAsia="Courier New" w:hAnsi="Courier New"/>
          <w:sz w:val="12"/>
          <w:szCs w:val="12"/>
          <w:color w:val="auto"/>
        </w:rPr>
        <w:t>10.2. the Conversion Shares are duly authorized and are, and will be, reserved (for the avoidance of doubt, without the need for further corporate action by the Company) for issuance by the Company and, when issued in accordance with the terms hereof, will be validly issued, fully paid and non-assessable and not subject to any pre-emptive rights;</w:t>
      </w:r>
    </w:p>
    <w:p>
      <w:pPr>
        <w:spacing w:after="0" w:line="141" w:lineRule="exact"/>
        <w:rPr>
          <w:sz w:val="20"/>
          <w:szCs w:val="20"/>
          <w:color w:val="auto"/>
        </w:rPr>
      </w:pPr>
    </w:p>
    <w:p>
      <w:pPr>
        <w:ind w:left="744" w:right="4359" w:hanging="367"/>
        <w:spacing w:after="0" w:line="250" w:lineRule="auto"/>
        <w:rPr>
          <w:sz w:val="20"/>
          <w:szCs w:val="20"/>
          <w:color w:val="auto"/>
        </w:rPr>
      </w:pPr>
      <w:r>
        <w:rPr>
          <w:rFonts w:ascii="Courier New" w:cs="Courier New" w:eastAsia="Courier New" w:hAnsi="Courier New"/>
          <w:sz w:val="12"/>
          <w:szCs w:val="12"/>
          <w:color w:val="auto"/>
        </w:rPr>
        <w:t>10.3. the execution and delivery of this Capital Note are not, and the issuance of the Conversion Shares upon conversion of this Capital Note in accordance with the terms hereof will not be, inconsistent with the Company's Certificate of Incorporation, Memorandum of Association or Articles of Association, do not and will not contravene any law, governmental or regulatory rule or regulation, including NASDAQ and TASE rules and regulations, judgment or order applicable to the Company, do not and will not conflict with or contravene any provision of, or constitute a default under, any indenture, mortgage, contract or other instrument of which the Company is a party or by which it is bound or, except for consents that have already been obtained and filings already made, require the consent or approval of, the giving of notice to, the registration with or the taking of any action in respect of or by, any Israeli or foreign governmental authority or agency or other person; and</w:t>
      </w:r>
    </w:p>
    <w:p>
      <w:pPr>
        <w:spacing w:after="0" w:line="141" w:lineRule="exact"/>
        <w:rPr>
          <w:sz w:val="20"/>
          <w:szCs w:val="20"/>
          <w:color w:val="auto"/>
        </w:rPr>
      </w:pPr>
    </w:p>
    <w:p>
      <w:pPr>
        <w:ind w:left="744" w:right="4499" w:hanging="367"/>
        <w:spacing w:after="0" w:line="253" w:lineRule="auto"/>
        <w:rPr>
          <w:sz w:val="20"/>
          <w:szCs w:val="20"/>
          <w:color w:val="auto"/>
        </w:rPr>
      </w:pPr>
      <w:r>
        <w:rPr>
          <w:rFonts w:ascii="Courier New" w:cs="Courier New" w:eastAsia="Courier New" w:hAnsi="Courier New"/>
          <w:sz w:val="12"/>
          <w:szCs w:val="12"/>
          <w:color w:val="auto"/>
        </w:rPr>
        <w:t>10.4. the Conversion Shares have been approved for listing and trading on TASE.</w:t>
      </w:r>
    </w:p>
    <w:p>
      <w:pPr>
        <w:spacing w:after="0" w:line="138" w:lineRule="exact"/>
        <w:rPr>
          <w:sz w:val="20"/>
          <w:szCs w:val="20"/>
          <w:color w:val="auto"/>
        </w:rPr>
      </w:pPr>
    </w:p>
    <w:p>
      <w:pPr>
        <w:ind w:left="364" w:hanging="364"/>
        <w:spacing w:after="0"/>
        <w:tabs>
          <w:tab w:leader="none" w:pos="364" w:val="left"/>
        </w:tabs>
        <w:numPr>
          <w:ilvl w:val="0"/>
          <w:numId w:val="2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THEFT, DESTRUCTION OR MUTILATION OF CAPITAL NOTE</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Upon receipt by the Company of evidence reasonably satisfactory to it of the loss, theft, destruction or mutilation of any Capital Note or Conversion Shares certificate, and in case of loss, theft or destruction, of indemnity, or security reasonably satisfactory to it, and upon reimbursement to the Company of all reasonable expenses incidental thereto, and upon surrender and cancellation of such Capital Note or Conversion Shares certificate, if mutilated, the Company will make and deliver a new Capital Note or Conversion Shares certificate of like tenor and dated as of such cancellation, in lieu of such Capital Note or Conversion Shares certificate.</w:t>
      </w:r>
    </w:p>
    <w:p>
      <w:pPr>
        <w:spacing w:after="0" w:line="282"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2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NOTICES</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pacing w:after="0" w:line="283"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2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11 -</w:t>
      </w:r>
    </w:p>
    <w:p>
      <w:pPr>
        <w:sectPr>
          <w:pgSz w:w="11900" w:h="16838" w:orient="portrait"/>
          <w:cols w:equalWidth="0" w:num="1">
            <w:col w:w="10244"/>
          </w:cols>
          <w:pgMar w:left="216" w:top="689" w:right="1440" w:bottom="1440" w:gutter="0" w:footer="0" w:header="0"/>
        </w:sectPr>
      </w:pPr>
    </w:p>
    <w:bookmarkStart w:id="207" w:name="page208"/>
    <w:bookmarkEnd w:id="207"/>
    <w:p>
      <w:pPr>
        <w:ind w:left="300"/>
        <w:spacing w:after="0"/>
        <w:rPr>
          <w:sz w:val="20"/>
          <w:szCs w:val="20"/>
          <w:color w:val="auto"/>
        </w:rPr>
      </w:pPr>
      <w:r>
        <w:rPr>
          <w:rFonts w:ascii="Courier New" w:cs="Courier New" w:eastAsia="Courier New" w:hAnsi="Courier New"/>
          <w:sz w:val="12"/>
          <w:szCs w:val="12"/>
          <w:color w:val="auto"/>
        </w:rPr>
        <w:t>If to the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Bank Hapoalim B.M.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Corporate Division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Migdal Levenstein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23 Menachem Begin Road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 Aviv, Israel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ATTENTION: HEAD OF CORPORATE DIVISION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(03) 567 2995</w:t>
      </w:r>
    </w:p>
    <w:p>
      <w:pPr>
        <w:spacing w:after="0" w:line="147" w:lineRule="exact"/>
        <w:rPr>
          <w:sz w:val="20"/>
          <w:szCs w:val="20"/>
          <w:color w:val="auto"/>
        </w:rPr>
      </w:pPr>
    </w:p>
    <w:p>
      <w:pPr>
        <w:sectPr>
          <w:pgSz w:w="11900" w:h="16838" w:orient="portrait"/>
          <w:cols w:equalWidth="0" w:num="2">
            <w:col w:w="1540" w:space="240"/>
            <w:col w:w="8099"/>
          </w:cols>
          <w:pgMar w:left="580" w:top="689" w:right="1440" w:bottom="1440" w:gutter="0" w:footer="0" w:header="0"/>
        </w:sectPr>
      </w:pPr>
    </w:p>
    <w:p>
      <w:pPr>
        <w:ind w:left="300"/>
        <w:spacing w:after="0"/>
        <w:rPr>
          <w:sz w:val="20"/>
          <w:szCs w:val="20"/>
          <w:color w:val="auto"/>
        </w:rPr>
      </w:pPr>
      <w:r>
        <w:rPr>
          <w:rFonts w:ascii="Courier New" w:cs="Courier New" w:eastAsia="Courier New" w:hAnsi="Courier New"/>
          <w:sz w:val="12"/>
          <w:szCs w:val="12"/>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Tower Semiconductor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P.O. Box 619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Ramat Gabriel Industrial Zone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Migdal Haemek 23105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ATTENTION: OREN SHIRAZI, ACTING</w:t>
      </w:r>
    </w:p>
    <w:p>
      <w:pPr>
        <w:spacing w:after="0" w:line="6" w:lineRule="exact"/>
        <w:rPr>
          <w:sz w:val="20"/>
          <w:szCs w:val="20"/>
          <w:color w:val="auto"/>
        </w:rPr>
      </w:pPr>
    </w:p>
    <w:p>
      <w:pPr>
        <w:ind w:left="800"/>
        <w:spacing w:after="0"/>
        <w:rPr>
          <w:sz w:val="20"/>
          <w:szCs w:val="20"/>
          <w:color w:val="auto"/>
        </w:rPr>
      </w:pPr>
      <w:r>
        <w:rPr>
          <w:rFonts w:ascii="Courier New" w:cs="Courier New" w:eastAsia="Courier New" w:hAnsi="Courier New"/>
          <w:sz w:val="12"/>
          <w:szCs w:val="12"/>
          <w:color w:val="auto"/>
        </w:rPr>
        <w:t>CHIEF FINANCIAL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(04) 604 7242</w:t>
      </w:r>
    </w:p>
    <w:p>
      <w:pPr>
        <w:spacing w:after="0" w:line="147" w:lineRule="exact"/>
        <w:rPr>
          <w:sz w:val="20"/>
          <w:szCs w:val="20"/>
          <w:color w:val="auto"/>
        </w:rPr>
      </w:pPr>
    </w:p>
    <w:p>
      <w:pPr>
        <w:sectPr>
          <w:pgSz w:w="11900" w:h="16838" w:orient="portrait"/>
          <w:cols w:equalWidth="0" w:num="2">
            <w:col w:w="1620" w:space="160"/>
            <w:col w:w="8099"/>
          </w:cols>
          <w:pgMar w:left="580" w:top="689" w:right="1440" w:bottom="1440" w:gutter="0" w:footer="0" w:header="0"/>
          <w:type w:val="continuous"/>
        </w:sectPr>
      </w:pPr>
    </w:p>
    <w:p>
      <w:pPr>
        <w:ind w:left="300"/>
        <w:spacing w:after="0"/>
        <w:rPr>
          <w:sz w:val="20"/>
          <w:szCs w:val="20"/>
          <w:color w:val="auto"/>
        </w:rPr>
      </w:pPr>
      <w:r>
        <w:rPr>
          <w:rFonts w:ascii="Courier New" w:cs="Courier New" w:eastAsia="Courier New" w:hAnsi="Courier New"/>
          <w:sz w:val="12"/>
          <w:szCs w:val="12"/>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Yigal Arnon &amp;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 Azrieli Center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 Aviv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Israel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ATTENTION: DAVID H. SCHAPIRO, ADV./</w:t>
      </w:r>
    </w:p>
    <w:p>
      <w:pPr>
        <w:spacing w:after="0" w:line="6" w:lineRule="exact"/>
        <w:rPr>
          <w:sz w:val="20"/>
          <w:szCs w:val="20"/>
          <w:color w:val="auto"/>
        </w:rPr>
      </w:pPr>
    </w:p>
    <w:p>
      <w:pPr>
        <w:ind w:left="800"/>
        <w:spacing w:after="0"/>
        <w:rPr>
          <w:sz w:val="20"/>
          <w:szCs w:val="20"/>
          <w:color w:val="auto"/>
        </w:rPr>
      </w:pPr>
      <w:r>
        <w:rPr>
          <w:rFonts w:ascii="Courier New" w:cs="Courier New" w:eastAsia="Courier New" w:hAnsi="Courier New"/>
          <w:sz w:val="12"/>
          <w:szCs w:val="12"/>
          <w:color w:val="auto"/>
        </w:rPr>
        <w:t>ARI FRIED, ADV.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(03) 608 7714</w:t>
      </w:r>
    </w:p>
    <w:p>
      <w:pPr>
        <w:spacing w:after="0" w:line="147" w:lineRule="exact"/>
        <w:rPr>
          <w:sz w:val="20"/>
          <w:szCs w:val="20"/>
          <w:color w:val="auto"/>
        </w:rPr>
      </w:pPr>
    </w:p>
    <w:p>
      <w:pPr>
        <w:sectPr>
          <w:pgSz w:w="11900" w:h="16838" w:orient="portrait"/>
          <w:cols w:equalWidth="0" w:num="2">
            <w:col w:w="1400" w:space="380"/>
            <w:col w:w="8099"/>
          </w:cols>
          <w:pgMar w:left="580" w:top="689" w:right="1440" w:bottom="1440" w:gutter="0" w:footer="0" w:header="0"/>
          <w:type w:val="continuous"/>
        </w:sectPr>
      </w:pPr>
    </w:p>
    <w:p>
      <w:pPr>
        <w:ind w:right="4419"/>
        <w:spacing w:after="0" w:line="249" w:lineRule="auto"/>
        <w:rPr>
          <w:sz w:val="20"/>
          <w:szCs w:val="20"/>
          <w:color w:val="auto"/>
        </w:rPr>
      </w:pPr>
      <w:r>
        <w:rPr>
          <w:rFonts w:ascii="Courier New" w:cs="Courier New" w:eastAsia="Courier New" w:hAnsi="Courier New"/>
          <w:sz w:val="12"/>
          <w:szCs w:val="12"/>
          <w:color w:val="auto"/>
        </w:rPr>
        <w:t>or such other address with respect to a party as such party shall notify each other party in writing as above provided. Any notice sent in accordance with this clause 12 shall be effective: (a) if mailed, 5 (five) business days after mailing; (b) if sent by messenger, upon delivery; and</w:t>
      </w:r>
    </w:p>
    <w:p>
      <w:pPr>
        <w:spacing w:after="0" w:line="2" w:lineRule="exact"/>
        <w:rPr>
          <w:sz w:val="20"/>
          <w:szCs w:val="20"/>
          <w:color w:val="auto"/>
        </w:rPr>
      </w:pPr>
    </w:p>
    <w:p>
      <w:pPr>
        <w:ind w:right="4419" w:firstLine="4"/>
        <w:spacing w:after="0" w:line="253" w:lineRule="auto"/>
        <w:tabs>
          <w:tab w:leader="none" w:pos="294" w:val="left"/>
        </w:tabs>
        <w:numPr>
          <w:ilvl w:val="0"/>
          <w:numId w:val="2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sent via facsimile, 1 (one) business day following transmission and electronic confirmation of receipt.</w:t>
      </w:r>
    </w:p>
    <w:p>
      <w:pPr>
        <w:spacing w:after="0" w:line="279" w:lineRule="exact"/>
        <w:rPr>
          <w:rFonts w:ascii="Courier New" w:cs="Courier New" w:eastAsia="Courier New" w:hAnsi="Courier New"/>
          <w:sz w:val="12"/>
          <w:szCs w:val="12"/>
          <w:color w:val="auto"/>
        </w:rPr>
      </w:pPr>
    </w:p>
    <w:p>
      <w:pPr>
        <w:ind w:left="2500" w:hanging="141"/>
        <w:spacing w:after="0"/>
        <w:tabs>
          <w:tab w:leader="none" w:pos="2500" w:val="left"/>
        </w:tabs>
        <w:numPr>
          <w:ilvl w:val="1"/>
          <w:numId w:val="2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12 -</w:t>
      </w:r>
    </w:p>
    <w:p>
      <w:pPr>
        <w:sectPr>
          <w:pgSz w:w="11900" w:h="16838" w:orient="portrait"/>
          <w:cols w:equalWidth="0" w:num="1">
            <w:col w:w="9879"/>
          </w:cols>
          <w:pgMar w:left="580" w:top="689" w:right="1440" w:bottom="1440" w:gutter="0" w:footer="0" w:header="0"/>
          <w:type w:val="continuous"/>
        </w:sectPr>
      </w:pPr>
    </w:p>
    <w:bookmarkStart w:id="208" w:name="page209"/>
    <w:bookmarkEnd w:id="208"/>
    <w:p>
      <w:pPr>
        <w:ind w:left="364" w:hanging="364"/>
        <w:spacing w:after="0"/>
        <w:tabs>
          <w:tab w:leader="none" w:pos="364" w:val="left"/>
        </w:tabs>
        <w:numPr>
          <w:ilvl w:val="0"/>
          <w:numId w:val="2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APPLICABLE LAW; JURISDICTION</w:t>
      </w:r>
    </w:p>
    <w:p>
      <w:pPr>
        <w:spacing w:after="0" w:line="147" w:lineRule="exact"/>
        <w:rPr>
          <w:sz w:val="20"/>
          <w:szCs w:val="20"/>
          <w:color w:val="auto"/>
        </w:rPr>
      </w:pPr>
    </w:p>
    <w:p>
      <w:pPr>
        <w:ind w:left="364" w:right="4359"/>
        <w:spacing w:after="0" w:line="250" w:lineRule="auto"/>
        <w:rPr>
          <w:sz w:val="20"/>
          <w:szCs w:val="20"/>
          <w:color w:val="auto"/>
        </w:rPr>
      </w:pPr>
      <w:r>
        <w:rPr>
          <w:rFonts w:ascii="Courier New" w:cs="Courier New" w:eastAsia="Courier New" w:hAnsi="Courier New"/>
          <w:sz w:val="12"/>
          <w:szCs w:val="12"/>
          <w:color w:val="auto"/>
        </w:rPr>
        <w:t>This Capital Note shall be governed by and construed in accordance with the laws of the State of Israel as applicable to contracts between two residents of the State of Israel entered into and to be performed entirely within the State of Israel. Any dispute arising under or in relation to this Capital Note shall be resolved in the competent court for Tel Aviv-Jaffa district, and the Company and the Holder hereby submits irrevocably to the jurisdiction of such court.</w:t>
      </w:r>
    </w:p>
    <w:p>
      <w:pPr>
        <w:spacing w:after="0" w:line="141"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Dated: September 28, 2006</w:t>
      </w:r>
    </w:p>
    <w:p>
      <w:pPr>
        <w:spacing w:after="0" w:line="147" w:lineRule="exact"/>
        <w:rPr>
          <w:sz w:val="20"/>
          <w:szCs w:val="20"/>
          <w:color w:val="auto"/>
        </w:rPr>
      </w:pPr>
    </w:p>
    <w:p>
      <w:pPr>
        <w:ind w:left="4"/>
        <w:spacing w:after="0"/>
        <w:tabs>
          <w:tab w:leader="none" w:pos="344" w:val="left"/>
        </w:tabs>
        <w:rPr>
          <w:sz w:val="20"/>
          <w:szCs w:val="20"/>
          <w:color w:val="auto"/>
        </w:rPr>
      </w:pPr>
      <w:r>
        <w:rPr>
          <w:rFonts w:ascii="Courier New" w:cs="Courier New" w:eastAsia="Courier New" w:hAnsi="Courier New"/>
          <w:sz w:val="12"/>
          <w:szCs w:val="12"/>
          <w:color w:val="auto"/>
        </w:rPr>
        <w:t>for</w:t>
        <w:tab/>
        <w:t>TOWER SEMICONDUCTOR LTD.</w:t>
      </w:r>
    </w:p>
    <w:p>
      <w:pPr>
        <w:spacing w:after="0" w:line="147" w:lineRule="exact"/>
        <w:rPr>
          <w:sz w:val="20"/>
          <w:szCs w:val="20"/>
          <w:color w:val="auto"/>
        </w:rPr>
      </w:pPr>
    </w:p>
    <w:p>
      <w:pPr>
        <w:ind w:left="4"/>
        <w:spacing w:after="0"/>
        <w:tabs>
          <w:tab w:leader="none" w:pos="564"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2"/>
          <w:szCs w:val="12"/>
          <w:color w:val="auto"/>
        </w:rPr>
        <w:t>_______________________</w:t>
      </w:r>
    </w:p>
    <w:p>
      <w:pPr>
        <w:spacing w:after="0" w:line="147" w:lineRule="exact"/>
        <w:rPr>
          <w:sz w:val="20"/>
          <w:szCs w:val="20"/>
          <w:color w:val="auto"/>
        </w:rPr>
      </w:pPr>
    </w:p>
    <w:p>
      <w:pPr>
        <w:ind w:left="4"/>
        <w:spacing w:after="0"/>
        <w:tabs>
          <w:tab w:leader="none" w:pos="564" w:val="left"/>
        </w:tabs>
        <w:rPr>
          <w:sz w:val="20"/>
          <w:szCs w:val="20"/>
          <w:color w:val="auto"/>
        </w:rPr>
      </w:pPr>
      <w:r>
        <w:rPr>
          <w:rFonts w:ascii="Courier New" w:cs="Courier New" w:eastAsia="Courier New" w:hAnsi="Courier New"/>
          <w:sz w:val="12"/>
          <w:szCs w:val="12"/>
          <w:color w:val="auto"/>
        </w:rPr>
        <w:t>Title:</w:t>
        <w:tab/>
        <w:t>_______________________</w:t>
      </w:r>
    </w:p>
    <w:p>
      <w:pPr>
        <w:spacing w:after="0" w:line="200" w:lineRule="exact"/>
        <w:rPr>
          <w:sz w:val="20"/>
          <w:szCs w:val="20"/>
          <w:color w:val="auto"/>
        </w:rPr>
      </w:pPr>
    </w:p>
    <w:p>
      <w:pPr>
        <w:spacing w:after="0" w:line="230"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- 13 -</w:t>
      </w:r>
    </w:p>
    <w:p>
      <w:pPr>
        <w:sectPr>
          <w:pgSz w:w="11900" w:h="16838" w:orient="portrait"/>
          <w:cols w:equalWidth="0" w:num="1">
            <w:col w:w="10244"/>
          </w:cols>
          <w:pgMar w:left="216" w:top="689" w:right="1440" w:bottom="1440" w:gutter="0" w:footer="0" w:header="0"/>
        </w:sectPr>
      </w:pPr>
    </w:p>
    <w:bookmarkStart w:id="209" w:name="page210"/>
    <w:bookmarkEnd w:id="209"/>
    <w:p>
      <w:pPr>
        <w:ind w:left="4924"/>
        <w:spacing w:after="0"/>
        <w:rPr>
          <w:sz w:val="20"/>
          <w:szCs w:val="20"/>
          <w:color w:val="auto"/>
        </w:rPr>
      </w:pPr>
      <w:r>
        <w:rPr>
          <w:rFonts w:ascii="Courier New" w:cs="Courier New" w:eastAsia="Courier New" w:hAnsi="Courier New"/>
          <w:sz w:val="12"/>
          <w:szCs w:val="12"/>
          <w:color w:val="auto"/>
        </w:rPr>
        <w:t>EXHIBIT 99.13</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THESE SECURITIES [(INCLUDING THE SECURITIES ISSUABLE PURSUANT HERETO)](1) HAVE NOT BEEN REGISTERED OR QUALIFIED UNDER THE U.S. SECURITIES ACT OF 1933, AS AMENDED ("THE ACT"), OR ANY U.S. STATE OR OTHER JURISDICTION'S SECURITIES LAWS. THESE SECURITIES (INCLUDING THE SECURITIES ISSUABLE PURSUANT HERETO) MAY NOT BE SOLD, OFFERED FOR SALE OR PLEDGED, HYPOTHECATED OR OTHERWISE TRANSFERRED IN THE ABSENCE OF A REGISTRATION STATEMENT IN EFFECT UNDER THE ACT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141" w:lineRule="exact"/>
        <w:rPr>
          <w:sz w:val="20"/>
          <w:szCs w:val="20"/>
          <w:color w:val="auto"/>
        </w:rPr>
      </w:pPr>
    </w:p>
    <w:p>
      <w:pPr>
        <w:jc w:val="center"/>
        <w:ind w:right="4355"/>
        <w:spacing w:after="0"/>
        <w:rPr>
          <w:sz w:val="20"/>
          <w:szCs w:val="20"/>
          <w:color w:val="auto"/>
        </w:rPr>
      </w:pPr>
      <w:r>
        <w:rPr>
          <w:rFonts w:ascii="Courier New" w:cs="Courier New" w:eastAsia="Courier New" w:hAnsi="Courier New"/>
          <w:sz w:val="12"/>
          <w:szCs w:val="12"/>
          <w:color w:val="auto"/>
        </w:rPr>
        <w:t>EQUITY EQUIVALENT CONVERTIBLE CAPITAL NOTE</w:t>
      </w:r>
    </w:p>
    <w:p>
      <w:pPr>
        <w:spacing w:after="0" w:line="6" w:lineRule="exact"/>
        <w:rPr>
          <w:sz w:val="20"/>
          <w:szCs w:val="20"/>
          <w:color w:val="auto"/>
        </w:rPr>
      </w:pPr>
    </w:p>
    <w:p>
      <w:pPr>
        <w:jc w:val="center"/>
        <w:ind w:right="4355"/>
        <w:spacing w:after="0"/>
        <w:rPr>
          <w:sz w:val="20"/>
          <w:szCs w:val="20"/>
          <w:color w:val="auto"/>
        </w:rPr>
      </w:pPr>
      <w:r>
        <w:rPr>
          <w:rFonts w:ascii="Courier New" w:cs="Courier New" w:eastAsia="Courier New" w:hAnsi="Courier New"/>
          <w:sz w:val="12"/>
          <w:szCs w:val="12"/>
          <w:color w:val="auto"/>
        </w:rPr>
        <w:t>(PRINCIPAL AMOUNT OF US $39,500,000)</w:t>
      </w:r>
    </w:p>
    <w:p>
      <w:pPr>
        <w:spacing w:after="0" w:line="147" w:lineRule="exact"/>
        <w:rPr>
          <w:sz w:val="20"/>
          <w:szCs w:val="20"/>
          <w:color w:val="auto"/>
        </w:rPr>
      </w:pPr>
    </w:p>
    <w:p>
      <w:pPr>
        <w:ind w:left="4" w:right="4359"/>
        <w:spacing w:after="0" w:line="250" w:lineRule="auto"/>
        <w:rPr>
          <w:sz w:val="20"/>
          <w:szCs w:val="20"/>
          <w:color w:val="auto"/>
        </w:rPr>
      </w:pPr>
      <w:r>
        <w:rPr>
          <w:rFonts w:ascii="Courier New" w:cs="Courier New" w:eastAsia="Courier New" w:hAnsi="Courier New"/>
          <w:sz w:val="12"/>
          <w:szCs w:val="12"/>
          <w:color w:val="auto"/>
        </w:rPr>
        <w:t>THIS EQUITY EQUIVALENT CONVERTIBLE CAPITAL NOTE ("THIS CAPITAL NOTE") in the principal amount of US $39,500,000 (thirty-nine million five hundred thousand United States Dollars) ("THE PRINCIPAL AMOUNT") has been issued by Tower Semiconductor Ltd., an Israeli company ("THE COMPANY"), whose shares are currently traded on The Nasdaq National Market ("NASDAQ") and the Tel-Aviv Stock Exchange ("TASE"), to Bank Leumi Le-Israel B.M. ("THE HOLDER"). This Capital Note was originally issued by the Company in exchange for the conversion by the original Holder of this Capital Note of loans to the Company in a principal amount equal to twice the Principal Amount and represents the obligation of the Company to pay the Principal Amount to the Holder in accordance with and subject to the terms set forth in this Capital Note.</w:t>
      </w:r>
    </w:p>
    <w:p>
      <w:pPr>
        <w:spacing w:after="0" w:line="141" w:lineRule="exact"/>
        <w:rPr>
          <w:sz w:val="20"/>
          <w:szCs w:val="20"/>
          <w:color w:val="auto"/>
        </w:rPr>
      </w:pPr>
    </w:p>
    <w:p>
      <w:pPr>
        <w:ind w:left="364" w:hanging="364"/>
        <w:spacing w:after="0"/>
        <w:tabs>
          <w:tab w:leader="none" w:pos="364" w:val="left"/>
        </w:tabs>
        <w:numPr>
          <w:ilvl w:val="0"/>
          <w:numId w:val="2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DEFINITIONS</w:t>
      </w:r>
    </w:p>
    <w:p>
      <w:pPr>
        <w:spacing w:after="0" w:line="147" w:lineRule="exact"/>
        <w:rPr>
          <w:rFonts w:ascii="Courier New" w:cs="Courier New" w:eastAsia="Courier New" w:hAnsi="Courier New"/>
          <w:sz w:val="12"/>
          <w:szCs w:val="12"/>
          <w:color w:val="auto"/>
        </w:rPr>
      </w:pPr>
    </w:p>
    <w:p>
      <w:pPr>
        <w:ind w:left="364" w:right="4499"/>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this Capital Note, the following terms have the meanings given to them in this clause 1:</w:t>
      </w:r>
    </w:p>
    <w:p>
      <w:pPr>
        <w:spacing w:after="0" w:line="138" w:lineRule="exact"/>
        <w:rPr>
          <w:rFonts w:ascii="Courier New" w:cs="Courier New" w:eastAsia="Courier New" w:hAnsi="Courier New"/>
          <w:sz w:val="12"/>
          <w:szCs w:val="12"/>
          <w:color w:val="auto"/>
        </w:rPr>
      </w:pPr>
    </w:p>
    <w:p>
      <w:pPr>
        <w:ind w:left="744" w:right="4719" w:hanging="368"/>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1.1. "COMPANY" includes any person that shall succeed to or assume the obligations of the Company under this Capital Note;</w:t>
      </w:r>
    </w:p>
    <w:p>
      <w:pPr>
        <w:spacing w:after="0" w:line="138" w:lineRule="exact"/>
        <w:rPr>
          <w:rFonts w:ascii="Courier New" w:cs="Courier New" w:eastAsia="Courier New" w:hAnsi="Courier New"/>
          <w:sz w:val="12"/>
          <w:szCs w:val="12"/>
          <w:color w:val="auto"/>
        </w:rPr>
      </w:pPr>
    </w:p>
    <w:p>
      <w:pPr>
        <w:ind w:left="744" w:right="4359" w:hanging="368"/>
        <w:spacing w:after="0" w:line="25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1.2. "HOLDER" shall mean any person who at the time shall be the registered holder of this Capital Note or any part thereof; and</w:t>
      </w:r>
    </w:p>
    <w:p>
      <w:pPr>
        <w:spacing w:after="0" w:line="280"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 ----------</w:t>
      </w:r>
    </w:p>
    <w:p>
      <w:pPr>
        <w:spacing w:after="0" w:line="6" w:lineRule="exact"/>
        <w:rPr>
          <w:sz w:val="20"/>
          <w:szCs w:val="20"/>
          <w:color w:val="auto"/>
        </w:rPr>
      </w:pPr>
    </w:p>
    <w:p>
      <w:pPr>
        <w:ind w:left="364" w:right="4359" w:hanging="364"/>
        <w:spacing w:after="0" w:line="250" w:lineRule="auto"/>
        <w:tabs>
          <w:tab w:leader="none" w:pos="364" w:val="left"/>
        </w:tabs>
        <w:numPr>
          <w:ilvl w:val="0"/>
          <w:numId w:val="2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effective date of the Registration Statement covering the Conversion Shares, bracketed language to be removed from all future Capital Notes to be issued and, at the request of the Holder, a substitute Capital Note omitting the bracketed language will promptly be delivered to the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44" w:right="4359" w:hanging="367"/>
        <w:spacing w:after="0" w:line="250" w:lineRule="auto"/>
        <w:rPr>
          <w:sz w:val="20"/>
          <w:szCs w:val="20"/>
          <w:color w:val="auto"/>
        </w:rPr>
      </w:pPr>
      <w:r>
        <w:rPr>
          <w:rFonts w:ascii="Courier New" w:cs="Courier New" w:eastAsia="Courier New" w:hAnsi="Courier New"/>
          <w:sz w:val="12"/>
          <w:szCs w:val="12"/>
          <w:color w:val="auto"/>
        </w:rPr>
        <w:t>1.3. "ORDINARY SHARES" means the ordinary shares, nominal value NIS 1.00 (one New Israel Sheqel) per share, of the Company (and any shares of capital stock substituted for the ordinary shares as a result of any stock split, stock dividend, recapitalisation, rights offering, exchange, merger or similar event or otherwise, including as described in this Capital Note).</w:t>
      </w:r>
    </w:p>
    <w:p>
      <w:pPr>
        <w:spacing w:after="0" w:line="141" w:lineRule="exact"/>
        <w:rPr>
          <w:sz w:val="20"/>
          <w:szCs w:val="20"/>
          <w:color w:val="auto"/>
        </w:rPr>
      </w:pPr>
    </w:p>
    <w:p>
      <w:pPr>
        <w:ind w:left="364" w:hanging="364"/>
        <w:spacing w:after="0"/>
        <w:tabs>
          <w:tab w:leader="none" w:pos="364" w:val="left"/>
        </w:tabs>
        <w:numPr>
          <w:ilvl w:val="0"/>
          <w:numId w:val="2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TERMS</w:t>
      </w:r>
    </w:p>
    <w:p>
      <w:pPr>
        <w:spacing w:after="0" w:line="147" w:lineRule="exact"/>
        <w:rPr>
          <w:rFonts w:ascii="Courier New" w:cs="Courier New" w:eastAsia="Courier New" w:hAnsi="Courier New"/>
          <w:sz w:val="12"/>
          <w:szCs w:val="12"/>
          <w:color w:val="auto"/>
        </w:rPr>
      </w:pPr>
    </w:p>
    <w:p>
      <w:pPr>
        <w:jc w:val="both"/>
        <w:ind w:left="364" w:right="435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Principal Amount shall neither bear interest nor be linked to any index and shall be subordinated to all liabilities of the Company having priority over the Ordinary Shares.</w:t>
      </w:r>
    </w:p>
    <w:p>
      <w:pPr>
        <w:spacing w:after="0" w:line="139"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Principal Amount shall only be payable by the Company to the Holder out of distributions made upon the winding-up (whether solvent or insolvent), liquidation or dissolution of the Company and, in such event, on a PARI PASSU and pro rata basis with the Ordinary Shares after payment of all liabilities of the Company having priority over the Ordinary Shares. For the purposes only of calculation of the allocation of such distributions between holders of the Capital Note and holders of Ordinary Shares, the holder of this Capital Note shall be deemed to own the number of Ordinary Shares into which this Capital Note may then be converted. The Company shall not be entitled to prepay or redeem this Capital Note.</w:t>
      </w:r>
    </w:p>
    <w:p>
      <w:pPr>
        <w:spacing w:after="0" w:line="141" w:lineRule="exact"/>
        <w:rPr>
          <w:rFonts w:ascii="Courier New" w:cs="Courier New" w:eastAsia="Courier New" w:hAnsi="Courier New"/>
          <w:sz w:val="12"/>
          <w:szCs w:val="12"/>
          <w:color w:val="auto"/>
        </w:rPr>
      </w:pPr>
    </w:p>
    <w:p>
      <w:pPr>
        <w:ind w:left="364" w:right="449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Capital Note shall be convertible into Ordinary Shares as set forth below and, for the removal of doubt, no such conversion shall be deemed a redemption or prepayment of this Capital Note.</w:t>
      </w:r>
    </w:p>
    <w:p>
      <w:pPr>
        <w:spacing w:after="0" w:line="139"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2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CONVERSION</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3.1. CONVERSION RIGHT</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The Holder of this Capital Note has the right, at the Holder's option, at any time and from time to time, to convert this Capital Note, without payment of any additional consideration, in accordance with the provisions of this clause 3, in whole or in part, into fully-paid and non-assessable Ordinary Shares. The number of Ordinary Shares into which this Capital Note may be converted ("THE CONVERSION SHARES") shall be determined by dividing the aggregate Principal Amount of this Capital Note by the conversion price in effect at the time of such conversion ("THE CONVERSION PRICE"). The Conversion Price initially shall be US $1.52 (one United States Dollar and fifty-two cents), as adjusted at any time and from time to time in accordance with clause 7 below.</w:t>
      </w:r>
    </w:p>
    <w:p>
      <w:pPr>
        <w:spacing w:after="0" w:line="283"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- 2 -</w:t>
      </w:r>
    </w:p>
    <w:p>
      <w:pPr>
        <w:sectPr>
          <w:pgSz w:w="11900" w:h="16838" w:orient="portrait"/>
          <w:cols w:equalWidth="0" w:num="1">
            <w:col w:w="10244"/>
          </w:cols>
          <w:pgMar w:left="216" w:top="283" w:right="1440" w:bottom="1440" w:gutter="0" w:footer="0" w:header="0"/>
        </w:sectPr>
      </w:pPr>
    </w:p>
    <w:bookmarkStart w:id="210" w:name="page211"/>
    <w:bookmarkEnd w:id="210"/>
    <w:p>
      <w:pPr>
        <w:ind w:left="364"/>
        <w:spacing w:after="0"/>
        <w:rPr>
          <w:sz w:val="20"/>
          <w:szCs w:val="20"/>
          <w:color w:val="auto"/>
        </w:rPr>
      </w:pPr>
      <w:r>
        <w:rPr>
          <w:rFonts w:ascii="Courier New" w:cs="Courier New" w:eastAsia="Courier New" w:hAnsi="Courier New"/>
          <w:sz w:val="12"/>
          <w:szCs w:val="12"/>
          <w:color w:val="auto"/>
        </w:rPr>
        <w:t>3.2. CONVERSION PROCEDURE</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This Capital Note may be converted in whole or in part at any time and from time to time by the surrender of this Capital Note to the Company at its principal office together with written notice of the election to convert all or any portion of the Principal Amount thereof, duly signed on behalf of the Holder. The Company shall, on such surrender date or as soon as practicable thereafter, issue irrevocable instructions to its stock transfer agent to deliver to the Holder a certificate or certificates for the number of Conversion Shares to which the Holder shall be entitled as a result of such conversion as aforesaid. Such conversion, the issue and allotment of such Conversion Shares and the registration of the Holder in the register of members of the Company as the holder of such Conversion Shares shall be deemed to have been made immediately prior to the close of business on the date of such surrender of this Capital Note or portion thereof and the person or persons entitled to receive the Conversion Shares issuable upon such conversion shall be treated for all purposes as the record holder or holders as of such date of such number of Conversion Shares to which the Holder shall be entitled as a result of such conversion as aforesaid. In the event of a partial conversion, the Company shall concurrently issue to the Holder a replacement Capital Note of like tenor as this Capital Note, but representing the Principal Amount remaining after such partial conversion. For the avoidance of doubt, the Company confirms that the terms of this Capital Note, including, without limitation, this clause 3, constitute the issue terms of the Conversion Shares and that, accordingly, the right of the Company pursuant to clauses 16.1 and 16.2 of the Company's Articles of Association to delay the issuance of stock certificates for up to 6 (six) months after the allotment and registration of transfer is inapplicable. For the further removal of doubt, nothing herein shall derogate from the second sentence of clause 16.1 of the Company's Articles of Association.</w:t>
      </w:r>
    </w:p>
    <w:p>
      <w:pPr>
        <w:spacing w:after="0" w:line="141" w:lineRule="exact"/>
        <w:rPr>
          <w:sz w:val="20"/>
          <w:szCs w:val="20"/>
          <w:color w:val="auto"/>
        </w:rPr>
      </w:pPr>
    </w:p>
    <w:p>
      <w:pPr>
        <w:ind w:left="364" w:hanging="364"/>
        <w:spacing w:after="0"/>
        <w:tabs>
          <w:tab w:leader="none" w:pos="364" w:val="left"/>
        </w:tabs>
        <w:numPr>
          <w:ilvl w:val="0"/>
          <w:numId w:val="2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FRACTIONAL INTEREST</w:t>
      </w:r>
    </w:p>
    <w:p>
      <w:pPr>
        <w:spacing w:after="0" w:line="147" w:lineRule="exact"/>
        <w:rPr>
          <w:rFonts w:ascii="Courier New" w:cs="Courier New" w:eastAsia="Courier New" w:hAnsi="Courier New"/>
          <w:sz w:val="12"/>
          <w:szCs w:val="12"/>
          <w:color w:val="auto"/>
        </w:rPr>
      </w:pPr>
    </w:p>
    <w:p>
      <w:pPr>
        <w:ind w:left="364" w:right="449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No fractional shares will be issued in connection with any conversion hereunder. The Company shall round-down, to the nearest whole number, the number of Conversion Shares issuable in connection with any conversion hereunder.</w:t>
      </w:r>
    </w:p>
    <w:p>
      <w:pPr>
        <w:spacing w:after="0" w:line="280"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2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3 -</w:t>
      </w:r>
    </w:p>
    <w:p>
      <w:pPr>
        <w:sectPr>
          <w:pgSz w:w="11900" w:h="16838" w:orient="portrait"/>
          <w:cols w:equalWidth="0" w:num="1">
            <w:col w:w="10244"/>
          </w:cols>
          <w:pgMar w:left="216" w:top="689" w:right="1440" w:bottom="1440" w:gutter="0" w:footer="0" w:header="0"/>
        </w:sectPr>
      </w:pPr>
    </w:p>
    <w:bookmarkStart w:id="211" w:name="page212"/>
    <w:bookmarkEnd w:id="211"/>
    <w:p>
      <w:pPr>
        <w:ind w:left="364" w:hanging="364"/>
        <w:spacing w:after="0"/>
        <w:tabs>
          <w:tab w:leader="none" w:pos="364" w:val="left"/>
        </w:tabs>
        <w:numPr>
          <w:ilvl w:val="0"/>
          <w:numId w:val="2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CAPITAL NOTE CONFERS NO RIGHTS OF SHAREHOLDER</w:t>
      </w:r>
    </w:p>
    <w:p>
      <w:pPr>
        <w:spacing w:after="0" w:line="147" w:lineRule="exact"/>
        <w:rPr>
          <w:rFonts w:ascii="Courier New" w:cs="Courier New" w:eastAsia="Courier New" w:hAnsi="Courier New"/>
          <w:sz w:val="12"/>
          <w:szCs w:val="12"/>
          <w:color w:val="auto"/>
        </w:rPr>
      </w:pPr>
    </w:p>
    <w:p>
      <w:pPr>
        <w:ind w:left="364" w:right="441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Holder shall not, by virtue of this Capital Note, have any rights as a shareholder of the Company prior to actual conversion into Conversion Shares in accordance with clause 3.2 above.</w:t>
      </w:r>
    </w:p>
    <w:p>
      <w:pPr>
        <w:spacing w:after="0" w:line="139"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2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ACQUISITION FOR INVESTMENT</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Capital Note [, including the Conversion Shares,(2)] has not been registered under the Securities Act of 1933, as amended ("THE SECURITIES ACT"), or any other securities laws. The Holder acknowledges by acceptance of this Capital Note that it has acquired this Capital Note for investment and not with a view to distribution. [The Holder agrees that, unless the Conversion Shares have been registered under the Securities Act, any Conversion Shares issuable upon conversion of this Capital Note will be acquired for investment and not with a view to distribution in a manner inconsistent with the registration requirements of the U.S. securities laws and may have to be held indefinitely unless they are subsequently registered under the Securities Act or, based on an opinion of counsel reasonably satisfactory to the Company, an exemption from such registration is available; provided, however, that no opinion shall be required if sold pursuant to Rule 144 of the Securities Act or the transfer will be effected on the TASE and the Holder represents that the applicable conditions under Regulation S under the Securities Act have been satisfied.(3)] The Holder, by acceptance hereof, consents to the placement of legend(s) on this Capital Note and also on the Conversion Shares issuable upon conversion of this Capital Note, as to the applicable restrictions on transferability in order to ensure compliance with the Securities Act, unless in the reasonable opinion of counsel for the Company such legend is not required in order to ensure compliance with the Securities Act. The Company may issue stop transfer instructions to its transfer agent in connection with such restrictions.</w:t>
      </w:r>
    </w:p>
    <w:p>
      <w:pPr>
        <w:spacing w:after="0" w:line="141" w:lineRule="exact"/>
        <w:rPr>
          <w:sz w:val="20"/>
          <w:szCs w:val="20"/>
          <w:color w:val="auto"/>
        </w:rPr>
      </w:pPr>
    </w:p>
    <w:p>
      <w:pPr>
        <w:jc w:val="both"/>
        <w:ind w:left="364" w:right="4359"/>
        <w:spacing w:after="0" w:line="251" w:lineRule="auto"/>
        <w:rPr>
          <w:sz w:val="20"/>
          <w:szCs w:val="20"/>
          <w:color w:val="auto"/>
        </w:rPr>
      </w:pPr>
      <w:r>
        <w:rPr>
          <w:rFonts w:ascii="Courier New" w:cs="Courier New" w:eastAsia="Courier New" w:hAnsi="Courier New"/>
          <w:sz w:val="12"/>
          <w:szCs w:val="12"/>
          <w:color w:val="auto"/>
        </w:rPr>
        <w:t>Nothing in this clause 6 shall derogate from any obligations of the Company under any Registration Rights Agreement to which the Company and the Holder are parties.</w:t>
      </w:r>
    </w:p>
    <w:p>
      <w:pPr>
        <w:spacing w:after="0" w:line="140"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 ----------</w:t>
      </w:r>
    </w:p>
    <w:p>
      <w:pPr>
        <w:spacing w:after="0" w:line="6" w:lineRule="exact"/>
        <w:rPr>
          <w:sz w:val="20"/>
          <w:szCs w:val="20"/>
          <w:color w:val="auto"/>
        </w:rPr>
      </w:pPr>
    </w:p>
    <w:p>
      <w:pPr>
        <w:ind w:left="364" w:right="4359" w:hanging="364"/>
        <w:spacing w:after="0" w:line="250" w:lineRule="auto"/>
        <w:tabs>
          <w:tab w:leader="none" w:pos="364" w:val="left"/>
        </w:tabs>
        <w:numPr>
          <w:ilvl w:val="0"/>
          <w:numId w:val="2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effective date of the Registration Statement covering the Conversion Shares, bracketed language to be removed from all future Capital Notes to be issued and, at the request of the Holder, a substitute Capital Note omitting the bracketed language will promptly be delivered to the Holder.</w:t>
      </w:r>
    </w:p>
    <w:p>
      <w:pPr>
        <w:spacing w:after="0" w:line="141" w:lineRule="exact"/>
        <w:rPr>
          <w:rFonts w:ascii="Courier New" w:cs="Courier New" w:eastAsia="Courier New" w:hAnsi="Courier New"/>
          <w:sz w:val="12"/>
          <w:szCs w:val="12"/>
          <w:color w:val="auto"/>
        </w:rPr>
      </w:pPr>
    </w:p>
    <w:p>
      <w:pPr>
        <w:ind w:left="364" w:right="4359" w:hanging="364"/>
        <w:spacing w:after="0" w:line="250" w:lineRule="auto"/>
        <w:tabs>
          <w:tab w:leader="none" w:pos="364" w:val="left"/>
        </w:tabs>
        <w:numPr>
          <w:ilvl w:val="0"/>
          <w:numId w:val="2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effective date of the Registration Statement covering the Conversion Shares, bracketed language to be replaced with the following: "The Conversion Shares have been registered under the Securities Act on Form F-3 Registration Statement No. [INSERT RELEVANT REGISTRATION NUMBER]." on all future Capital Notes to be issued, and, at the request of the Holder, a substitute Capital Note having such replacement language will promptly be delivered to the Holder.</w:t>
      </w:r>
    </w:p>
    <w:p>
      <w:pPr>
        <w:spacing w:after="0" w:line="282"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2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4 -</w:t>
      </w:r>
    </w:p>
    <w:p>
      <w:pPr>
        <w:sectPr>
          <w:pgSz w:w="11900" w:h="16838" w:orient="portrait"/>
          <w:cols w:equalWidth="0" w:num="1">
            <w:col w:w="10244"/>
          </w:cols>
          <w:pgMar w:left="216" w:top="689" w:right="1440" w:bottom="1440" w:gutter="0" w:footer="0" w:header="0"/>
        </w:sectPr>
      </w:pPr>
    </w:p>
    <w:bookmarkStart w:id="212" w:name="page213"/>
    <w:bookmarkEnd w:id="212"/>
    <w:p>
      <w:pPr>
        <w:ind w:left="364" w:hanging="364"/>
        <w:spacing w:after="0"/>
        <w:tabs>
          <w:tab w:leader="none" w:pos="364" w:val="left"/>
        </w:tabs>
        <w:numPr>
          <w:ilvl w:val="0"/>
          <w:numId w:val="2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ADJUSTMENT OF CONVERSION PRICE AND NUMBER OF CONVERSION SHARES</w:t>
      </w:r>
    </w:p>
    <w:p>
      <w:pPr>
        <w:spacing w:after="0" w:line="147" w:lineRule="exact"/>
        <w:rPr>
          <w:sz w:val="20"/>
          <w:szCs w:val="20"/>
          <w:color w:val="auto"/>
        </w:rPr>
      </w:pPr>
    </w:p>
    <w:p>
      <w:pPr>
        <w:ind w:left="364" w:right="4359"/>
        <w:spacing w:after="0" w:line="251" w:lineRule="auto"/>
        <w:rPr>
          <w:sz w:val="20"/>
          <w:szCs w:val="20"/>
          <w:color w:val="auto"/>
        </w:rPr>
      </w:pPr>
      <w:r>
        <w:rPr>
          <w:rFonts w:ascii="Courier New" w:cs="Courier New" w:eastAsia="Courier New" w:hAnsi="Courier New"/>
          <w:sz w:val="12"/>
          <w:szCs w:val="12"/>
          <w:color w:val="auto"/>
        </w:rPr>
        <w:t>The number and kind of securities issuable initially upon the conversion of this Capital Note and the Conversion Price shall be subject to adjustment at any time and from time to time upon the occurrence of certain events, as follows:</w:t>
      </w:r>
    </w:p>
    <w:p>
      <w:pPr>
        <w:spacing w:after="0" w:line="139" w:lineRule="exact"/>
        <w:rPr>
          <w:sz w:val="20"/>
          <w:szCs w:val="20"/>
          <w:color w:val="auto"/>
        </w:rPr>
      </w:pPr>
    </w:p>
    <w:p>
      <w:pPr>
        <w:ind w:left="364"/>
        <w:spacing w:after="0"/>
        <w:tabs>
          <w:tab w:leader="none" w:pos="724" w:val="left"/>
        </w:tabs>
        <w:rPr>
          <w:sz w:val="20"/>
          <w:szCs w:val="20"/>
          <w:color w:val="auto"/>
        </w:rPr>
      </w:pPr>
      <w:r>
        <w:rPr>
          <w:rFonts w:ascii="Courier New" w:cs="Courier New" w:eastAsia="Courier New" w:hAnsi="Courier New"/>
          <w:sz w:val="12"/>
          <w:szCs w:val="12"/>
          <w:color w:val="auto"/>
        </w:rPr>
        <w:t>7.1</w:t>
        <w:tab/>
        <w:t>ADJUSTMENT FOR SHARES SPLITS AND COMBINATIONS</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If the Company at any time or from time to time effects a subdivision of the outstanding Ordinary Shares, the number of Conversion Shares issuable upon conversion of this Capital Note immediately before the subdivision shall be proportionately increased, and conversely, if the Company at any time or from time to time combines the outstanding Ordinary Shares, the number of Conversion Shares issuable upon conversion of this Capital Note immediately before the combination shall be proportionately decreased. Any adjustment under this clause 7.1 shall become effective at the close of business on the date the subdivision or combination becomes effective.</w:t>
      </w:r>
    </w:p>
    <w:p>
      <w:pPr>
        <w:spacing w:after="0" w:line="141"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7.2. ADJUSTMENT FOR CERTAIN DIVIDENDS AND DISTRIBUTIONS</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In the event the Company at any time, or from time to time, makes or fixes a record date for the determination of holders of Ordinary Shares entitled to receive a dividend or other distribution payable in additional Ordinary Shares, then and in each such event, the number of Ordinary Shares issuable upon conversion of this Capital Note shall be increased as of the time of such issuance or, in the event such a record date is fixed, as of the close of business on such record date, by multiplying the number of Ordinary Shares issuable upon conversion of this Capital Note by a fraction: (i) the numerator of which shall be the total number of Ordinary Shares issued and outstanding immediately prior to the time of such issuance or the close of business on such record date, as applicable, plus the number of Ordinary Shares issuable in payment of such dividend or distribution; and (ii) the denominator of which is the total number of Ordinary Shares issued and outstanding immediately prior to the time of such issuance or the close of business on such record date, as applicable; provided, however, that if such record date is fixed and such dividend is not fully paid or if such distribution is not fully made on the date fixed therefor, the number of Ordinary Shares issuable upon conversion of this Capital Note shall be recomputed accordingly as of the close of business on such record date and thereafter the number of Ordinary Shares issuable upon conversion of this Capital Note shall be adjusted pursuant to this clause 7.2 as of the time of the actual payment of such dividends or distribution.</w:t>
      </w:r>
    </w:p>
    <w:p>
      <w:pPr>
        <w:spacing w:after="0" w:line="283"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- 5 -</w:t>
      </w:r>
    </w:p>
    <w:p>
      <w:pPr>
        <w:sectPr>
          <w:pgSz w:w="11900" w:h="16838" w:orient="portrait"/>
          <w:cols w:equalWidth="0" w:num="1">
            <w:col w:w="10244"/>
          </w:cols>
          <w:pgMar w:left="216" w:top="689" w:right="1440" w:bottom="1440" w:gutter="0" w:footer="0" w:header="0"/>
        </w:sectPr>
      </w:pPr>
    </w:p>
    <w:bookmarkStart w:id="213" w:name="page214"/>
    <w:bookmarkEnd w:id="213"/>
    <w:p>
      <w:pPr>
        <w:spacing w:after="0"/>
        <w:rPr>
          <w:sz w:val="20"/>
          <w:szCs w:val="20"/>
          <w:color w:val="auto"/>
        </w:rPr>
      </w:pPr>
      <w:r>
        <w:rPr>
          <w:rFonts w:ascii="Courier New" w:cs="Courier New" w:eastAsia="Courier New" w:hAnsi="Courier New"/>
          <w:sz w:val="12"/>
          <w:szCs w:val="12"/>
          <w:color w:val="auto"/>
        </w:rPr>
        <w:t>7.3. ADJUSTMENTS FOR OTHER DIVIDENDS AND DISTRIBUTIONS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(for the avoidance of doubt, other than in a rights offering as to which clause 7.7 shall be applicable), then in each such event provision shall be made so that the Holder shall receive upon conversion of this Capital Note and for no additional consideration, in addition to the number of Ordinary Shares receivable thereupon, the amount of securities of the Company that the Holder would have received had this Capital Note been converted immediately prior to such event, or the record date for such event, as applicable.</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7.4. ADJUSTMENT FOR RECLASSIFICATION, EXCHANGE AND SUBSTITUTION</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If the Ordinary Shares issuable upon conversion of this Capital Note are changed into the same or a different number of shares of any class or classes of shares, whether by recapitalization, reclassification, exchange, substitution or otherwise (other than a subdivision or combination of shares, dividends payable in Ordinary Shares or other securities of the Company or a reorganization, merger, consolidation or sale of assets, provided for elsewhere in this clause 7), then and in any such event the Holder shall have the right thereafter to exercise this Capital Note into the kind and amount of shares and other securities receivable upon such recapitalization, reclassification, exchange, substitution or other change, by holders of the number of Ordinary Shares for which this Capital Note might have been converted immediately prior to such recapitalization, reclassification, exchange, substitution or other change (or the record date for such event), all subject to further adjustment as provided herein and under the Company's Articles of Association.</w:t>
      </w:r>
    </w:p>
    <w:p>
      <w:pPr>
        <w:spacing w:after="0" w:line="283"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- 6 -</w:t>
      </w:r>
    </w:p>
    <w:p>
      <w:pPr>
        <w:sectPr>
          <w:pgSz w:w="11900" w:h="16838" w:orient="portrait"/>
          <w:cols w:equalWidth="0" w:num="1">
            <w:col w:w="9879"/>
          </w:cols>
          <w:pgMar w:left="580" w:top="689" w:right="1440" w:bottom="1440" w:gutter="0" w:footer="0" w:header="0"/>
        </w:sectPr>
      </w:pPr>
    </w:p>
    <w:bookmarkStart w:id="214" w:name="page215"/>
    <w:bookmarkEnd w:id="214"/>
    <w:p>
      <w:pPr>
        <w:spacing w:after="0"/>
        <w:rPr>
          <w:sz w:val="20"/>
          <w:szCs w:val="20"/>
          <w:color w:val="auto"/>
        </w:rPr>
      </w:pPr>
      <w:r>
        <w:rPr>
          <w:rFonts w:ascii="Courier New" w:cs="Courier New" w:eastAsia="Courier New" w:hAnsi="Courier New"/>
          <w:sz w:val="12"/>
          <w:szCs w:val="12"/>
          <w:color w:val="auto"/>
        </w:rPr>
        <w:t>7.5. REORGANIZATION, MERGERS, CONSOLIDATIONS OR SALES OF ASSETS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If at any time or from time to time there is a capital reorganization of the Ordinary Shares (other than a recapitalization, subdivision, combination, reclassification, exchange or substitution of shares as provided for elsewhere in this clause 7), or a merger or consolidation of the 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conversion of this Capital Note and for no additional consideration, the number of shares or other securities or property (including, without limitation, cash) of the Company, or of the successor corporation resulting from such merger or consolidation or sale, to which a holder of the number of Ordinary Shares issuable upon conversion of this Capital Note would have been entitled on such capital reorganization, merger, consolidation or sale.</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7.6. OTHER TRANSACTIONS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Conversion Shares or by procuring that the Holder shall be entitled, on terms economically proportionate to those provided to its shareholders, to acquire additional shares of the spun-off or split-off entities.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7.7. RIGHTS OFFERINGS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If the Company, at any time and from time to time, shall fix a record date for, or shall make a distribution to, its shareholders of rights or warrants to subscribe for or purchase any security (collectively, "RIGHTS"), then, in each such event, the Company will provide the Holder, concurrently with the distribution of the Rights to its shareholders, identical rights, having terms and conditions identical to the Rights (for the avoidance of doubt, exercisable at the same time as the Rights), in such number to which the Holder would be entitled had the Holder converted this Capital Note into Conversion Shares immediately prior to the record date for such distribution, or if no record date shall be fixed, then immediately prior to such distribution , as applicable. Nothing in this clause 7.7 shall require the Company to complete any such distribution of Rights to its shareholders, including following the record date thereof, unless required pursuant to the terms of such distribution and, if such distribution of Rights to its shareholders is not completed in conformity with the terms of such distribution, then the Company shall be entitled not to complete the provision of rights to the Holder pursuant to this clause 7.7 above.</w:t>
      </w:r>
    </w:p>
    <w:p>
      <w:pPr>
        <w:spacing w:after="0" w:line="283"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- 7 -</w:t>
      </w:r>
    </w:p>
    <w:p>
      <w:pPr>
        <w:sectPr>
          <w:pgSz w:w="11900" w:h="16838" w:orient="portrait"/>
          <w:cols w:equalWidth="0" w:num="1">
            <w:col w:w="9879"/>
          </w:cols>
          <w:pgMar w:left="580" w:top="689" w:right="1440" w:bottom="1440" w:gutter="0" w:footer="0" w:header="0"/>
        </w:sectPr>
      </w:pPr>
    </w:p>
    <w:bookmarkStart w:id="215" w:name="page216"/>
    <w:bookmarkEnd w:id="215"/>
    <w:p>
      <w:pPr>
        <w:spacing w:after="0"/>
        <w:rPr>
          <w:sz w:val="20"/>
          <w:szCs w:val="20"/>
          <w:color w:val="auto"/>
        </w:rPr>
      </w:pPr>
      <w:r>
        <w:rPr>
          <w:rFonts w:ascii="Courier New" w:cs="Courier New" w:eastAsia="Courier New" w:hAnsi="Courier New"/>
          <w:sz w:val="12"/>
          <w:szCs w:val="12"/>
          <w:color w:val="auto"/>
        </w:rPr>
        <w:t>7.8. ADJUSTMENT FOR CASH DIVIDENDS AND DISTRIBUTIONS</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In the event the Company, at any time or from time to time until September 28, 2021, makes or fixes a record date for the determination of holders of Ordinary Shares entitled to receive a cash dividend or distribution, then and in each such event, the number of Ordinary Shares issuable upon conversion of this Capital Note shall be adjusted (for the avoidance of doubt, never decreased but either shall remain the same or increased), as of the close of business on such record date, by multiplying the number of Ordinary Shares issuable upon conversion of this Capital Note by a fraction: (i) the numerator of which shall be the closing price per share of the Ordinary Shares on the TASE on the determining date ("HAYOM HAKOVAYA") for such dividend or distribution; and (ii) the denominator of which shall be the adjusted "ex-dividend" price of the Ordinary Shares as such prices set out in (i) and (ii) are determined in each case by the TASE in accordance with its rules.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7.9. GENERAL PROTECTION</w:t>
      </w:r>
    </w:p>
    <w:p>
      <w:pPr>
        <w:spacing w:after="0" w:line="147" w:lineRule="exact"/>
        <w:rPr>
          <w:sz w:val="20"/>
          <w:szCs w:val="20"/>
          <w:color w:val="auto"/>
        </w:rPr>
      </w:pPr>
    </w:p>
    <w:p>
      <w:pPr>
        <w:ind w:left="380" w:right="4359"/>
        <w:spacing w:after="0" w:line="250" w:lineRule="auto"/>
        <w:rPr>
          <w:sz w:val="20"/>
          <w:szCs w:val="20"/>
          <w:color w:val="auto"/>
        </w:rPr>
      </w:pPr>
      <w:r>
        <w:rPr>
          <w:rFonts w:ascii="Courier New" w:cs="Courier New" w:eastAsia="Courier New" w:hAnsi="Courier New"/>
          <w:sz w:val="12"/>
          <w:szCs w:val="12"/>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 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pacing w:after="0" w:line="200" w:lineRule="exact"/>
        <w:rPr>
          <w:sz w:val="20"/>
          <w:szCs w:val="20"/>
          <w:color w:val="auto"/>
        </w:rPr>
      </w:pPr>
    </w:p>
    <w:p>
      <w:pPr>
        <w:spacing w:after="0" w:line="224"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- 8 -</w:t>
      </w:r>
    </w:p>
    <w:p>
      <w:pPr>
        <w:sectPr>
          <w:pgSz w:w="11900" w:h="16838" w:orient="portrait"/>
          <w:cols w:equalWidth="0" w:num="1">
            <w:col w:w="9879"/>
          </w:cols>
          <w:pgMar w:left="580" w:top="689" w:right="1440" w:bottom="1440" w:gutter="0" w:footer="0" w:header="0"/>
        </w:sectPr>
      </w:pPr>
    </w:p>
    <w:bookmarkStart w:id="216" w:name="page217"/>
    <w:bookmarkEnd w:id="216"/>
    <w:p>
      <w:pPr>
        <w:ind w:left="364"/>
        <w:spacing w:after="0"/>
        <w:rPr>
          <w:sz w:val="20"/>
          <w:szCs w:val="20"/>
          <w:color w:val="auto"/>
        </w:rPr>
      </w:pPr>
      <w:r>
        <w:rPr>
          <w:rFonts w:ascii="Courier New" w:cs="Courier New" w:eastAsia="Courier New" w:hAnsi="Courier New"/>
          <w:sz w:val="12"/>
          <w:szCs w:val="12"/>
          <w:color w:val="auto"/>
        </w:rPr>
        <w:t>7.10. NOTICE OF CAPITAL CHANGES</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If at any time the Company shall declare any dividend or distribution of any kind, or offer for subscription pro rata to the holders of Ordinary Shares any additional shares of any class, other rights or any security of any kind, or there shall be any capital reorganization or reclassification of the capital shares of the Company, or consolidation or merger of the Company with, or sale of all or substantially all of its assets to another company or there shall be a voluntary or involuntary dissolution, liquidation or winding-up of the Company, or other transaction described in this clause 7, then, in any one or more of the said cases, the Company shall give the Holder prior written notice, by registered or certified mail, postage prepaid, of the date on which: (i) a record shall be taken for such dividend, distribution or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dividend or distribution, subscription rights, or shall be entitled to exchange their Ordinary Shares for securities or other property deliverable upon such reorganization, reclassification, consolidation, merger, sale, dissolution, liquidation or winding-up, as the case may be. Such written notice shall be given at least 14 (fourteen) days prior to the action in question and not less than 14 (fourteen) days prior to the record date in respect thereto.</w:t>
      </w:r>
    </w:p>
    <w:p>
      <w:pPr>
        <w:spacing w:after="0" w:line="283"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7.11. ADJUSTMENT OF CONVERSION PRICE</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Upon each adjustment in the number of Ordinary Shares purchasable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hereunder, the Conversion Price shall be proportionately increased or</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decreased, as the case may be, in a manner that is the inverse of the</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manner in which the number of Ordinary Shares purchasable hereunder</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shall be adjusted.</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7.12. NOTICE OF ADJUSTMENTS</w:t>
      </w:r>
    </w:p>
    <w:p>
      <w:pPr>
        <w:spacing w:after="0" w:line="147" w:lineRule="exact"/>
        <w:rPr>
          <w:sz w:val="20"/>
          <w:szCs w:val="20"/>
          <w:color w:val="auto"/>
        </w:rPr>
      </w:pPr>
    </w:p>
    <w:p>
      <w:pPr>
        <w:ind w:left="744" w:right="4359"/>
        <w:spacing w:after="0" w:line="250" w:lineRule="auto"/>
        <w:rPr>
          <w:sz w:val="20"/>
          <w:szCs w:val="20"/>
          <w:color w:val="auto"/>
        </w:rPr>
      </w:pPr>
      <w:r>
        <w:rPr>
          <w:rFonts w:ascii="Courier New" w:cs="Courier New" w:eastAsia="Courier New" w:hAnsi="Courier New"/>
          <w:sz w:val="12"/>
          <w:szCs w:val="12"/>
          <w:color w:val="auto"/>
        </w:rPr>
        <w:t>Whenever the Conversion Price or the number of Ordinary Shares issuable upon conversion of this Capital Note shall be adjusted pursuant to this clause 7, the Company shall prepare a certificate signed by the chief financial officer of the Company setting forth, in reasonable detail, the event requiring the adjustment, the amount of the adjustment, the method by which such adjustment was calculated, and the Conversion Price and the number of Conversion Shares issuable upon conversion of this Capital Note after giving effect to such adjustment, and shall cause copies of such certificate to be mailed (by first class mail, postage prepaid) to the Holder.</w:t>
      </w:r>
    </w:p>
    <w:p>
      <w:pPr>
        <w:spacing w:after="0" w:line="141" w:lineRule="exact"/>
        <w:rPr>
          <w:sz w:val="20"/>
          <w:szCs w:val="20"/>
          <w:color w:val="auto"/>
        </w:rPr>
      </w:pPr>
    </w:p>
    <w:p>
      <w:pPr>
        <w:ind w:left="364" w:hanging="364"/>
        <w:spacing w:after="0"/>
        <w:tabs>
          <w:tab w:leader="none" w:pos="364" w:val="left"/>
        </w:tabs>
        <w:numPr>
          <w:ilvl w:val="0"/>
          <w:numId w:val="2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TRANSACTIONS</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that the Company or its shareholders receive an offer to transfer all or substantially all of the shares in the Company, or to effect a merger or acquisition or sale of all or substantially all of the assets of the Company, then the Company shall promptly inform the Holder in writing of such offer.</w:t>
      </w:r>
    </w:p>
    <w:p>
      <w:pPr>
        <w:spacing w:after="0" w:line="283"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2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9 -</w:t>
      </w:r>
    </w:p>
    <w:p>
      <w:pPr>
        <w:sectPr>
          <w:pgSz w:w="11900" w:h="16838" w:orient="portrait"/>
          <w:cols w:equalWidth="0" w:num="1">
            <w:col w:w="10244"/>
          </w:cols>
          <w:pgMar w:left="216" w:top="689" w:right="1440" w:bottom="1440" w:gutter="0" w:footer="0" w:header="0"/>
        </w:sectPr>
      </w:pPr>
    </w:p>
    <w:bookmarkStart w:id="217" w:name="page218"/>
    <w:bookmarkEnd w:id="217"/>
    <w:p>
      <w:pPr>
        <w:ind w:left="364" w:hanging="364"/>
        <w:spacing w:after="0"/>
        <w:tabs>
          <w:tab w:leader="none" w:pos="364" w:val="left"/>
        </w:tabs>
        <w:numPr>
          <w:ilvl w:val="0"/>
          <w:numId w:val="2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TRANSFER OF THIS CAPITAL NOTE BY THE HOLDER</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Capital Note shall be freely transferable or assignable by the Holder in whole or in part, at any time and from time to time, subject to the provisions of this clause 9. With respect to any transfer of this Capital Note, in whole or in part, the Holder shall surrender the Capital Note, together with a written request to transfer all or a portion of the Principal Amount of this Capital Note to the transferee, as well as, if reasonably requested by the Company, a written opinion of such Holder's counsel, to the effect that such offer, sale or other distribution may be effected without registration under the Securities Act. Upon surrender of such Capital Note (and delivery of such opinion, if so requested) by the Holder, the Company shall immediately register such transferee as the Holder of this Capital Note, or the portion thereof, transferred to such transferee, such registration shall be deemed to have been made immediately prior to the close of business on the date of such surrender and delivery (if applicable), and such transferee or transferees shall be treated for all purposes as the record holder or holders as of such date of a Capital Note in that portion of the Principal Amount of this Capital Note so transferred. The Company shall, as promptly as practicable, deliver to the Holder one or more Capital Notes, of like tenor as this Capital Note, except that the Principal Amount thereof shall be the amount transferred to such transferee, for delivery to the transferee or transferees (or, if the Holder requests, deliver such Capital Note directly to such transferee or transferees) and shall, if only a portion of the Principal Amount of this Capital Note is being transferred, concurrently deliver to the Holder one or more replacement Capital Notes to represent the portion of the Principal Amount of this Capital Note not so transferred. For the avoidance of doubt, the Company confirms that no approval by the Board of Directors of the Company of any transfer of this Capital Note or the Conversion Shares is required.</w:t>
      </w:r>
    </w:p>
    <w:p>
      <w:pPr>
        <w:spacing w:after="0" w:line="282"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2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WARRANTIES AND COVENANTS</w:t>
      </w:r>
    </w:p>
    <w:p>
      <w:pPr>
        <w:spacing w:after="0" w:line="147" w:lineRule="exact"/>
        <w:rPr>
          <w:rFonts w:ascii="Courier New" w:cs="Courier New" w:eastAsia="Courier New" w:hAnsi="Courier New"/>
          <w:sz w:val="12"/>
          <w:szCs w:val="12"/>
          <w:color w:val="auto"/>
        </w:rPr>
      </w:pPr>
    </w:p>
    <w:p>
      <w:pPr>
        <w:ind w:left="364"/>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represents, warrants and covenants to the Holder as follows:</w:t>
      </w:r>
    </w:p>
    <w:p>
      <w:pPr>
        <w:spacing w:after="0" w:line="147" w:lineRule="exact"/>
        <w:rPr>
          <w:rFonts w:ascii="Courier New" w:cs="Courier New" w:eastAsia="Courier New" w:hAnsi="Courier New"/>
          <w:sz w:val="12"/>
          <w:szCs w:val="12"/>
          <w:color w:val="auto"/>
        </w:rPr>
      </w:pPr>
    </w:p>
    <w:p>
      <w:pPr>
        <w:ind w:left="744" w:right="4879" w:hanging="368"/>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10.1. this Capital Note has been duly authorized and executed by the Company and is a valid and binding obligation of the Company enforceable in accordance with its terms;</w:t>
      </w:r>
    </w:p>
    <w:p>
      <w:pPr>
        <w:spacing w:after="0" w:line="281"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2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10 -</w:t>
      </w:r>
    </w:p>
    <w:p>
      <w:pPr>
        <w:sectPr>
          <w:pgSz w:w="11900" w:h="16838" w:orient="portrait"/>
          <w:cols w:equalWidth="0" w:num="1">
            <w:col w:w="10244"/>
          </w:cols>
          <w:pgMar w:left="216" w:top="689" w:right="1440" w:bottom="1440" w:gutter="0" w:footer="0" w:header="0"/>
        </w:sectPr>
      </w:pPr>
    </w:p>
    <w:bookmarkStart w:id="218" w:name="page219"/>
    <w:bookmarkEnd w:id="218"/>
    <w:p>
      <w:pPr>
        <w:ind w:left="744" w:right="4359" w:hanging="367"/>
        <w:spacing w:after="0" w:line="250" w:lineRule="auto"/>
        <w:rPr>
          <w:sz w:val="20"/>
          <w:szCs w:val="20"/>
          <w:color w:val="auto"/>
        </w:rPr>
      </w:pPr>
      <w:r>
        <w:rPr>
          <w:rFonts w:ascii="Courier New" w:cs="Courier New" w:eastAsia="Courier New" w:hAnsi="Courier New"/>
          <w:sz w:val="12"/>
          <w:szCs w:val="12"/>
          <w:color w:val="auto"/>
        </w:rPr>
        <w:t>10.2. the Conversion Shares are duly authorized and are, and will be, reserved (for the avoidance of doubt, without the need for further corporate action by the Company) for issuance by the Company and, when issued in accordance with the terms hereof, will be validly issued, fully paid and non-assessable and not subject to any pre-emptive rights;</w:t>
      </w:r>
    </w:p>
    <w:p>
      <w:pPr>
        <w:spacing w:after="0" w:line="141" w:lineRule="exact"/>
        <w:rPr>
          <w:sz w:val="20"/>
          <w:szCs w:val="20"/>
          <w:color w:val="auto"/>
        </w:rPr>
      </w:pPr>
    </w:p>
    <w:p>
      <w:pPr>
        <w:ind w:left="744" w:right="4359" w:hanging="367"/>
        <w:spacing w:after="0" w:line="250" w:lineRule="auto"/>
        <w:rPr>
          <w:sz w:val="20"/>
          <w:szCs w:val="20"/>
          <w:color w:val="auto"/>
        </w:rPr>
      </w:pPr>
      <w:r>
        <w:rPr>
          <w:rFonts w:ascii="Courier New" w:cs="Courier New" w:eastAsia="Courier New" w:hAnsi="Courier New"/>
          <w:sz w:val="12"/>
          <w:szCs w:val="12"/>
          <w:color w:val="auto"/>
        </w:rPr>
        <w:t>10.3. the execution and delivery of this Capital Note are not, and the issuance of the Conversion Shares upon conversion of this Capital Note in accordance with the terms hereof will not be, inconsistent with the Company's Certificate of Incorporation, Memorandum of Association or Articles of Association, do not and will not contravene any law, governmental or regulatory rule or regulation, including NASDAQ and TASE rules and regulations, judgment or order applicable to the Company, do not and will not conflict with or contravene any provision of, or constitute a default under, any indenture, mortgage, contract or other instrument of which the Company is a party or by which it is bound or, except for consents that have already been obtained and filings already made, require the consent or approval of, the giving of notice to, the registration with or the taking of any action in respect of or by, any Israeli or foreign governmental authority or agency or other person; and</w:t>
      </w:r>
    </w:p>
    <w:p>
      <w:pPr>
        <w:spacing w:after="0" w:line="141" w:lineRule="exact"/>
        <w:rPr>
          <w:sz w:val="20"/>
          <w:szCs w:val="20"/>
          <w:color w:val="auto"/>
        </w:rPr>
      </w:pPr>
    </w:p>
    <w:p>
      <w:pPr>
        <w:ind w:left="744" w:right="4499" w:hanging="367"/>
        <w:spacing w:after="0" w:line="253" w:lineRule="auto"/>
        <w:rPr>
          <w:sz w:val="20"/>
          <w:szCs w:val="20"/>
          <w:color w:val="auto"/>
        </w:rPr>
      </w:pPr>
      <w:r>
        <w:rPr>
          <w:rFonts w:ascii="Courier New" w:cs="Courier New" w:eastAsia="Courier New" w:hAnsi="Courier New"/>
          <w:sz w:val="12"/>
          <w:szCs w:val="12"/>
          <w:color w:val="auto"/>
        </w:rPr>
        <w:t>10.4. the Conversion Shares have been approved for listing and trading on TASE.</w:t>
      </w:r>
    </w:p>
    <w:p>
      <w:pPr>
        <w:spacing w:after="0" w:line="138" w:lineRule="exact"/>
        <w:rPr>
          <w:sz w:val="20"/>
          <w:szCs w:val="20"/>
          <w:color w:val="auto"/>
        </w:rPr>
      </w:pPr>
    </w:p>
    <w:p>
      <w:pPr>
        <w:ind w:left="364" w:hanging="364"/>
        <w:spacing w:after="0"/>
        <w:tabs>
          <w:tab w:leader="none" w:pos="364" w:val="left"/>
        </w:tabs>
        <w:numPr>
          <w:ilvl w:val="0"/>
          <w:numId w:val="2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THEFT, DESTRUCTION OR MUTILATION OF CAPITAL NOTE</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Upon receipt by the Company of evidence reasonably satisfactory to it of the loss, theft, destruction or mutilation of any Capital Note or Conversion Shares certificate, and in case of loss, theft or destruction, of indemnity, or security reasonably satisfactory to it, and upon reimbursement to the Company of all reasonable expenses incidental thereto, and upon surrender and cancellation of such Capital Note or Conversion Shares certificate, if mutilated, the Company will make and deliver a new Capital Note or Conversion Shares certificate of like tenor and dated as of such cancellation, in lieu of such Capital Note or Conversion Shares certificate.</w:t>
      </w:r>
    </w:p>
    <w:p>
      <w:pPr>
        <w:spacing w:after="0" w:line="282"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2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NOTICES</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pacing w:after="0" w:line="283" w:lineRule="exact"/>
        <w:rPr>
          <w:rFonts w:ascii="Courier New" w:cs="Courier New" w:eastAsia="Courier New" w:hAnsi="Courier New"/>
          <w:sz w:val="12"/>
          <w:szCs w:val="12"/>
          <w:color w:val="auto"/>
        </w:rPr>
      </w:pPr>
    </w:p>
    <w:p>
      <w:pPr>
        <w:ind w:left="2864" w:hanging="141"/>
        <w:spacing w:after="0"/>
        <w:tabs>
          <w:tab w:leader="none" w:pos="2864" w:val="left"/>
        </w:tabs>
        <w:numPr>
          <w:ilvl w:val="1"/>
          <w:numId w:val="2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11 -</w:t>
      </w:r>
    </w:p>
    <w:p>
      <w:pPr>
        <w:sectPr>
          <w:pgSz w:w="11900" w:h="16838" w:orient="portrait"/>
          <w:cols w:equalWidth="0" w:num="1">
            <w:col w:w="10244"/>
          </w:cols>
          <w:pgMar w:left="216" w:top="688" w:right="1440" w:bottom="1440" w:gutter="0" w:footer="0" w:header="0"/>
        </w:sectPr>
      </w:pPr>
    </w:p>
    <w:bookmarkStart w:id="219" w:name="page220"/>
    <w:bookmarkEnd w:id="219"/>
    <w:p>
      <w:pPr>
        <w:ind w:left="160"/>
        <w:spacing w:after="0"/>
        <w:rPr>
          <w:sz w:val="20"/>
          <w:szCs w:val="20"/>
          <w:color w:val="auto"/>
        </w:rPr>
      </w:pPr>
      <w:r>
        <w:rPr>
          <w:rFonts w:ascii="Courier New" w:cs="Courier New" w:eastAsia="Courier New" w:hAnsi="Courier New"/>
          <w:sz w:val="12"/>
          <w:szCs w:val="12"/>
          <w:color w:val="auto"/>
        </w:rPr>
        <w:t>If to the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Bank Leumi Le-Israel B.M.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Corporate Division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34 Yehuda Halevi Street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 Aviv, Israel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ATTENTION: MANAGER OF HI-TECH</w:t>
      </w:r>
    </w:p>
    <w:p>
      <w:pPr>
        <w:spacing w:after="0" w:line="6" w:lineRule="exact"/>
        <w:rPr>
          <w:sz w:val="20"/>
          <w:szCs w:val="20"/>
          <w:color w:val="auto"/>
        </w:rPr>
      </w:pPr>
    </w:p>
    <w:p>
      <w:pPr>
        <w:ind w:left="800"/>
        <w:spacing w:after="0"/>
        <w:rPr>
          <w:sz w:val="20"/>
          <w:szCs w:val="20"/>
          <w:color w:val="auto"/>
        </w:rPr>
      </w:pPr>
      <w:r>
        <w:rPr>
          <w:rFonts w:ascii="Courier New" w:cs="Courier New" w:eastAsia="Courier New" w:hAnsi="Courier New"/>
          <w:sz w:val="12"/>
          <w:szCs w:val="12"/>
          <w:color w:val="auto"/>
        </w:rPr>
        <w:t>INDUSTRIES SECTION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(03) 514 9278</w:t>
      </w:r>
    </w:p>
    <w:p>
      <w:pPr>
        <w:spacing w:after="0" w:line="147" w:lineRule="exact"/>
        <w:rPr>
          <w:sz w:val="20"/>
          <w:szCs w:val="20"/>
          <w:color w:val="auto"/>
        </w:rPr>
      </w:pPr>
    </w:p>
    <w:p>
      <w:pPr>
        <w:sectPr>
          <w:pgSz w:w="11900" w:h="16838" w:orient="portrait"/>
          <w:cols w:equalWidth="0" w:num="2">
            <w:col w:w="1640" w:space="720"/>
            <w:col w:w="7519"/>
          </w:cols>
          <w:pgMar w:left="580" w:top="689" w:right="1440" w:bottom="1440" w:gutter="0" w:footer="0" w:header="0"/>
        </w:sectPr>
      </w:pPr>
    </w:p>
    <w:p>
      <w:pPr>
        <w:ind w:left="160" w:right="100"/>
        <w:spacing w:after="0" w:line="251" w:lineRule="auto"/>
        <w:rPr>
          <w:sz w:val="20"/>
          <w:szCs w:val="20"/>
          <w:color w:val="auto"/>
        </w:rPr>
      </w:pPr>
      <w:r>
        <w:rPr>
          <w:rFonts w:ascii="Courier New" w:cs="Courier New" w:eastAsia="Courier New" w:hAnsi="Courier New"/>
          <w:sz w:val="12"/>
          <w:szCs w:val="12"/>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Leumi and Co. Investment House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25 Kalisher Street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Tel-Aviv 65165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Israel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ATTENTION: HEAD OF INVESTMENT SECTOR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(03) 5141 215</w:t>
      </w:r>
    </w:p>
    <w:p>
      <w:pPr>
        <w:spacing w:after="0" w:line="147" w:lineRule="exact"/>
        <w:rPr>
          <w:sz w:val="20"/>
          <w:szCs w:val="20"/>
          <w:color w:val="auto"/>
        </w:rPr>
      </w:pPr>
    </w:p>
    <w:p>
      <w:pPr>
        <w:sectPr>
          <w:pgSz w:w="11900" w:h="16838" w:orient="portrait"/>
          <w:cols w:equalWidth="0" w:num="2">
            <w:col w:w="1640" w:space="720"/>
            <w:col w:w="7519"/>
          </w:cols>
          <w:pgMar w:left="580" w:top="689" w:right="1440" w:bottom="1440" w:gutter="0" w:footer="0" w:header="0"/>
          <w:type w:val="continuous"/>
        </w:sectPr>
      </w:pPr>
    </w:p>
    <w:p>
      <w:pPr>
        <w:ind w:left="160"/>
        <w:spacing w:after="0"/>
        <w:rPr>
          <w:sz w:val="20"/>
          <w:szCs w:val="20"/>
          <w:color w:val="auto"/>
        </w:rPr>
      </w:pPr>
      <w:r>
        <w:rPr>
          <w:rFonts w:ascii="Courier New" w:cs="Courier New" w:eastAsia="Courier New" w:hAnsi="Courier New"/>
          <w:sz w:val="12"/>
          <w:szCs w:val="12"/>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Tower Semiconductor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P.O. Box 619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Ramat Gabriel Industrial Zone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Migdal Haemek 23105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ATTENTION: OREN SHIRAZI, ACTING</w:t>
      </w:r>
    </w:p>
    <w:p>
      <w:pPr>
        <w:spacing w:after="0" w:line="6" w:lineRule="exact"/>
        <w:rPr>
          <w:sz w:val="20"/>
          <w:szCs w:val="20"/>
          <w:color w:val="auto"/>
        </w:rPr>
      </w:pPr>
    </w:p>
    <w:p>
      <w:pPr>
        <w:ind w:left="800"/>
        <w:spacing w:after="0"/>
        <w:rPr>
          <w:sz w:val="20"/>
          <w:szCs w:val="20"/>
          <w:color w:val="auto"/>
        </w:rPr>
      </w:pPr>
      <w:r>
        <w:rPr>
          <w:rFonts w:ascii="Courier New" w:cs="Courier New" w:eastAsia="Courier New" w:hAnsi="Courier New"/>
          <w:sz w:val="12"/>
          <w:szCs w:val="12"/>
          <w:color w:val="auto"/>
        </w:rPr>
        <w:t>CHIEF FINANCIAL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(04) 604 7242</w:t>
      </w:r>
    </w:p>
    <w:p>
      <w:pPr>
        <w:spacing w:after="0" w:line="147" w:lineRule="exact"/>
        <w:rPr>
          <w:sz w:val="20"/>
          <w:szCs w:val="20"/>
          <w:color w:val="auto"/>
        </w:rPr>
      </w:pPr>
    </w:p>
    <w:p>
      <w:pPr>
        <w:sectPr>
          <w:pgSz w:w="11900" w:h="16838" w:orient="portrait"/>
          <w:cols w:equalWidth="0" w:num="2">
            <w:col w:w="1640" w:space="720"/>
            <w:col w:w="7519"/>
          </w:cols>
          <w:pgMar w:left="580" w:top="689" w:right="1440" w:bottom="1440" w:gutter="0" w:footer="0" w:header="0"/>
          <w:type w:val="continuous"/>
        </w:sectPr>
      </w:pPr>
    </w:p>
    <w:p>
      <w:pPr>
        <w:ind w:left="160"/>
        <w:spacing w:after="0"/>
        <w:rPr>
          <w:sz w:val="20"/>
          <w:szCs w:val="20"/>
          <w:color w:val="auto"/>
        </w:rPr>
      </w:pPr>
      <w:r>
        <w:rPr>
          <w:rFonts w:ascii="Courier New" w:cs="Courier New" w:eastAsia="Courier New" w:hAnsi="Courier New"/>
          <w:sz w:val="12"/>
          <w:szCs w:val="12"/>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Yigal Arnon &amp;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 Azrieli Center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 Aviv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Israel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ATTENTION: DAVID H. SCHAPIRO, ADV./</w:t>
      </w:r>
    </w:p>
    <w:p>
      <w:pPr>
        <w:spacing w:after="0" w:line="6" w:lineRule="exact"/>
        <w:rPr>
          <w:sz w:val="20"/>
          <w:szCs w:val="20"/>
          <w:color w:val="auto"/>
        </w:rPr>
      </w:pPr>
    </w:p>
    <w:p>
      <w:pPr>
        <w:ind w:left="800"/>
        <w:spacing w:after="0"/>
        <w:rPr>
          <w:sz w:val="20"/>
          <w:szCs w:val="20"/>
          <w:color w:val="auto"/>
        </w:rPr>
      </w:pPr>
      <w:r>
        <w:rPr>
          <w:rFonts w:ascii="Courier New" w:cs="Courier New" w:eastAsia="Courier New" w:hAnsi="Courier New"/>
          <w:sz w:val="12"/>
          <w:szCs w:val="12"/>
          <w:color w:val="auto"/>
        </w:rPr>
        <w:t>ARI FRIED, ADV.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(03) 608 7714</w:t>
      </w:r>
    </w:p>
    <w:p>
      <w:pPr>
        <w:spacing w:after="0" w:line="147" w:lineRule="exact"/>
        <w:rPr>
          <w:sz w:val="20"/>
          <w:szCs w:val="20"/>
          <w:color w:val="auto"/>
        </w:rPr>
      </w:pPr>
    </w:p>
    <w:p>
      <w:pPr>
        <w:sectPr>
          <w:pgSz w:w="11900" w:h="16838" w:orient="portrait"/>
          <w:cols w:equalWidth="0" w:num="2">
            <w:col w:w="1640" w:space="720"/>
            <w:col w:w="7519"/>
          </w:cols>
          <w:pgMar w:left="580" w:top="689" w:right="1440" w:bottom="1440" w:gutter="0" w:footer="0" w:header="0"/>
          <w:type w:val="continuous"/>
        </w:sectPr>
      </w:pPr>
    </w:p>
    <w:p>
      <w:pPr>
        <w:ind w:right="4419"/>
        <w:spacing w:after="0" w:line="249" w:lineRule="auto"/>
        <w:rPr>
          <w:sz w:val="20"/>
          <w:szCs w:val="20"/>
          <w:color w:val="auto"/>
        </w:rPr>
      </w:pPr>
      <w:r>
        <w:rPr>
          <w:rFonts w:ascii="Courier New" w:cs="Courier New" w:eastAsia="Courier New" w:hAnsi="Courier New"/>
          <w:sz w:val="12"/>
          <w:szCs w:val="12"/>
          <w:color w:val="auto"/>
        </w:rPr>
        <w:t>or such other address with respect to a party as such party shall notify each other party in writing as above provided. Any notice sent in accordance with this clause 12 shall be effective: (a) if mailed, 5 (five) business days after mailing; (b) if sent by messenger, upon delivery; and</w:t>
      </w:r>
    </w:p>
    <w:p>
      <w:pPr>
        <w:spacing w:after="0" w:line="2" w:lineRule="exact"/>
        <w:rPr>
          <w:sz w:val="20"/>
          <w:szCs w:val="20"/>
          <w:color w:val="auto"/>
        </w:rPr>
      </w:pPr>
    </w:p>
    <w:p>
      <w:pPr>
        <w:ind w:right="4419" w:firstLine="4"/>
        <w:spacing w:after="0" w:line="253" w:lineRule="auto"/>
        <w:tabs>
          <w:tab w:leader="none" w:pos="294" w:val="left"/>
        </w:tabs>
        <w:numPr>
          <w:ilvl w:val="0"/>
          <w:numId w:val="2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sent via facsimile, 1 (one) business day following transmission and electronic confirmation of receipt.</w:t>
      </w:r>
    </w:p>
    <w:p>
      <w:pPr>
        <w:spacing w:after="0" w:line="279" w:lineRule="exact"/>
        <w:rPr>
          <w:rFonts w:ascii="Courier New" w:cs="Courier New" w:eastAsia="Courier New" w:hAnsi="Courier New"/>
          <w:sz w:val="12"/>
          <w:szCs w:val="12"/>
          <w:color w:val="auto"/>
        </w:rPr>
      </w:pPr>
    </w:p>
    <w:p>
      <w:pPr>
        <w:ind w:left="2500" w:hanging="141"/>
        <w:spacing w:after="0"/>
        <w:tabs>
          <w:tab w:leader="none" w:pos="2500" w:val="left"/>
        </w:tabs>
        <w:numPr>
          <w:ilvl w:val="1"/>
          <w:numId w:val="2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12 -</w:t>
      </w:r>
    </w:p>
    <w:p>
      <w:pPr>
        <w:sectPr>
          <w:pgSz w:w="11900" w:h="16838" w:orient="portrait"/>
          <w:cols w:equalWidth="0" w:num="1">
            <w:col w:w="9879"/>
          </w:cols>
          <w:pgMar w:left="580" w:top="689" w:right="1440" w:bottom="1440" w:gutter="0" w:footer="0" w:header="0"/>
          <w:type w:val="continuous"/>
        </w:sectPr>
      </w:pPr>
    </w:p>
    <w:bookmarkStart w:id="220" w:name="page221"/>
    <w:bookmarkEnd w:id="220"/>
    <w:p>
      <w:pPr>
        <w:ind w:left="364" w:hanging="364"/>
        <w:spacing w:after="0"/>
        <w:tabs>
          <w:tab w:leader="none" w:pos="364" w:val="left"/>
        </w:tabs>
        <w:numPr>
          <w:ilvl w:val="0"/>
          <w:numId w:val="2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APPLICABLE LAW; JURISDICTION</w:t>
      </w:r>
    </w:p>
    <w:p>
      <w:pPr>
        <w:spacing w:after="0" w:line="147" w:lineRule="exact"/>
        <w:rPr>
          <w:rFonts w:ascii="Courier New" w:cs="Courier New" w:eastAsia="Courier New" w:hAnsi="Courier New"/>
          <w:sz w:val="12"/>
          <w:szCs w:val="12"/>
          <w:color w:val="auto"/>
        </w:rPr>
      </w:pPr>
    </w:p>
    <w:p>
      <w:pPr>
        <w:ind w:left="364"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Capital Note shall be governed by and construed in accordance with the laws of the State of Israel as applicable to contracts between two residents of the State of Israel entered into and to be performed entirely within the State of Israel. Any dispute arising under or in relation to this Capital Note shall be resolved in the competent court for Tel Aviv-Jaffa district, and the Company and the Holder hereby submits irrevocably to the jurisdiction of such court.</w:t>
      </w:r>
    </w:p>
    <w:p>
      <w:pPr>
        <w:spacing w:after="0" w:line="141"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Dated: September 28, 2006</w:t>
      </w:r>
    </w:p>
    <w:p>
      <w:pPr>
        <w:sectPr>
          <w:pgSz w:w="11900" w:h="16838" w:orient="portrait"/>
          <w:cols w:equalWidth="0" w:num="1">
            <w:col w:w="10244"/>
          </w:cols>
          <w:pgMar w:left="216" w:top="689" w:right="1440" w:bottom="1440" w:gutter="0" w:footer="0" w:header="0"/>
        </w:sectPr>
      </w:pPr>
    </w:p>
    <w:p>
      <w:pPr>
        <w:spacing w:after="0" w:line="147"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for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TOWER SEMICONDUCTOR LTD.</w:t>
      </w:r>
    </w:p>
    <w:p>
      <w:pPr>
        <w:spacing w:after="0" w:line="147" w:lineRule="exact"/>
        <w:rPr>
          <w:sz w:val="20"/>
          <w:szCs w:val="20"/>
          <w:color w:val="auto"/>
        </w:rPr>
      </w:pPr>
    </w:p>
    <w:p>
      <w:pPr>
        <w:sectPr>
          <w:pgSz w:w="11900" w:h="16838" w:orient="portrait"/>
          <w:cols w:equalWidth="0" w:num="2">
            <w:col w:w="224" w:space="300"/>
            <w:col w:w="9719"/>
          </w:cols>
          <w:pgMar w:left="216" w:top="689" w:right="1440" w:bottom="144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__________________________</w:t>
      </w:r>
    </w:p>
    <w:p>
      <w:pPr>
        <w:spacing w:after="0" w:line="147" w:lineRule="exact"/>
        <w:rPr>
          <w:sz w:val="20"/>
          <w:szCs w:val="20"/>
          <w:color w:val="auto"/>
        </w:rPr>
      </w:pPr>
    </w:p>
    <w:p>
      <w:pPr>
        <w:sectPr>
          <w:pgSz w:w="11900" w:h="16838" w:orient="portrait"/>
          <w:cols w:equalWidth="0" w:num="2">
            <w:col w:w="224" w:space="300"/>
            <w:col w:w="9719"/>
          </w:cols>
          <w:pgMar w:left="216" w:top="689" w:right="1440" w:bottom="144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Title: __________________________</w:t>
      </w:r>
    </w:p>
    <w:p>
      <w:pPr>
        <w:sectPr>
          <w:pgSz w:w="11900" w:h="16838" w:orient="portrait"/>
          <w:cols w:equalWidth="0" w:num="1">
            <w:col w:w="10244"/>
          </w:cols>
          <w:pgMar w:left="216" w:top="689" w:right="1440" w:bottom="1440" w:gutter="0" w:footer="0" w:header="0"/>
          <w:type w:val="continuous"/>
        </w:sectPr>
      </w:pP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- 13 -</w:t>
      </w:r>
    </w:p>
    <w:p>
      <w:pPr>
        <w:sectPr>
          <w:pgSz w:w="11900" w:h="16838" w:orient="portrait"/>
          <w:cols w:equalWidth="0" w:num="1">
            <w:col w:w="10244"/>
          </w:cols>
          <w:pgMar w:left="216" w:top="689" w:right="1440" w:bottom="1440" w:gutter="0" w:footer="0" w:header="0"/>
          <w:type w:val="continuous"/>
        </w:sectPr>
      </w:pPr>
    </w:p>
    <w:bookmarkStart w:id="221" w:name="page222"/>
    <w:bookmarkEnd w:id="221"/>
    <w:p>
      <w:pPr>
        <w:jc w:val="right"/>
        <w:ind w:right="4359"/>
        <w:spacing w:after="0"/>
        <w:rPr>
          <w:sz w:val="20"/>
          <w:szCs w:val="20"/>
          <w:color w:val="auto"/>
        </w:rPr>
      </w:pPr>
      <w:r>
        <w:rPr>
          <w:rFonts w:ascii="Courier New" w:cs="Courier New" w:eastAsia="Courier New" w:hAnsi="Courier New"/>
          <w:sz w:val="12"/>
          <w:szCs w:val="12"/>
          <w:color w:val="auto"/>
        </w:rPr>
        <w:t>EXHIBIT 99.14</w:t>
      </w:r>
    </w:p>
    <w:p>
      <w:pPr>
        <w:spacing w:after="0" w:line="147" w:lineRule="exact"/>
        <w:rPr>
          <w:sz w:val="20"/>
          <w:szCs w:val="20"/>
          <w:color w:val="auto"/>
        </w:rPr>
      </w:pPr>
    </w:p>
    <w:p>
      <w:pPr>
        <w:ind w:left="2424"/>
        <w:spacing w:after="0"/>
        <w:rPr>
          <w:sz w:val="20"/>
          <w:szCs w:val="20"/>
          <w:color w:val="auto"/>
        </w:rPr>
      </w:pPr>
      <w:r>
        <w:rPr>
          <w:rFonts w:ascii="Courier New" w:cs="Courier New" w:eastAsia="Courier New" w:hAnsi="Courier New"/>
          <w:sz w:val="12"/>
          <w:szCs w:val="12"/>
          <w:color w:val="auto"/>
        </w:rPr>
        <w:t>FIRST AMENDMENT</w:t>
      </w:r>
    </w:p>
    <w:p>
      <w:pPr>
        <w:spacing w:after="0" w:line="6" w:lineRule="exact"/>
        <w:rPr>
          <w:sz w:val="20"/>
          <w:szCs w:val="20"/>
          <w:color w:val="auto"/>
        </w:rPr>
      </w:pPr>
    </w:p>
    <w:p>
      <w:pPr>
        <w:ind w:left="2804"/>
        <w:spacing w:after="0"/>
        <w:rPr>
          <w:sz w:val="20"/>
          <w:szCs w:val="20"/>
          <w:color w:val="auto"/>
        </w:rPr>
      </w:pPr>
      <w:r>
        <w:rPr>
          <w:rFonts w:ascii="Courier New" w:cs="Courier New" w:eastAsia="Courier New" w:hAnsi="Courier New"/>
          <w:sz w:val="12"/>
          <w:szCs w:val="12"/>
          <w:color w:val="auto"/>
        </w:rPr>
        <w:t>TO A</w:t>
      </w:r>
    </w:p>
    <w:p>
      <w:pPr>
        <w:spacing w:after="0" w:line="6" w:lineRule="exact"/>
        <w:rPr>
          <w:sz w:val="20"/>
          <w:szCs w:val="20"/>
          <w:color w:val="auto"/>
        </w:rPr>
      </w:pPr>
    </w:p>
    <w:p>
      <w:pPr>
        <w:ind w:left="2364"/>
        <w:spacing w:after="0"/>
        <w:rPr>
          <w:sz w:val="20"/>
          <w:szCs w:val="20"/>
          <w:color w:val="auto"/>
        </w:rPr>
      </w:pPr>
      <w:r>
        <w:rPr>
          <w:rFonts w:ascii="Courier New" w:cs="Courier New" w:eastAsia="Courier New" w:hAnsi="Courier New"/>
          <w:sz w:val="12"/>
          <w:szCs w:val="12"/>
          <w:color w:val="auto"/>
        </w:rPr>
        <w:t>WARRANT ISSUED ON</w:t>
      </w:r>
    </w:p>
    <w:p>
      <w:pPr>
        <w:spacing w:after="0" w:line="6" w:lineRule="exact"/>
        <w:rPr>
          <w:sz w:val="20"/>
          <w:szCs w:val="20"/>
          <w:color w:val="auto"/>
        </w:rPr>
      </w:pPr>
    </w:p>
    <w:p>
      <w:pPr>
        <w:ind w:left="2364"/>
        <w:spacing w:after="0"/>
        <w:rPr>
          <w:sz w:val="20"/>
          <w:szCs w:val="20"/>
          <w:color w:val="auto"/>
        </w:rPr>
      </w:pPr>
      <w:r>
        <w:rPr>
          <w:rFonts w:ascii="Courier New" w:cs="Courier New" w:eastAsia="Courier New" w:hAnsi="Courier New"/>
          <w:sz w:val="12"/>
          <w:szCs w:val="12"/>
          <w:color w:val="auto"/>
        </w:rPr>
        <w:t>DECEMBER 11, 2003</w:t>
      </w:r>
    </w:p>
    <w:p>
      <w:pPr>
        <w:spacing w:after="0" w:line="6" w:lineRule="exact"/>
        <w:rPr>
          <w:sz w:val="20"/>
          <w:szCs w:val="20"/>
          <w:color w:val="auto"/>
        </w:rPr>
      </w:pPr>
    </w:p>
    <w:p>
      <w:pPr>
        <w:ind w:left="2364"/>
        <w:spacing w:after="0"/>
        <w:rPr>
          <w:sz w:val="20"/>
          <w:szCs w:val="20"/>
          <w:color w:val="auto"/>
        </w:rPr>
      </w:pPr>
      <w:r>
        <w:rPr>
          <w:rFonts w:ascii="Courier New" w:cs="Courier New" w:eastAsia="Courier New" w:hAnsi="Courier New"/>
          <w:sz w:val="12"/>
          <w:szCs w:val="12"/>
          <w:color w:val="auto"/>
        </w:rPr>
        <w: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THIS FIRST AMENDMENT is made on the 28th day of September, 2006,</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between:</w:t>
      </w:r>
    </w:p>
    <w:p>
      <w:pPr>
        <w:spacing w:after="0" w:line="147" w:lineRule="exact"/>
        <w:rPr>
          <w:sz w:val="20"/>
          <w:szCs w:val="20"/>
          <w:color w:val="auto"/>
        </w:rPr>
      </w:pPr>
    </w:p>
    <w:p>
      <w:pPr>
        <w:ind w:left="1104" w:right="4419" w:hanging="368"/>
        <w:spacing w:after="0" w:line="251" w:lineRule="auto"/>
        <w:tabs>
          <w:tab w:leader="none" w:pos="1104" w:val="left"/>
        </w:tabs>
        <w:numPr>
          <w:ilvl w:val="0"/>
          <w:numId w:val="2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TOWER SEMICONDUCTOR LTD., a company incorporated in Israel (registered number 52-004199-7), having its registered office at P.O. Box 619, Migdal Haemek 23105, Israel ("THE COMPANY");</w:t>
      </w:r>
    </w:p>
    <w:p>
      <w:pPr>
        <w:spacing w:after="0" w:line="140"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AND</w:t>
      </w:r>
    </w:p>
    <w:p>
      <w:pPr>
        <w:spacing w:after="0" w:line="147" w:lineRule="exact"/>
        <w:rPr>
          <w:sz w:val="20"/>
          <w:szCs w:val="20"/>
          <w:color w:val="auto"/>
        </w:rPr>
      </w:pPr>
    </w:p>
    <w:p>
      <w:pPr>
        <w:ind w:left="744"/>
        <w:spacing w:after="0"/>
        <w:tabs>
          <w:tab w:leader="none" w:pos="1084" w:val="left"/>
        </w:tabs>
        <w:rPr>
          <w:sz w:val="20"/>
          <w:szCs w:val="20"/>
          <w:color w:val="auto"/>
        </w:rPr>
      </w:pPr>
      <w:r>
        <w:rPr>
          <w:rFonts w:ascii="Courier New" w:cs="Courier New" w:eastAsia="Courier New" w:hAnsi="Courier New"/>
          <w:sz w:val="12"/>
          <w:szCs w:val="12"/>
          <w:color w:val="auto"/>
        </w:rPr>
        <w:t>(2)</w:t>
        <w:tab/>
        <w:t>TARSHISH HAHZAKOT VEHASHKAOT HAPOALIM LTD. ("THE HOLDER")</w:t>
      </w:r>
    </w:p>
    <w:p>
      <w:pPr>
        <w:spacing w:after="0" w:line="147"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WHEREAS:</w:t>
      </w:r>
    </w:p>
    <w:p>
      <w:pPr>
        <w:spacing w:after="0" w:line="147" w:lineRule="exact"/>
        <w:rPr>
          <w:sz w:val="20"/>
          <w:szCs w:val="20"/>
          <w:color w:val="auto"/>
        </w:rPr>
      </w:pPr>
    </w:p>
    <w:p>
      <w:pPr>
        <w:ind w:left="364" w:right="4419" w:hanging="364"/>
        <w:spacing w:after="0" w:line="251" w:lineRule="auto"/>
        <w:tabs>
          <w:tab w:leader="none" w:pos="364" w:val="left"/>
        </w:tabs>
        <w:numPr>
          <w:ilvl w:val="0"/>
          <w:numId w:val="2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pursuant to a Warrant issued on December 11, 2003 ("THE WARRANT"), the Company granted the Holder the right to purchase 448,298 Warrant Shares at the Warrant Price, which is US $6.17 (six United States Dollars and seventeen cents) per share; and</w:t>
      </w:r>
    </w:p>
    <w:p>
      <w:pPr>
        <w:spacing w:after="0" w:line="139" w:lineRule="exact"/>
        <w:rPr>
          <w:rFonts w:ascii="Courier New" w:cs="Courier New" w:eastAsia="Courier New" w:hAnsi="Courier New"/>
          <w:sz w:val="12"/>
          <w:szCs w:val="12"/>
          <w:color w:val="auto"/>
        </w:rPr>
      </w:pPr>
    </w:p>
    <w:p>
      <w:pPr>
        <w:ind w:left="364" w:right="4419" w:hanging="364"/>
        <w:spacing w:after="0" w:line="251" w:lineRule="auto"/>
        <w:tabs>
          <w:tab w:leader="none" w:pos="364" w:val="left"/>
        </w:tabs>
        <w:numPr>
          <w:ilvl w:val="0"/>
          <w:numId w:val="2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at the request of the Company, the Company and the Banks entered into an Amending Agreement, dated August 24, 2006, to the Agreement, one of the conditions to the effectiveness thereof is the entering into of this First Amendment ("THIS AMENDMENT") to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NOW THEREFORE IT IS AGREED BETWEEN THE PARTIES HERETO AS FOLLOWS:</w:t>
      </w:r>
    </w:p>
    <w:p>
      <w:pPr>
        <w:spacing w:after="0" w:line="147" w:lineRule="exact"/>
        <w:rPr>
          <w:sz w:val="20"/>
          <w:szCs w:val="20"/>
          <w:color w:val="auto"/>
        </w:rPr>
      </w:pPr>
    </w:p>
    <w:p>
      <w:pPr>
        <w:ind w:left="364" w:right="4499" w:hanging="364"/>
        <w:spacing w:after="0" w:line="251" w:lineRule="auto"/>
        <w:tabs>
          <w:tab w:leader="none" w:pos="364" w:val="left"/>
        </w:tabs>
        <w:numPr>
          <w:ilvl w:val="0"/>
          <w:numId w:val="2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Unless otherwise defined in this Amendment, terms defined and references contained in the Warrant, shall have the same meaning and construction in this Amendment.</w:t>
      </w:r>
    </w:p>
    <w:p>
      <w:pPr>
        <w:spacing w:after="0" w:line="139"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2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Warrant is hereby amended as follows:</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2.1. The legend at the top of the first page of the Warrant is hereby</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amended to read in its entirety as follows:</w:t>
      </w:r>
    </w:p>
    <w:p>
      <w:pPr>
        <w:spacing w:after="0" w:line="147"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THIS WARRANT HAS NOT BEEN REGISTERED OR QUALIFIED UNDER THE U.S.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SECURITIES ACT OF 1933, AS AMENDED ("THE ACT"), OR ANY U.S. STATE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OR OTHER JURISDICTION'S SECURITIES LAWS. THIS WARRANT, AND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SECURITIES ISSUABLE PURSUANT THERETO, MAY NOT BE SOLD, OFFERED</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FOR SALE OR PLEDGED, HYPOTHECATED OR OTHERWISE TRANSFERRED IN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ABSENCE OF A REGISTRATION STATEMENT IN EFFECT UNDER THE ACT WITH</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RESPECT TO THIS WARRANT OR THE SECURITIES ISSUABLE PURSUANT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THERETO OR AN OPINION OF COUNSEL (REASONABLY SATISFACTORY TO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COMPANY) THAT SUCH REGISTRATION IS NOT REQUIRED OR UNLESS SOLD</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PURSUANT TO RULE 144 OF THE ACT OR ON THE TEL-AVIV STOCK EXCHANGE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IN COMPLIANCE WITH REGULATION S UNDER THE ACT.</w:t>
      </w:r>
    </w:p>
    <w:p>
      <w:pPr>
        <w:spacing w:after="0" w:line="147" w:lineRule="exact"/>
        <w:rPr>
          <w:sz w:val="20"/>
          <w:szCs w:val="20"/>
          <w:color w:val="auto"/>
        </w:rPr>
      </w:pPr>
    </w:p>
    <w:p>
      <w:pPr>
        <w:ind w:left="744" w:right="4359" w:hanging="367"/>
        <w:spacing w:after="0" w:line="251" w:lineRule="auto"/>
        <w:rPr>
          <w:sz w:val="20"/>
          <w:szCs w:val="20"/>
          <w:color w:val="auto"/>
        </w:rPr>
      </w:pPr>
      <w:r>
        <w:rPr>
          <w:rFonts w:ascii="Courier New" w:cs="Courier New" w:eastAsia="Courier New" w:hAnsi="Courier New"/>
          <w:sz w:val="12"/>
          <w:szCs w:val="12"/>
          <w:color w:val="auto"/>
        </w:rPr>
        <w:t>2.2. Clause 2A ("TERM") is hereby amended to delete the words "the date which is 5 (five) years following the Effective Date" before the parenthetical phrase "("THE EXPIRATION DATE")" and substitute therefor the date "September 28, 2011".</w:t>
      </w:r>
    </w:p>
    <w:p>
      <w:pPr>
        <w:spacing w:after="0" w:line="139"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2.3. Clause 6 ("INVESTMENT REPRESENTATION") is hereby amended as follows:</w:t>
      </w:r>
    </w:p>
    <w:p>
      <w:pPr>
        <w:spacing w:after="0" w:line="147" w:lineRule="exact"/>
        <w:rPr>
          <w:sz w:val="20"/>
          <w:szCs w:val="20"/>
          <w:color w:val="auto"/>
        </w:rPr>
      </w:pPr>
    </w:p>
    <w:p>
      <w:pPr>
        <w:ind w:left="1104" w:right="4359" w:hanging="367"/>
        <w:spacing w:after="0" w:line="251" w:lineRule="auto"/>
        <w:rPr>
          <w:sz w:val="20"/>
          <w:szCs w:val="20"/>
          <w:color w:val="auto"/>
        </w:rPr>
      </w:pPr>
      <w:r>
        <w:rPr>
          <w:rFonts w:ascii="Courier New" w:cs="Courier New" w:eastAsia="Courier New" w:hAnsi="Courier New"/>
          <w:sz w:val="12"/>
          <w:szCs w:val="12"/>
          <w:color w:val="auto"/>
        </w:rPr>
        <w:t>2.3.1. to amend the first sentence to read in its entirety as follows: "This Warrant has not been registered under the Securities Act, or any other securities laws.";</w:t>
      </w:r>
    </w:p>
    <w:p>
      <w:pPr>
        <w:spacing w:after="0" w:line="140" w:lineRule="exact"/>
        <w:rPr>
          <w:sz w:val="20"/>
          <w:szCs w:val="20"/>
          <w:color w:val="auto"/>
        </w:rPr>
      </w:pPr>
    </w:p>
    <w:p>
      <w:pPr>
        <w:jc w:val="center"/>
        <w:ind w:right="3695"/>
        <w:spacing w:after="0"/>
        <w:rPr>
          <w:sz w:val="20"/>
          <w:szCs w:val="20"/>
          <w:color w:val="auto"/>
        </w:rPr>
      </w:pPr>
      <w:r>
        <w:rPr>
          <w:rFonts w:ascii="Courier New" w:cs="Courier New" w:eastAsia="Courier New" w:hAnsi="Courier New"/>
          <w:sz w:val="12"/>
          <w:szCs w:val="12"/>
          <w:color w:val="auto"/>
        </w:rPr>
        <w:t>2.3.2. to amend the third sentence thereof to read in its entirety as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follows: "The Warrant Shares have been registered under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Securities Act on Form F-3 Registration Statement No.</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333-131315.".</w:t>
      </w: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- 2 -</w:t>
      </w:r>
    </w:p>
    <w:p>
      <w:pPr>
        <w:sectPr>
          <w:pgSz w:w="11900" w:h="16838" w:orient="portrait"/>
          <w:cols w:equalWidth="0" w:num="1">
            <w:col w:w="10244"/>
          </w:cols>
          <w:pgMar w:left="216" w:top="283" w:right="1440" w:bottom="1440" w:gutter="0" w:footer="0" w:header="0"/>
        </w:sectPr>
      </w:pPr>
    </w:p>
    <w:bookmarkStart w:id="222" w:name="page223"/>
    <w:bookmarkEnd w:id="222"/>
    <w:p>
      <w:pPr>
        <w:ind w:right="4639" w:hanging="367"/>
        <w:spacing w:after="0" w:line="253" w:lineRule="auto"/>
        <w:rPr>
          <w:sz w:val="20"/>
          <w:szCs w:val="20"/>
          <w:color w:val="auto"/>
        </w:rPr>
      </w:pPr>
      <w:r>
        <w:rPr>
          <w:rFonts w:ascii="Courier New" w:cs="Courier New" w:eastAsia="Courier New" w:hAnsi="Courier New"/>
          <w:sz w:val="12"/>
          <w:szCs w:val="12"/>
          <w:color w:val="auto"/>
        </w:rPr>
        <w:t>2.4. Clause 8 ("TRANSFER OF THIS WARRANT OR SHARES ISSUABLE ON EXERCISE THEREOF") is hereby amended:</w:t>
      </w:r>
    </w:p>
    <w:p>
      <w:pPr>
        <w:spacing w:after="0" w:line="138" w:lineRule="exact"/>
        <w:rPr>
          <w:sz w:val="20"/>
          <w:szCs w:val="20"/>
          <w:color w:val="auto"/>
        </w:rPr>
      </w:pPr>
    </w:p>
    <w:p>
      <w:pPr>
        <w:ind w:left="360" w:right="4419" w:hanging="367"/>
        <w:spacing w:after="0" w:line="251" w:lineRule="auto"/>
        <w:rPr>
          <w:sz w:val="20"/>
          <w:szCs w:val="20"/>
          <w:color w:val="auto"/>
        </w:rPr>
      </w:pPr>
      <w:r>
        <w:rPr>
          <w:rFonts w:ascii="Courier New" w:cs="Courier New" w:eastAsia="Courier New" w:hAnsi="Courier New"/>
          <w:sz w:val="12"/>
          <w:szCs w:val="12"/>
          <w:color w:val="auto"/>
        </w:rPr>
        <w:t>2.4.1. to delete the words "or securities into which such Warrant may be exercised" from the first sentence of subclause a thereof thereof; and</w:t>
      </w:r>
    </w:p>
    <w:p>
      <w:pPr>
        <w:spacing w:after="0" w:line="140" w:lineRule="exact"/>
        <w:rPr>
          <w:sz w:val="20"/>
          <w:szCs w:val="20"/>
          <w:color w:val="auto"/>
        </w:rPr>
      </w:pPr>
    </w:p>
    <w:p>
      <w:pPr>
        <w:jc w:val="both"/>
        <w:ind w:left="360" w:right="4359" w:hanging="367"/>
        <w:spacing w:after="0" w:line="251" w:lineRule="auto"/>
        <w:rPr>
          <w:sz w:val="20"/>
          <w:szCs w:val="20"/>
          <w:color w:val="auto"/>
        </w:rPr>
      </w:pPr>
      <w:r>
        <w:rPr>
          <w:rFonts w:ascii="Courier New" w:cs="Courier New" w:eastAsia="Courier New" w:hAnsi="Courier New"/>
          <w:sz w:val="12"/>
          <w:szCs w:val="12"/>
          <w:color w:val="auto"/>
        </w:rPr>
        <w:t>2.4.2. to add the words at the end of the second sentence of subclause a thereof, "or unless sold pursuant to Rule 144 of the Securities Act".</w:t>
      </w:r>
    </w:p>
    <w:p>
      <w:pPr>
        <w:spacing w:after="0" w:line="140" w:lineRule="exact"/>
        <w:rPr>
          <w:sz w:val="20"/>
          <w:szCs w:val="20"/>
          <w:color w:val="auto"/>
        </w:rPr>
      </w:pPr>
    </w:p>
    <w:p>
      <w:pPr>
        <w:ind w:right="4359" w:hanging="367"/>
        <w:spacing w:after="0" w:line="250" w:lineRule="auto"/>
        <w:rPr>
          <w:sz w:val="20"/>
          <w:szCs w:val="20"/>
          <w:color w:val="auto"/>
        </w:rPr>
      </w:pPr>
      <w:r>
        <w:rPr>
          <w:rFonts w:ascii="Courier New" w:cs="Courier New" w:eastAsia="Courier New" w:hAnsi="Courier New"/>
          <w:sz w:val="12"/>
          <w:szCs w:val="12"/>
          <w:color w:val="auto"/>
        </w:rPr>
        <w:t>2.5. Clause 9 (including, for the avoidance of doubt, Clause 9A, 9B and 9C) ("REGISTRATION RIGHTS") is hereby amended to read in its entirety as follows: "The Company covenants and agrees to provide the Holder the registration rights provided in the registration rights agreement, dated September 28, 2006 between the Company and Bank Hapoalim B.M., a copy of which is attached hereto as APPENDIX A, as such may be amended from time to time ("THE REGISTRATION RIGHTS AGREEMENT"). Such registration rights may be assigned by the Holder pursuant to and in accordance with the terms of the Registration Rights Agreement but only to a transferee or assignee of this Warrant pursuant to and in accordance with Section 8 of this Warrant.".</w:t>
      </w:r>
    </w:p>
    <w:p>
      <w:pPr>
        <w:spacing w:after="0" w:line="141" w:lineRule="exact"/>
        <w:rPr>
          <w:sz w:val="20"/>
          <w:szCs w:val="20"/>
          <w:color w:val="auto"/>
        </w:rPr>
      </w:pPr>
    </w:p>
    <w:p>
      <w:pPr>
        <w:ind w:right="4639" w:hanging="367"/>
        <w:spacing w:after="0" w:line="253" w:lineRule="auto"/>
        <w:rPr>
          <w:sz w:val="20"/>
          <w:szCs w:val="20"/>
          <w:color w:val="auto"/>
        </w:rPr>
      </w:pPr>
      <w:r>
        <w:rPr>
          <w:rFonts w:ascii="Courier New" w:cs="Courier New" w:eastAsia="Courier New" w:hAnsi="Courier New"/>
          <w:sz w:val="12"/>
          <w:szCs w:val="12"/>
          <w:color w:val="auto"/>
        </w:rPr>
        <w:t>2.6. Clause 12 ("LOSS, THEFT, DESTRUCTION OR MUTILATION OF WARRANT") is hereby amended by adding the following to the end thereof:</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 provided that if this Warrant has been amended, at the request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of the Holder, the Company shall issue an amended and restated</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Warrant certificate reflecting such amendment or amendments. In</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addition, but without derogating from the aforesaid, if this</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Warrant has been amended, the Holder shall have the right, at the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option of the Holder, at any time and, if applicable, from time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to time, to surrender this Warrant certificate and receive an</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amended and restated Warrant certificate reflecting any such</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amendment or amendments."</w:t>
      </w:r>
    </w:p>
    <w:p>
      <w:pPr>
        <w:spacing w:after="0" w:line="147" w:lineRule="exact"/>
        <w:rPr>
          <w:sz w:val="20"/>
          <w:szCs w:val="20"/>
          <w:color w:val="auto"/>
        </w:rPr>
      </w:pPr>
    </w:p>
    <w:p>
      <w:pPr>
        <w:ind w:right="4359" w:hanging="367"/>
        <w:spacing w:after="0" w:line="250" w:lineRule="auto"/>
        <w:rPr>
          <w:sz w:val="20"/>
          <w:szCs w:val="20"/>
          <w:color w:val="auto"/>
        </w:rPr>
      </w:pPr>
      <w:r>
        <w:rPr>
          <w:rFonts w:ascii="Courier New" w:cs="Courier New" w:eastAsia="Courier New" w:hAnsi="Courier New"/>
          <w:sz w:val="12"/>
          <w:szCs w:val="12"/>
          <w:color w:val="auto"/>
        </w:rPr>
        <w:t>2.7. Clause 11 ("NOTICES") is hereby renumbered as Clause 13 and is hereby further amended to delete the words "Zion Building, 45 Rothschild Boulevard" and substitute "Migdal Levenstein, 23 Menachem Begin Road" therefor, to delete the Facsimile No. "(03) 567-3728" and substitute "(03) 567-2995" therefor, to delete the name "Carmel Vernia" and substitute "Chief Financial Officer" therefor and to delete the Facsimile No. "(04) 654-7788" and substitute "(04) 604-7242" therefor.</w:t>
      </w:r>
    </w:p>
    <w:p>
      <w:pPr>
        <w:spacing w:after="0" w:line="283" w:lineRule="exact"/>
        <w:rPr>
          <w:sz w:val="20"/>
          <w:szCs w:val="20"/>
          <w:color w:val="auto"/>
        </w:rPr>
      </w:pPr>
    </w:p>
    <w:p>
      <w:pPr>
        <w:ind w:left="1980"/>
        <w:spacing w:after="0"/>
        <w:rPr>
          <w:sz w:val="20"/>
          <w:szCs w:val="20"/>
          <w:color w:val="auto"/>
        </w:rPr>
      </w:pPr>
      <w:r>
        <w:rPr>
          <w:rFonts w:ascii="Courier New" w:cs="Courier New" w:eastAsia="Courier New" w:hAnsi="Courier New"/>
          <w:sz w:val="12"/>
          <w:szCs w:val="12"/>
          <w:color w:val="auto"/>
        </w:rPr>
        <w:t>- 3 -</w:t>
      </w:r>
    </w:p>
    <w:p>
      <w:pPr>
        <w:sectPr>
          <w:pgSz w:w="11900" w:h="16838" w:orient="portrait"/>
          <w:cols w:equalWidth="0" w:num="1">
            <w:col w:w="9499"/>
          </w:cols>
          <w:pgMar w:left="960" w:top="689" w:right="1440" w:bottom="1440" w:gutter="0" w:footer="0" w:header="0"/>
        </w:sectPr>
      </w:pPr>
    </w:p>
    <w:bookmarkStart w:id="223" w:name="page224"/>
    <w:bookmarkEnd w:id="223"/>
    <w:p>
      <w:pPr>
        <w:ind w:left="744" w:right="4639" w:hanging="367"/>
        <w:spacing w:after="0" w:line="253" w:lineRule="auto"/>
        <w:rPr>
          <w:sz w:val="20"/>
          <w:szCs w:val="20"/>
          <w:color w:val="auto"/>
        </w:rPr>
      </w:pPr>
      <w:r>
        <w:rPr>
          <w:rFonts w:ascii="Courier New" w:cs="Courier New" w:eastAsia="Courier New" w:hAnsi="Courier New"/>
          <w:sz w:val="12"/>
          <w:szCs w:val="12"/>
          <w:color w:val="auto"/>
        </w:rPr>
        <w:t>2.8. Clause 12 ("APPLICABLE LAW; JURISDICTION") is hereby renumbered as Clause 14.</w:t>
      </w:r>
    </w:p>
    <w:p>
      <w:pPr>
        <w:spacing w:after="0" w:line="138" w:lineRule="exact"/>
        <w:rPr>
          <w:sz w:val="20"/>
          <w:szCs w:val="20"/>
          <w:color w:val="auto"/>
        </w:rPr>
      </w:pPr>
    </w:p>
    <w:p>
      <w:pPr>
        <w:ind w:left="364" w:right="4359" w:hanging="364"/>
        <w:spacing w:after="0" w:line="251" w:lineRule="auto"/>
        <w:tabs>
          <w:tab w:leader="none" w:pos="364" w:val="left"/>
        </w:tabs>
        <w:numPr>
          <w:ilvl w:val="0"/>
          <w:numId w:val="2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Save as amended expressly pursuant to this Amendment, the provisions of the Warrant shall continue in full force and effect and the Warrant and this Amendment shall be read and construed as one instrument.</w:t>
      </w:r>
    </w:p>
    <w:p>
      <w:pPr>
        <w:spacing w:after="0" w:line="139" w:lineRule="exact"/>
        <w:rPr>
          <w:rFonts w:ascii="Courier New" w:cs="Courier New" w:eastAsia="Courier New" w:hAnsi="Courier New"/>
          <w:sz w:val="12"/>
          <w:szCs w:val="12"/>
          <w:color w:val="auto"/>
        </w:rPr>
      </w:pPr>
    </w:p>
    <w:p>
      <w:pPr>
        <w:ind w:left="364" w:right="4579" w:hanging="364"/>
        <w:spacing w:after="0" w:line="253" w:lineRule="auto"/>
        <w:tabs>
          <w:tab w:leader="none" w:pos="364" w:val="left"/>
        </w:tabs>
        <w:numPr>
          <w:ilvl w:val="0"/>
          <w:numId w:val="2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Amendment shall be governed by and construed in accordance with the laws of the State of Israel.</w:t>
      </w:r>
    </w:p>
    <w:p>
      <w:pPr>
        <w:spacing w:after="0" w:line="138" w:lineRule="exact"/>
        <w:rPr>
          <w:sz w:val="20"/>
          <w:szCs w:val="20"/>
          <w:color w:val="auto"/>
        </w:rPr>
      </w:pPr>
    </w:p>
    <w:p>
      <w:pPr>
        <w:ind w:left="4" w:right="4359"/>
        <w:spacing w:after="0" w:line="253" w:lineRule="auto"/>
        <w:rPr>
          <w:sz w:val="20"/>
          <w:szCs w:val="20"/>
          <w:color w:val="auto"/>
        </w:rPr>
      </w:pPr>
      <w:r>
        <w:rPr>
          <w:rFonts w:ascii="Courier New" w:cs="Courier New" w:eastAsia="Courier New" w:hAnsi="Courier New"/>
          <w:sz w:val="12"/>
          <w:szCs w:val="12"/>
          <w:color w:val="auto"/>
        </w:rPr>
        <w:t>IN WITNESS WHEREOF, THE PARTIES HAVE SIGNED THIS FIRST AMENDMENT ON THE 28TH DAY OF SEPTEMBER 2006.</w:t>
      </w:r>
    </w:p>
    <w:p>
      <w:pPr>
        <w:spacing w:after="0" w:line="138" w:lineRule="exact"/>
        <w:rPr>
          <w:sz w:val="20"/>
          <w:szCs w:val="20"/>
          <w:color w:val="auto"/>
        </w:rPr>
      </w:pPr>
    </w:p>
    <w:p>
      <w:pPr>
        <w:ind w:left="4"/>
        <w:spacing w:after="0"/>
        <w:tabs>
          <w:tab w:leader="none" w:pos="504" w:val="left"/>
        </w:tabs>
        <w:rPr>
          <w:sz w:val="20"/>
          <w:szCs w:val="20"/>
          <w:color w:val="auto"/>
        </w:rPr>
      </w:pPr>
      <w:r>
        <w:rPr>
          <w:rFonts w:ascii="Courier New" w:cs="Courier New" w:eastAsia="Courier New" w:hAnsi="Courier New"/>
          <w:sz w:val="12"/>
          <w:szCs w:val="12"/>
          <w:color w:val="auto"/>
        </w:rPr>
        <w:t>for:</w:t>
        <w:tab/>
        <w:t>TOWER SEMICONDUCTOR LTD.</w:t>
      </w:r>
    </w:p>
    <w:p>
      <w:pPr>
        <w:spacing w:after="0" w:line="147" w:lineRule="exact"/>
        <w:rPr>
          <w:sz w:val="20"/>
          <w:szCs w:val="20"/>
          <w:color w:val="auto"/>
        </w:rPr>
      </w:pPr>
    </w:p>
    <w:p>
      <w:pPr>
        <w:ind w:left="4"/>
        <w:spacing w:after="0"/>
        <w:tabs>
          <w:tab w:leader="none" w:pos="504"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2"/>
          <w:szCs w:val="12"/>
          <w:color w:val="auto"/>
        </w:rPr>
        <w:t>__________________________</w:t>
      </w:r>
    </w:p>
    <w:p>
      <w:pPr>
        <w:spacing w:after="0" w:line="147"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Title: __________________________</w:t>
      </w:r>
    </w:p>
    <w:p>
      <w:pPr>
        <w:spacing w:after="0" w:line="289" w:lineRule="exact"/>
        <w:rPr>
          <w:sz w:val="20"/>
          <w:szCs w:val="20"/>
          <w:color w:val="auto"/>
        </w:rPr>
      </w:pPr>
    </w:p>
    <w:p>
      <w:pPr>
        <w:ind w:left="4"/>
        <w:spacing w:after="0"/>
        <w:tabs>
          <w:tab w:leader="none" w:pos="504" w:val="left"/>
        </w:tabs>
        <w:rPr>
          <w:sz w:val="20"/>
          <w:szCs w:val="20"/>
          <w:color w:val="auto"/>
        </w:rPr>
      </w:pPr>
      <w:r>
        <w:rPr>
          <w:rFonts w:ascii="Courier New" w:cs="Courier New" w:eastAsia="Courier New" w:hAnsi="Courier New"/>
          <w:sz w:val="12"/>
          <w:szCs w:val="12"/>
          <w:color w:val="auto"/>
        </w:rPr>
        <w:t>for:</w:t>
        <w:tab/>
        <w:t>TARSHISH HAHZAKOT VEHASHKAOT HAPOALIM LTD.</w:t>
      </w:r>
    </w:p>
    <w:p>
      <w:pPr>
        <w:spacing w:after="0" w:line="147" w:lineRule="exact"/>
        <w:rPr>
          <w:sz w:val="20"/>
          <w:szCs w:val="20"/>
          <w:color w:val="auto"/>
        </w:rPr>
      </w:pPr>
    </w:p>
    <w:p>
      <w:pPr>
        <w:ind w:left="4"/>
        <w:spacing w:after="0"/>
        <w:tabs>
          <w:tab w:leader="none" w:pos="504"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2"/>
          <w:szCs w:val="12"/>
          <w:color w:val="auto"/>
        </w:rPr>
        <w:t>__________________________</w:t>
      </w:r>
    </w:p>
    <w:p>
      <w:pPr>
        <w:spacing w:after="0" w:line="147"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Title: __________________________</w:t>
      </w: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- 4 -</w:t>
      </w:r>
    </w:p>
    <w:p>
      <w:pPr>
        <w:sectPr>
          <w:pgSz w:w="11900" w:h="16838" w:orient="portrait"/>
          <w:cols w:equalWidth="0" w:num="1">
            <w:col w:w="10244"/>
          </w:cols>
          <w:pgMar w:left="216" w:top="688" w:right="1440" w:bottom="1440" w:gutter="0" w:footer="0" w:header="0"/>
        </w:sectPr>
      </w:pPr>
    </w:p>
    <w:bookmarkStart w:id="224" w:name="page225"/>
    <w:bookmarkEnd w:id="224"/>
    <w:p>
      <w:pPr>
        <w:jc w:val="right"/>
        <w:ind w:right="4359"/>
        <w:spacing w:after="0"/>
        <w:rPr>
          <w:sz w:val="20"/>
          <w:szCs w:val="20"/>
          <w:color w:val="auto"/>
        </w:rPr>
      </w:pPr>
      <w:r>
        <w:rPr>
          <w:rFonts w:ascii="Courier New" w:cs="Courier New" w:eastAsia="Courier New" w:hAnsi="Courier New"/>
          <w:sz w:val="12"/>
          <w:szCs w:val="12"/>
          <w:color w:val="auto"/>
        </w:rPr>
        <w:t>EXHIBIT 99.15</w:t>
      </w:r>
    </w:p>
    <w:p>
      <w:pPr>
        <w:spacing w:after="0" w:line="147" w:lineRule="exact"/>
        <w:rPr>
          <w:sz w:val="20"/>
          <w:szCs w:val="20"/>
          <w:color w:val="auto"/>
        </w:rPr>
      </w:pPr>
    </w:p>
    <w:p>
      <w:pPr>
        <w:ind w:left="2424"/>
        <w:spacing w:after="0"/>
        <w:rPr>
          <w:sz w:val="20"/>
          <w:szCs w:val="20"/>
          <w:color w:val="auto"/>
        </w:rPr>
      </w:pPr>
      <w:r>
        <w:rPr>
          <w:rFonts w:ascii="Courier New" w:cs="Courier New" w:eastAsia="Courier New" w:hAnsi="Courier New"/>
          <w:sz w:val="12"/>
          <w:szCs w:val="12"/>
          <w:color w:val="auto"/>
        </w:rPr>
        <w:t>FIRST AMENDMENT</w:t>
      </w:r>
    </w:p>
    <w:p>
      <w:pPr>
        <w:spacing w:after="0" w:line="6" w:lineRule="exact"/>
        <w:rPr>
          <w:sz w:val="20"/>
          <w:szCs w:val="20"/>
          <w:color w:val="auto"/>
        </w:rPr>
      </w:pPr>
    </w:p>
    <w:p>
      <w:pPr>
        <w:ind w:left="2804"/>
        <w:spacing w:after="0"/>
        <w:rPr>
          <w:sz w:val="20"/>
          <w:szCs w:val="20"/>
          <w:color w:val="auto"/>
        </w:rPr>
      </w:pPr>
      <w:r>
        <w:rPr>
          <w:rFonts w:ascii="Courier New" w:cs="Courier New" w:eastAsia="Courier New" w:hAnsi="Courier New"/>
          <w:sz w:val="12"/>
          <w:szCs w:val="12"/>
          <w:color w:val="auto"/>
        </w:rPr>
        <w:t>TO A</w:t>
      </w:r>
    </w:p>
    <w:p>
      <w:pPr>
        <w:spacing w:after="0" w:line="6" w:lineRule="exact"/>
        <w:rPr>
          <w:sz w:val="20"/>
          <w:szCs w:val="20"/>
          <w:color w:val="auto"/>
        </w:rPr>
      </w:pPr>
    </w:p>
    <w:p>
      <w:pPr>
        <w:ind w:left="2364"/>
        <w:spacing w:after="0"/>
        <w:rPr>
          <w:sz w:val="20"/>
          <w:szCs w:val="20"/>
          <w:color w:val="auto"/>
        </w:rPr>
      </w:pPr>
      <w:r>
        <w:rPr>
          <w:rFonts w:ascii="Courier New" w:cs="Courier New" w:eastAsia="Courier New" w:hAnsi="Courier New"/>
          <w:sz w:val="12"/>
          <w:szCs w:val="12"/>
          <w:color w:val="auto"/>
        </w:rPr>
        <w:t>WARRANT ISSUED ON</w:t>
      </w:r>
    </w:p>
    <w:p>
      <w:pPr>
        <w:spacing w:after="0" w:line="6" w:lineRule="exact"/>
        <w:rPr>
          <w:sz w:val="20"/>
          <w:szCs w:val="20"/>
          <w:color w:val="auto"/>
        </w:rPr>
      </w:pPr>
    </w:p>
    <w:p>
      <w:pPr>
        <w:ind w:left="2364"/>
        <w:spacing w:after="0"/>
        <w:rPr>
          <w:sz w:val="20"/>
          <w:szCs w:val="20"/>
          <w:color w:val="auto"/>
        </w:rPr>
      </w:pPr>
      <w:r>
        <w:rPr>
          <w:rFonts w:ascii="Courier New" w:cs="Courier New" w:eastAsia="Courier New" w:hAnsi="Courier New"/>
          <w:sz w:val="12"/>
          <w:szCs w:val="12"/>
          <w:color w:val="auto"/>
        </w:rPr>
        <w:t>DECEMBER 11, 2003</w:t>
      </w:r>
    </w:p>
    <w:p>
      <w:pPr>
        <w:spacing w:after="0" w:line="6" w:lineRule="exact"/>
        <w:rPr>
          <w:sz w:val="20"/>
          <w:szCs w:val="20"/>
          <w:color w:val="auto"/>
        </w:rPr>
      </w:pPr>
    </w:p>
    <w:p>
      <w:pPr>
        <w:ind w:left="2364"/>
        <w:spacing w:after="0"/>
        <w:rPr>
          <w:sz w:val="20"/>
          <w:szCs w:val="20"/>
          <w:color w:val="auto"/>
        </w:rPr>
      </w:pPr>
      <w:r>
        <w:rPr>
          <w:rFonts w:ascii="Courier New" w:cs="Courier New" w:eastAsia="Courier New" w:hAnsi="Courier New"/>
          <w:sz w:val="12"/>
          <w:szCs w:val="12"/>
          <w:color w:val="auto"/>
        </w:rPr>
        <w: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THIS FIRST AMENDMENT is made on the 28th day of September, 2006,</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between:</w:t>
      </w:r>
    </w:p>
    <w:p>
      <w:pPr>
        <w:spacing w:after="0" w:line="147" w:lineRule="exact"/>
        <w:rPr>
          <w:sz w:val="20"/>
          <w:szCs w:val="20"/>
          <w:color w:val="auto"/>
        </w:rPr>
      </w:pPr>
    </w:p>
    <w:p>
      <w:pPr>
        <w:ind w:left="1104" w:right="4419" w:hanging="368"/>
        <w:spacing w:after="0" w:line="251" w:lineRule="auto"/>
        <w:tabs>
          <w:tab w:leader="none" w:pos="1104" w:val="left"/>
        </w:tabs>
        <w:numPr>
          <w:ilvl w:val="0"/>
          <w:numId w:val="2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TOWER SEMICONDUCTOR LTD., a company incorporated in Israel (registered number 52-004199-7), having its registered office at P.O. Box 619, Migdal Haemek 23105, Israel ("THE COMPANY");</w:t>
      </w:r>
    </w:p>
    <w:p>
      <w:pPr>
        <w:spacing w:after="0" w:line="140"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AND</w:t>
      </w:r>
    </w:p>
    <w:p>
      <w:pPr>
        <w:spacing w:after="0" w:line="147" w:lineRule="exact"/>
        <w:rPr>
          <w:sz w:val="20"/>
          <w:szCs w:val="20"/>
          <w:color w:val="auto"/>
        </w:rPr>
      </w:pPr>
    </w:p>
    <w:p>
      <w:pPr>
        <w:ind w:left="1104" w:hanging="368"/>
        <w:spacing w:after="0"/>
        <w:tabs>
          <w:tab w:leader="none" w:pos="1104" w:val="left"/>
        </w:tabs>
        <w:numPr>
          <w:ilvl w:val="0"/>
          <w:numId w:val="2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 LEUMI LE-ISRAEL B.M. ("THE HOLDER")</w:t>
      </w:r>
    </w:p>
    <w:p>
      <w:pPr>
        <w:spacing w:after="0" w:line="147"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WHEREAS:</w:t>
      </w:r>
    </w:p>
    <w:p>
      <w:pPr>
        <w:spacing w:after="0" w:line="147" w:lineRule="exact"/>
        <w:rPr>
          <w:sz w:val="20"/>
          <w:szCs w:val="20"/>
          <w:color w:val="auto"/>
        </w:rPr>
      </w:pPr>
    </w:p>
    <w:p>
      <w:pPr>
        <w:ind w:left="364" w:right="4419" w:hanging="364"/>
        <w:spacing w:after="0" w:line="251" w:lineRule="auto"/>
        <w:tabs>
          <w:tab w:leader="none" w:pos="364" w:val="left"/>
        </w:tabs>
        <w:numPr>
          <w:ilvl w:val="0"/>
          <w:numId w:val="2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pursuant to a Warrant issued on December 11, 2003 ("THE WARRANT"), the Company granted the Holder the right to purchase 448,298 Warrant Shares at the Warrant Price, which is US $6.17 (six United States Dollars and seventeen cents) per share; and</w:t>
      </w:r>
    </w:p>
    <w:p>
      <w:pPr>
        <w:spacing w:after="0" w:line="139" w:lineRule="exact"/>
        <w:rPr>
          <w:rFonts w:ascii="Courier New" w:cs="Courier New" w:eastAsia="Courier New" w:hAnsi="Courier New"/>
          <w:sz w:val="12"/>
          <w:szCs w:val="12"/>
          <w:color w:val="auto"/>
        </w:rPr>
      </w:pPr>
    </w:p>
    <w:p>
      <w:pPr>
        <w:ind w:left="364" w:right="4419" w:hanging="364"/>
        <w:spacing w:after="0" w:line="251" w:lineRule="auto"/>
        <w:tabs>
          <w:tab w:leader="none" w:pos="364" w:val="left"/>
        </w:tabs>
        <w:numPr>
          <w:ilvl w:val="0"/>
          <w:numId w:val="2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at the request of the Company, the Company and the Banks entered into an Amending Agreement, dated August 24, 2006, to the Agreement, one of the conditions to the effectiveness thereof is the entering into of this First Amendment ("THIS AMENDMENT") to the Warrant,</w:t>
      </w:r>
    </w:p>
    <w:p>
      <w:pPr>
        <w:spacing w:after="0" w:line="139"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NOW THEREFORE IT IS AGREED BETWEEN THE PARTIES HERETO AS FOLLOWS:</w:t>
      </w:r>
    </w:p>
    <w:p>
      <w:pPr>
        <w:spacing w:after="0" w:line="147" w:lineRule="exact"/>
        <w:rPr>
          <w:sz w:val="20"/>
          <w:szCs w:val="20"/>
          <w:color w:val="auto"/>
        </w:rPr>
      </w:pPr>
    </w:p>
    <w:p>
      <w:pPr>
        <w:ind w:left="364" w:right="4499" w:hanging="364"/>
        <w:spacing w:after="0" w:line="251" w:lineRule="auto"/>
        <w:tabs>
          <w:tab w:leader="none" w:pos="364" w:val="left"/>
        </w:tabs>
        <w:numPr>
          <w:ilvl w:val="0"/>
          <w:numId w:val="2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Unless otherwise defined in this Amendment, terms defined and references contained in the Warrant, shall have the same meaning and construction in this Amendment.</w:t>
      </w:r>
    </w:p>
    <w:p>
      <w:pPr>
        <w:spacing w:after="0" w:line="200" w:lineRule="exact"/>
        <w:rPr>
          <w:rFonts w:ascii="Courier New" w:cs="Courier New" w:eastAsia="Courier New" w:hAnsi="Courier New"/>
          <w:sz w:val="12"/>
          <w:szCs w:val="12"/>
          <w:color w:val="auto"/>
        </w:rPr>
      </w:pPr>
    </w:p>
    <w:p>
      <w:pPr>
        <w:spacing w:after="0" w:line="200" w:lineRule="exact"/>
        <w:rPr>
          <w:rFonts w:ascii="Courier New" w:cs="Courier New" w:eastAsia="Courier New" w:hAnsi="Courier New"/>
          <w:sz w:val="12"/>
          <w:szCs w:val="12"/>
          <w:color w:val="auto"/>
        </w:rPr>
      </w:pPr>
    </w:p>
    <w:p>
      <w:pPr>
        <w:spacing w:after="0" w:line="200" w:lineRule="exact"/>
        <w:rPr>
          <w:rFonts w:ascii="Courier New" w:cs="Courier New" w:eastAsia="Courier New" w:hAnsi="Courier New"/>
          <w:sz w:val="12"/>
          <w:szCs w:val="12"/>
          <w:color w:val="auto"/>
        </w:rPr>
      </w:pPr>
    </w:p>
    <w:p>
      <w:pPr>
        <w:spacing w:after="0" w:line="228"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2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Warrant is hereby amended as follows:</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2.1. The legend at the top of the first page of the Warrant is hereby</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amended to read in its entirety as follows:</w:t>
      </w:r>
    </w:p>
    <w:p>
      <w:pPr>
        <w:spacing w:after="0" w:line="147"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THIS WARRANT HAS NOT BEEN REGISTERED OR QUALIFIED UNDER THE U.S.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SECURITIES ACT OF 1933, AS AMENDED ("THE ACT"), OR ANY U.S. STATE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OR OTHER JURISDICTION'S SECURITIES LAWS. THIS WARRANT, AND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SECURITIES ISSUABLE PURSUANT THERETO, MAY NOT BE SOLD, OFFERED</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FOR SALE OR PLEDGED, HYPOTHECATED OR OTHERWISE TRANSFERRED IN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ABSENCE OF A REGISTRATION STATEMENT IN EFFECT UNDER THE ACT WITH</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RESPECT TO THIS WARRANT OR THE SECURITIES ISSUABLE PURSUANT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THERETO OR AN OPINION OF COUNSEL (REASONABLY SATISFACTORY TO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COMPANY) THAT SUCH REGISTRATION IS NOT REQUIRED OR UNLESS SOLD</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PURSUANT TO RULE 144 OF THE ACT OR ON THE TEL-AVIV STOCK EXCHANGE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IN COMPLIANCE WITH REGULATION S UNDER THE ACT.</w:t>
      </w:r>
    </w:p>
    <w:p>
      <w:pPr>
        <w:spacing w:after="0" w:line="147" w:lineRule="exact"/>
        <w:rPr>
          <w:sz w:val="20"/>
          <w:szCs w:val="20"/>
          <w:color w:val="auto"/>
        </w:rPr>
      </w:pPr>
    </w:p>
    <w:p>
      <w:pPr>
        <w:ind w:left="744" w:right="4359" w:hanging="367"/>
        <w:spacing w:after="0" w:line="251" w:lineRule="auto"/>
        <w:rPr>
          <w:sz w:val="20"/>
          <w:szCs w:val="20"/>
          <w:color w:val="auto"/>
        </w:rPr>
      </w:pPr>
      <w:r>
        <w:rPr>
          <w:rFonts w:ascii="Courier New" w:cs="Courier New" w:eastAsia="Courier New" w:hAnsi="Courier New"/>
          <w:sz w:val="12"/>
          <w:szCs w:val="12"/>
          <w:color w:val="auto"/>
        </w:rPr>
        <w:t>2.2. Clause 2A ("TERM") is hereby amended to delete the words "the date which is 5 (five) years following the Effective Date" before the parenthetical phrase "("THE EXPIRATION DATE")" and substitute therefor the date "September 28, 2011".</w:t>
      </w:r>
    </w:p>
    <w:p>
      <w:pPr>
        <w:spacing w:after="0" w:line="139"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2.3. Clause 6 ("INVESTMENT REPRESENTATION") is hereby amended as follows:</w:t>
      </w:r>
    </w:p>
    <w:p>
      <w:pPr>
        <w:spacing w:after="0" w:line="147" w:lineRule="exact"/>
        <w:rPr>
          <w:sz w:val="20"/>
          <w:szCs w:val="20"/>
          <w:color w:val="auto"/>
        </w:rPr>
      </w:pPr>
    </w:p>
    <w:p>
      <w:pPr>
        <w:ind w:left="1104" w:right="4359" w:hanging="367"/>
        <w:spacing w:after="0" w:line="251" w:lineRule="auto"/>
        <w:rPr>
          <w:sz w:val="20"/>
          <w:szCs w:val="20"/>
          <w:color w:val="auto"/>
        </w:rPr>
      </w:pPr>
      <w:r>
        <w:rPr>
          <w:rFonts w:ascii="Courier New" w:cs="Courier New" w:eastAsia="Courier New" w:hAnsi="Courier New"/>
          <w:sz w:val="12"/>
          <w:szCs w:val="12"/>
          <w:color w:val="auto"/>
        </w:rPr>
        <w:t>2.3.1. to amend the first sentence to read in its entirety as follows: "This Warrant has not been registered under the Securities Act, or any other securities laws.";</w:t>
      </w:r>
    </w:p>
    <w:p>
      <w:pPr>
        <w:spacing w:after="0" w:line="140" w:lineRule="exact"/>
        <w:rPr>
          <w:sz w:val="20"/>
          <w:szCs w:val="20"/>
          <w:color w:val="auto"/>
        </w:rPr>
      </w:pPr>
    </w:p>
    <w:p>
      <w:pPr>
        <w:jc w:val="center"/>
        <w:ind w:right="3695"/>
        <w:spacing w:after="0"/>
        <w:rPr>
          <w:sz w:val="20"/>
          <w:szCs w:val="20"/>
          <w:color w:val="auto"/>
        </w:rPr>
      </w:pPr>
      <w:r>
        <w:rPr>
          <w:rFonts w:ascii="Courier New" w:cs="Courier New" w:eastAsia="Courier New" w:hAnsi="Courier New"/>
          <w:sz w:val="12"/>
          <w:szCs w:val="12"/>
          <w:color w:val="auto"/>
        </w:rPr>
        <w:t>2.3.2. to amend the third sentence thereof to read in its entirety as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follows: "The Warrant Shares have been registered under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Securities Act on Form F-3 Registration Statement No.</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333-131315.".</w:t>
      </w: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- 2 -</w:t>
      </w:r>
    </w:p>
    <w:p>
      <w:pPr>
        <w:sectPr>
          <w:pgSz w:w="11900" w:h="16838" w:orient="portrait"/>
          <w:cols w:equalWidth="0" w:num="1">
            <w:col w:w="10244"/>
          </w:cols>
          <w:pgMar w:left="216" w:top="141" w:right="1440" w:bottom="1440" w:gutter="0" w:footer="0" w:header="0"/>
        </w:sectPr>
      </w:pPr>
    </w:p>
    <w:bookmarkStart w:id="225" w:name="page226"/>
    <w:bookmarkEnd w:id="225"/>
    <w:p>
      <w:pPr>
        <w:ind w:right="4639" w:hanging="367"/>
        <w:spacing w:after="0" w:line="253" w:lineRule="auto"/>
        <w:rPr>
          <w:sz w:val="20"/>
          <w:szCs w:val="20"/>
          <w:color w:val="auto"/>
        </w:rPr>
      </w:pPr>
      <w:r>
        <w:rPr>
          <w:rFonts w:ascii="Courier New" w:cs="Courier New" w:eastAsia="Courier New" w:hAnsi="Courier New"/>
          <w:sz w:val="12"/>
          <w:szCs w:val="12"/>
          <w:color w:val="auto"/>
        </w:rPr>
        <w:t>2.4. Clause 8 ("TRANSFER OF THIS WARRANT OR SHARES ISSUABLE ON EXERCISE THEREOF") is hereby amended:</w:t>
      </w:r>
    </w:p>
    <w:p>
      <w:pPr>
        <w:spacing w:after="0" w:line="138" w:lineRule="exact"/>
        <w:rPr>
          <w:sz w:val="20"/>
          <w:szCs w:val="20"/>
          <w:color w:val="auto"/>
        </w:rPr>
      </w:pPr>
    </w:p>
    <w:p>
      <w:pPr>
        <w:ind w:left="360" w:right="4419" w:hanging="367"/>
        <w:spacing w:after="0" w:line="251" w:lineRule="auto"/>
        <w:rPr>
          <w:sz w:val="20"/>
          <w:szCs w:val="20"/>
          <w:color w:val="auto"/>
        </w:rPr>
      </w:pPr>
      <w:r>
        <w:rPr>
          <w:rFonts w:ascii="Courier New" w:cs="Courier New" w:eastAsia="Courier New" w:hAnsi="Courier New"/>
          <w:sz w:val="12"/>
          <w:szCs w:val="12"/>
          <w:color w:val="auto"/>
        </w:rPr>
        <w:t>2.4.1. to delete the words "or securities into which such Warrant may be exercised" from the first sentence of subclause a thereof thereof; and</w:t>
      </w:r>
    </w:p>
    <w:p>
      <w:pPr>
        <w:spacing w:after="0" w:line="140" w:lineRule="exact"/>
        <w:rPr>
          <w:sz w:val="20"/>
          <w:szCs w:val="20"/>
          <w:color w:val="auto"/>
        </w:rPr>
      </w:pPr>
    </w:p>
    <w:p>
      <w:pPr>
        <w:jc w:val="both"/>
        <w:ind w:left="360" w:right="4359" w:hanging="367"/>
        <w:spacing w:after="0" w:line="251" w:lineRule="auto"/>
        <w:rPr>
          <w:sz w:val="20"/>
          <w:szCs w:val="20"/>
          <w:color w:val="auto"/>
        </w:rPr>
      </w:pPr>
      <w:r>
        <w:rPr>
          <w:rFonts w:ascii="Courier New" w:cs="Courier New" w:eastAsia="Courier New" w:hAnsi="Courier New"/>
          <w:sz w:val="12"/>
          <w:szCs w:val="12"/>
          <w:color w:val="auto"/>
        </w:rPr>
        <w:t>2.4.2. to add the words at the end of the second sentence of subclause a thereof, "or unless sold pursuant to Rule 144 of the Securities Act".</w:t>
      </w:r>
    </w:p>
    <w:p>
      <w:pPr>
        <w:spacing w:after="0" w:line="140" w:lineRule="exact"/>
        <w:rPr>
          <w:sz w:val="20"/>
          <w:szCs w:val="20"/>
          <w:color w:val="auto"/>
        </w:rPr>
      </w:pPr>
    </w:p>
    <w:p>
      <w:pPr>
        <w:ind w:right="4359" w:hanging="367"/>
        <w:spacing w:after="0" w:line="250" w:lineRule="auto"/>
        <w:rPr>
          <w:sz w:val="20"/>
          <w:szCs w:val="20"/>
          <w:color w:val="auto"/>
        </w:rPr>
      </w:pPr>
      <w:r>
        <w:rPr>
          <w:rFonts w:ascii="Courier New" w:cs="Courier New" w:eastAsia="Courier New" w:hAnsi="Courier New"/>
          <w:sz w:val="12"/>
          <w:szCs w:val="12"/>
          <w:color w:val="auto"/>
        </w:rPr>
        <w:t>2.5. Clause 9 (including, for the avoidance of doubt, Clause 9A, 9B and 9C) ("REGISTRATION RIGHTS") is hereby amended to read in its entirety as follows: "The Company covenants and agrees to provide the Holder the registration rights provided in the registration rights agreement, dated September 28, 2006 between the Company and Bank Leumi Le-Israel B.M., a copy of which is attached hereto as APPENDIX A, as such may be amended from time to time ("THE REGISTRATION RIGHTS AGREEMENT"). Such registration rights may be assigned by the Holder pursuant to and in accordance with the terms of the Registration Rights Agreement but only to a transferee or assignee of this Warrant pursuant to and in accordance with Section 8 of this Warrant.".</w:t>
      </w:r>
    </w:p>
    <w:p>
      <w:pPr>
        <w:spacing w:after="0" w:line="141" w:lineRule="exact"/>
        <w:rPr>
          <w:sz w:val="20"/>
          <w:szCs w:val="20"/>
          <w:color w:val="auto"/>
        </w:rPr>
      </w:pPr>
    </w:p>
    <w:p>
      <w:pPr>
        <w:ind w:right="4639" w:hanging="367"/>
        <w:spacing w:after="0" w:line="253" w:lineRule="auto"/>
        <w:rPr>
          <w:sz w:val="20"/>
          <w:szCs w:val="20"/>
          <w:color w:val="auto"/>
        </w:rPr>
      </w:pPr>
      <w:r>
        <w:rPr>
          <w:rFonts w:ascii="Courier New" w:cs="Courier New" w:eastAsia="Courier New" w:hAnsi="Courier New"/>
          <w:sz w:val="12"/>
          <w:szCs w:val="12"/>
          <w:color w:val="auto"/>
        </w:rPr>
        <w:t>2.6. Clause 12 ("LOSS, THEFT, DESTRUCTION OR MUTILATION OF WARRANT") is hereby amended by adding the following to the end thereof:</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 provided that if this Warrant has been amended, at the request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of the Holder, the Company shall issue an amended and restated</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Warrant certificate reflecting such amendment or amendments. In</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addition, but without derogating from the aforesaid, if this</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Warrant has been amended, the Holder shall have the right, at the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option of the Holder, at any time and, if applicable, from time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to time, to surrender this Warrant certificate and receive an</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amended and restated Warrant certificate reflecting any such</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amendment or amendments."</w:t>
      </w:r>
    </w:p>
    <w:p>
      <w:pPr>
        <w:spacing w:after="0" w:line="147" w:lineRule="exact"/>
        <w:rPr>
          <w:sz w:val="20"/>
          <w:szCs w:val="20"/>
          <w:color w:val="auto"/>
        </w:rPr>
      </w:pPr>
    </w:p>
    <w:p>
      <w:pPr>
        <w:ind w:right="4359" w:hanging="367"/>
        <w:spacing w:after="0" w:line="250" w:lineRule="auto"/>
        <w:rPr>
          <w:sz w:val="20"/>
          <w:szCs w:val="20"/>
          <w:color w:val="auto"/>
        </w:rPr>
      </w:pPr>
      <w:r>
        <w:rPr>
          <w:rFonts w:ascii="Courier New" w:cs="Courier New" w:eastAsia="Courier New" w:hAnsi="Courier New"/>
          <w:sz w:val="12"/>
          <w:szCs w:val="12"/>
          <w:color w:val="auto"/>
        </w:rPr>
        <w:t>2.7. Clause 11 ("NOTICES") is hereby renumbered as Clause 13 and is hereby further amended to delete the number "32" and substitute the number "34" therefor, to delete the Facsimile No. "(03) 514-9017" and substitute "(03) 514-9278" therefor, to add immediately thereafter, "with a copy to (which shall not constitute notice):Leumi and Co. Investment House Ltd., 25 Kalisher Street, Tel-Aviv 65165, Israel, Fax: 972-3-5141215, Attn: Head of Investment Sector", to delete the name "Carmel Vernia" and substitute "Chief Financial Officer" therefor and to delete the Facsimile No. "(04) 654-7788" and substitute "(04) 604-7242" therefor.</w:t>
      </w:r>
    </w:p>
    <w:p>
      <w:pPr>
        <w:spacing w:after="0" w:line="141" w:lineRule="exact"/>
        <w:rPr>
          <w:sz w:val="20"/>
          <w:szCs w:val="20"/>
          <w:color w:val="auto"/>
        </w:rPr>
      </w:pPr>
    </w:p>
    <w:p>
      <w:pPr>
        <w:ind w:left="1980"/>
        <w:spacing w:after="0"/>
        <w:rPr>
          <w:sz w:val="20"/>
          <w:szCs w:val="20"/>
          <w:color w:val="auto"/>
        </w:rPr>
      </w:pPr>
      <w:r>
        <w:rPr>
          <w:rFonts w:ascii="Courier New" w:cs="Courier New" w:eastAsia="Courier New" w:hAnsi="Courier New"/>
          <w:sz w:val="12"/>
          <w:szCs w:val="12"/>
          <w:color w:val="auto"/>
        </w:rPr>
        <w:t>- 3 -</w:t>
      </w:r>
    </w:p>
    <w:p>
      <w:pPr>
        <w:sectPr>
          <w:pgSz w:w="11900" w:h="16838" w:orient="portrait"/>
          <w:cols w:equalWidth="0" w:num="1">
            <w:col w:w="9499"/>
          </w:cols>
          <w:pgMar w:left="960" w:top="689" w:right="1440" w:bottom="1440" w:gutter="0" w:footer="0" w:header="0"/>
        </w:sectPr>
      </w:pPr>
    </w:p>
    <w:bookmarkStart w:id="226" w:name="page227"/>
    <w:bookmarkEnd w:id="226"/>
    <w:p>
      <w:pPr>
        <w:ind w:left="744" w:right="4639" w:hanging="367"/>
        <w:spacing w:after="0" w:line="253" w:lineRule="auto"/>
        <w:rPr>
          <w:sz w:val="20"/>
          <w:szCs w:val="20"/>
          <w:color w:val="auto"/>
        </w:rPr>
      </w:pPr>
      <w:r>
        <w:rPr>
          <w:rFonts w:ascii="Courier New" w:cs="Courier New" w:eastAsia="Courier New" w:hAnsi="Courier New"/>
          <w:sz w:val="12"/>
          <w:szCs w:val="12"/>
          <w:color w:val="auto"/>
        </w:rPr>
        <w:t>2.8. Clause 12 ("APPLICABLE LAW; JURISDICTION") is hereby renumbered as Clause 14.</w:t>
      </w:r>
    </w:p>
    <w:p>
      <w:pPr>
        <w:spacing w:after="0" w:line="138" w:lineRule="exact"/>
        <w:rPr>
          <w:sz w:val="20"/>
          <w:szCs w:val="20"/>
          <w:color w:val="auto"/>
        </w:rPr>
      </w:pPr>
    </w:p>
    <w:p>
      <w:pPr>
        <w:ind w:left="364" w:right="4359" w:hanging="364"/>
        <w:spacing w:after="0" w:line="251" w:lineRule="auto"/>
        <w:tabs>
          <w:tab w:leader="none" w:pos="364" w:val="left"/>
        </w:tabs>
        <w:numPr>
          <w:ilvl w:val="0"/>
          <w:numId w:val="2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Save as amended expressly pursuant to this Amendment, the provisions of the Warrant shall continue in full force and effect and the Warrant and this Amendment shall be read and construed as one instrument.</w:t>
      </w:r>
    </w:p>
    <w:p>
      <w:pPr>
        <w:spacing w:after="0" w:line="139" w:lineRule="exact"/>
        <w:rPr>
          <w:rFonts w:ascii="Courier New" w:cs="Courier New" w:eastAsia="Courier New" w:hAnsi="Courier New"/>
          <w:sz w:val="12"/>
          <w:szCs w:val="12"/>
          <w:color w:val="auto"/>
        </w:rPr>
      </w:pPr>
    </w:p>
    <w:p>
      <w:pPr>
        <w:ind w:left="364" w:right="4579" w:hanging="364"/>
        <w:spacing w:after="0" w:line="253" w:lineRule="auto"/>
        <w:tabs>
          <w:tab w:leader="none" w:pos="364" w:val="left"/>
        </w:tabs>
        <w:numPr>
          <w:ilvl w:val="0"/>
          <w:numId w:val="2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Amendment shall be governed by and construed in accordance with the laws of the State of Israel.</w:t>
      </w:r>
    </w:p>
    <w:p>
      <w:pPr>
        <w:spacing w:after="0" w:line="138" w:lineRule="exact"/>
        <w:rPr>
          <w:sz w:val="20"/>
          <w:szCs w:val="20"/>
          <w:color w:val="auto"/>
        </w:rPr>
      </w:pPr>
    </w:p>
    <w:p>
      <w:pPr>
        <w:ind w:left="4" w:right="4359"/>
        <w:spacing w:after="0" w:line="253" w:lineRule="auto"/>
        <w:rPr>
          <w:sz w:val="20"/>
          <w:szCs w:val="20"/>
          <w:color w:val="auto"/>
        </w:rPr>
      </w:pPr>
      <w:r>
        <w:rPr>
          <w:rFonts w:ascii="Courier New" w:cs="Courier New" w:eastAsia="Courier New" w:hAnsi="Courier New"/>
          <w:sz w:val="12"/>
          <w:szCs w:val="12"/>
          <w:color w:val="auto"/>
        </w:rPr>
        <w:t>IN WITNESS WHEREOF, THE PARTIES HAVE SIGNED THIS FIRST AMENDMENT ON THE 28TH DAY OF SEPTEMBER 2006.</w:t>
      </w:r>
    </w:p>
    <w:p>
      <w:pPr>
        <w:sectPr>
          <w:pgSz w:w="11900" w:h="16838" w:orient="portrait"/>
          <w:cols w:equalWidth="0" w:num="1">
            <w:col w:w="10244"/>
          </w:cols>
          <w:pgMar w:left="216" w:top="689" w:right="1440" w:bottom="1440" w:gutter="0" w:footer="0" w:header="0"/>
        </w:sectPr>
      </w:pPr>
    </w:p>
    <w:p>
      <w:pPr>
        <w:spacing w:after="0" w:line="138"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for: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TOWER SEMICONDUCTOR LTD.</w:t>
      </w:r>
    </w:p>
    <w:p>
      <w:pPr>
        <w:spacing w:after="0" w:line="147" w:lineRule="exact"/>
        <w:rPr>
          <w:sz w:val="20"/>
          <w:szCs w:val="20"/>
          <w:color w:val="auto"/>
        </w:rPr>
      </w:pPr>
    </w:p>
    <w:p>
      <w:pPr>
        <w:sectPr>
          <w:pgSz w:w="11900" w:h="16838" w:orient="portrait"/>
          <w:cols w:equalWidth="0" w:num="2">
            <w:col w:w="304" w:space="220"/>
            <w:col w:w="9719"/>
          </w:cols>
          <w:pgMar w:left="216" w:top="689" w:right="1440" w:bottom="144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__________________________</w:t>
      </w:r>
    </w:p>
    <w:p>
      <w:pPr>
        <w:spacing w:after="0" w:line="147" w:lineRule="exact"/>
        <w:rPr>
          <w:sz w:val="20"/>
          <w:szCs w:val="20"/>
          <w:color w:val="auto"/>
        </w:rPr>
      </w:pPr>
    </w:p>
    <w:p>
      <w:pPr>
        <w:sectPr>
          <w:pgSz w:w="11900" w:h="16838" w:orient="portrait"/>
          <w:cols w:equalWidth="0" w:num="2">
            <w:col w:w="224" w:space="300"/>
            <w:col w:w="9719"/>
          </w:cols>
          <w:pgMar w:left="216" w:top="689" w:right="1440" w:bottom="144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Title: __________________________</w:t>
      </w:r>
    </w:p>
    <w:p>
      <w:pPr>
        <w:sectPr>
          <w:pgSz w:w="11900" w:h="16838" w:orient="portrait"/>
          <w:cols w:equalWidth="0" w:num="1">
            <w:col w:w="10244"/>
          </w:cols>
          <w:pgMar w:left="216" w:top="689" w:right="1440" w:bottom="1440" w:gutter="0" w:footer="0" w:header="0"/>
          <w:type w:val="continuous"/>
        </w:sectPr>
      </w:pPr>
    </w:p>
    <w:p>
      <w:pPr>
        <w:spacing w:after="0" w:line="289"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for:</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BANK LEUMI LE-ISRAEL B.M.</w:t>
      </w:r>
    </w:p>
    <w:p>
      <w:pPr>
        <w:spacing w:after="0" w:line="147" w:lineRule="exact"/>
        <w:rPr>
          <w:sz w:val="20"/>
          <w:szCs w:val="20"/>
          <w:color w:val="auto"/>
        </w:rPr>
      </w:pPr>
    </w:p>
    <w:p>
      <w:pPr>
        <w:sectPr>
          <w:pgSz w:w="11900" w:h="16838" w:orient="portrait"/>
          <w:cols w:equalWidth="0" w:num="2">
            <w:col w:w="304" w:space="220"/>
            <w:col w:w="9719"/>
          </w:cols>
          <w:pgMar w:left="216" w:top="689" w:right="1440" w:bottom="144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__________________________</w:t>
      </w:r>
    </w:p>
    <w:p>
      <w:pPr>
        <w:spacing w:after="0" w:line="147" w:lineRule="exact"/>
        <w:rPr>
          <w:sz w:val="20"/>
          <w:szCs w:val="20"/>
          <w:color w:val="auto"/>
        </w:rPr>
      </w:pPr>
    </w:p>
    <w:p>
      <w:pPr>
        <w:sectPr>
          <w:pgSz w:w="11900" w:h="16838" w:orient="portrait"/>
          <w:cols w:equalWidth="0" w:num="2">
            <w:col w:w="224" w:space="300"/>
            <w:col w:w="9719"/>
          </w:cols>
          <w:pgMar w:left="216" w:top="689" w:right="1440" w:bottom="144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Title: __________________________</w:t>
      </w:r>
    </w:p>
    <w:p>
      <w:pPr>
        <w:sectPr>
          <w:pgSz w:w="11900" w:h="16838" w:orient="portrait"/>
          <w:cols w:equalWidth="0" w:num="1">
            <w:col w:w="10244"/>
          </w:cols>
          <w:pgMar w:left="216" w:top="689" w:right="1440"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2724"/>
        <w:spacing w:after="0"/>
        <w:rPr>
          <w:sz w:val="20"/>
          <w:szCs w:val="20"/>
          <w:color w:val="auto"/>
        </w:rPr>
      </w:pPr>
      <w:r>
        <w:rPr>
          <w:rFonts w:ascii="Courier New" w:cs="Courier New" w:eastAsia="Courier New" w:hAnsi="Courier New"/>
          <w:sz w:val="11"/>
          <w:szCs w:val="11"/>
          <w:color w:val="auto"/>
        </w:rPr>
        <w:t>- 4 -</w:t>
      </w:r>
    </w:p>
    <w:p>
      <w:pPr>
        <w:sectPr>
          <w:pgSz w:w="11900" w:h="16838" w:orient="portrait"/>
          <w:cols w:equalWidth="0" w:num="1">
            <w:col w:w="10244"/>
          </w:cols>
          <w:pgMar w:left="216" w:top="689" w:right="1440" w:bottom="1440" w:gutter="0" w:footer="0" w:header="0"/>
          <w:type w:val="continuous"/>
        </w:sectPr>
      </w:pPr>
    </w:p>
    <w:bookmarkStart w:id="227" w:name="page228"/>
    <w:bookmarkEnd w:id="227"/>
    <w:p>
      <w:pPr>
        <w:jc w:val="right"/>
        <w:ind w:right="4359"/>
        <w:spacing w:after="0"/>
        <w:rPr>
          <w:sz w:val="20"/>
          <w:szCs w:val="20"/>
          <w:color w:val="auto"/>
        </w:rPr>
      </w:pPr>
      <w:r>
        <w:rPr>
          <w:rFonts w:ascii="Courier New" w:cs="Courier New" w:eastAsia="Courier New" w:hAnsi="Courier New"/>
          <w:sz w:val="12"/>
          <w:szCs w:val="12"/>
          <w:color w:val="auto"/>
        </w:rPr>
        <w:t>EXHIBIT 99.16</w:t>
      </w:r>
    </w:p>
    <w:p>
      <w:pPr>
        <w:spacing w:after="0" w:line="147" w:lineRule="exact"/>
        <w:rPr>
          <w:sz w:val="20"/>
          <w:szCs w:val="20"/>
          <w:color w:val="auto"/>
        </w:rPr>
      </w:pPr>
    </w:p>
    <w:p>
      <w:pPr>
        <w:ind w:left="2424"/>
        <w:spacing w:after="0"/>
        <w:rPr>
          <w:sz w:val="20"/>
          <w:szCs w:val="20"/>
          <w:color w:val="auto"/>
        </w:rPr>
      </w:pPr>
      <w:r>
        <w:rPr>
          <w:rFonts w:ascii="Courier New" w:cs="Courier New" w:eastAsia="Courier New" w:hAnsi="Courier New"/>
          <w:sz w:val="12"/>
          <w:szCs w:val="12"/>
          <w:color w:val="auto"/>
        </w:rPr>
        <w:t>FIRST AMENDMENT</w:t>
      </w:r>
    </w:p>
    <w:p>
      <w:pPr>
        <w:spacing w:after="0" w:line="6" w:lineRule="exact"/>
        <w:rPr>
          <w:sz w:val="20"/>
          <w:szCs w:val="20"/>
          <w:color w:val="auto"/>
        </w:rPr>
      </w:pPr>
    </w:p>
    <w:p>
      <w:pPr>
        <w:ind w:left="2804"/>
        <w:spacing w:after="0"/>
        <w:rPr>
          <w:sz w:val="20"/>
          <w:szCs w:val="20"/>
          <w:color w:val="auto"/>
        </w:rPr>
      </w:pPr>
      <w:r>
        <w:rPr>
          <w:rFonts w:ascii="Courier New" w:cs="Courier New" w:eastAsia="Courier New" w:hAnsi="Courier New"/>
          <w:sz w:val="12"/>
          <w:szCs w:val="12"/>
          <w:color w:val="auto"/>
        </w:rPr>
        <w:t>TO A</w:t>
      </w:r>
    </w:p>
    <w:p>
      <w:pPr>
        <w:spacing w:after="0" w:line="6" w:lineRule="exact"/>
        <w:rPr>
          <w:sz w:val="20"/>
          <w:szCs w:val="20"/>
          <w:color w:val="auto"/>
        </w:rPr>
      </w:pPr>
    </w:p>
    <w:p>
      <w:pPr>
        <w:ind w:left="2364"/>
        <w:spacing w:after="0"/>
        <w:rPr>
          <w:sz w:val="20"/>
          <w:szCs w:val="20"/>
          <w:color w:val="auto"/>
        </w:rPr>
      </w:pPr>
      <w:r>
        <w:rPr>
          <w:rFonts w:ascii="Courier New" w:cs="Courier New" w:eastAsia="Courier New" w:hAnsi="Courier New"/>
          <w:sz w:val="12"/>
          <w:szCs w:val="12"/>
          <w:color w:val="auto"/>
        </w:rPr>
        <w:t>WARRANT ISSUED ON</w:t>
      </w:r>
    </w:p>
    <w:p>
      <w:pPr>
        <w:spacing w:after="0" w:line="6" w:lineRule="exact"/>
        <w:rPr>
          <w:sz w:val="20"/>
          <w:szCs w:val="20"/>
          <w:color w:val="auto"/>
        </w:rPr>
      </w:pPr>
    </w:p>
    <w:p>
      <w:pPr>
        <w:ind w:left="2424"/>
        <w:spacing w:after="0"/>
        <w:rPr>
          <w:sz w:val="20"/>
          <w:szCs w:val="20"/>
          <w:color w:val="auto"/>
        </w:rPr>
      </w:pPr>
      <w:r>
        <w:rPr>
          <w:rFonts w:ascii="Courier New" w:cs="Courier New" w:eastAsia="Courier New" w:hAnsi="Courier New"/>
          <w:sz w:val="12"/>
          <w:szCs w:val="12"/>
          <w:color w:val="auto"/>
        </w:rPr>
        <w:t>AUGUST 4, 2005</w:t>
      </w:r>
    </w:p>
    <w:p>
      <w:pPr>
        <w:spacing w:after="0" w:line="6" w:lineRule="exact"/>
        <w:rPr>
          <w:sz w:val="20"/>
          <w:szCs w:val="20"/>
          <w:color w:val="auto"/>
        </w:rPr>
      </w:pPr>
    </w:p>
    <w:p>
      <w:pPr>
        <w:ind w:left="2364"/>
        <w:spacing w:after="0"/>
        <w:rPr>
          <w:sz w:val="20"/>
          <w:szCs w:val="20"/>
          <w:color w:val="auto"/>
        </w:rPr>
      </w:pPr>
      <w:r>
        <w:rPr>
          <w:rFonts w:ascii="Courier New" w:cs="Courier New" w:eastAsia="Courier New" w:hAnsi="Courier New"/>
          <w:sz w:val="12"/>
          <w:szCs w:val="12"/>
          <w:color w:val="auto"/>
        </w:rPr>
        <w: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THIS FIRST AMENDMENT is made on the 28th day of September, 2006,</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between:</w:t>
      </w:r>
    </w:p>
    <w:p>
      <w:pPr>
        <w:spacing w:after="0" w:line="147" w:lineRule="exact"/>
        <w:rPr>
          <w:sz w:val="20"/>
          <w:szCs w:val="20"/>
          <w:color w:val="auto"/>
        </w:rPr>
      </w:pPr>
    </w:p>
    <w:p>
      <w:pPr>
        <w:ind w:left="1104" w:right="4419" w:hanging="368"/>
        <w:spacing w:after="0" w:line="251" w:lineRule="auto"/>
        <w:tabs>
          <w:tab w:leader="none" w:pos="1104" w:val="left"/>
        </w:tabs>
        <w:numPr>
          <w:ilvl w:val="0"/>
          <w:numId w:val="2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TOWER SEMICONDUCTOR LTD., a company incorporated in Israel (registered number 52-004199-7), having its registered office at P.O. Box 619, Migdal Haemek 23105, Israel ("THE COMPANY");</w:t>
      </w:r>
    </w:p>
    <w:p>
      <w:pPr>
        <w:spacing w:after="0" w:line="140"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AND</w:t>
      </w:r>
    </w:p>
    <w:p>
      <w:pPr>
        <w:spacing w:after="0" w:line="147" w:lineRule="exact"/>
        <w:rPr>
          <w:sz w:val="20"/>
          <w:szCs w:val="20"/>
          <w:color w:val="auto"/>
        </w:rPr>
      </w:pPr>
    </w:p>
    <w:p>
      <w:pPr>
        <w:ind w:left="1104" w:hanging="368"/>
        <w:spacing w:after="0"/>
        <w:tabs>
          <w:tab w:leader="none" w:pos="1104" w:val="left"/>
        </w:tabs>
        <w:numPr>
          <w:ilvl w:val="0"/>
          <w:numId w:val="2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 HAPOALIM B.M. ("THE HOLDER")</w:t>
      </w:r>
    </w:p>
    <w:p>
      <w:pPr>
        <w:spacing w:after="0" w:line="147"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WHEREAS:</w:t>
      </w:r>
    </w:p>
    <w:p>
      <w:pPr>
        <w:spacing w:after="0" w:line="147" w:lineRule="exact"/>
        <w:rPr>
          <w:sz w:val="20"/>
          <w:szCs w:val="20"/>
          <w:color w:val="auto"/>
        </w:rPr>
      </w:pPr>
    </w:p>
    <w:p>
      <w:pPr>
        <w:ind w:left="364" w:right="4359" w:hanging="364"/>
        <w:spacing w:after="0" w:line="251" w:lineRule="auto"/>
        <w:tabs>
          <w:tab w:leader="none" w:pos="364" w:val="left"/>
        </w:tabs>
        <w:numPr>
          <w:ilvl w:val="0"/>
          <w:numId w:val="2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pursuant to a Warrant issued on August 4, 2005 ("THE WARRANT"), the Company granted the Holder the right to purchase 4,132,232 Warrant Shares at the Warrant Price, which is US $1.21 (one United States Dollar and twenty-one cents) per share; and</w:t>
      </w:r>
    </w:p>
    <w:p>
      <w:pPr>
        <w:spacing w:after="0" w:line="139" w:lineRule="exact"/>
        <w:rPr>
          <w:rFonts w:ascii="Courier New" w:cs="Courier New" w:eastAsia="Courier New" w:hAnsi="Courier New"/>
          <w:sz w:val="12"/>
          <w:szCs w:val="12"/>
          <w:color w:val="auto"/>
        </w:rPr>
      </w:pPr>
    </w:p>
    <w:p>
      <w:pPr>
        <w:ind w:left="364" w:right="4419" w:hanging="364"/>
        <w:spacing w:after="0" w:line="251" w:lineRule="auto"/>
        <w:tabs>
          <w:tab w:leader="none" w:pos="364" w:val="left"/>
        </w:tabs>
        <w:numPr>
          <w:ilvl w:val="0"/>
          <w:numId w:val="2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at the request of the Company, the Company and the Banks entered into an Amending Agreement, dated August 24, 2006, to the Agreement, one of the conditions to the effectiveness thereof is the entering into of this First Amendment to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NOW THEREFORE IT IS AGREED BETWEEN THE PARTIES HERETO AS FOLLOWS:</w:t>
      </w:r>
    </w:p>
    <w:p>
      <w:pPr>
        <w:spacing w:after="0" w:line="147" w:lineRule="exact"/>
        <w:rPr>
          <w:sz w:val="20"/>
          <w:szCs w:val="20"/>
          <w:color w:val="auto"/>
        </w:rPr>
      </w:pPr>
    </w:p>
    <w:p>
      <w:pPr>
        <w:ind w:left="364" w:right="4499" w:hanging="364"/>
        <w:spacing w:after="0" w:line="251" w:lineRule="auto"/>
        <w:tabs>
          <w:tab w:leader="none" w:pos="364" w:val="left"/>
        </w:tabs>
        <w:numPr>
          <w:ilvl w:val="0"/>
          <w:numId w:val="2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Unless otherwise defined in this Amendment, terms defined and references contained in the Warrant, shall have the same meaning and construction in this Amendment.</w:t>
      </w:r>
    </w:p>
    <w:p>
      <w:pPr>
        <w:spacing w:after="0" w:line="139"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2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Warrant is hereby amended as follows:</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2.1. The legend at the top of the first page of the Warrant is hereby</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amended to read in its entirety as follows:</w:t>
      </w:r>
    </w:p>
    <w:p>
      <w:pPr>
        <w:spacing w:after="0" w:line="147"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THIS WARRANT HAS NOT BEEN REGISTERED OR QUALIFIED UNDER THE U.S.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SECURITIES ACT OF 1933, AS AMENDED ("THE ACT"), OR ANY U.S. STATE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OR OTHER JURISDICTION'S SECURITIES LAWS. THIS WARRANT, AND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SECURITIES ISSUABLE PURSUANT THERETO, MAY NOT BE SOLD, OFFERED</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FOR SALE OR PLEDGED, HYPOTHECATED OR OTHERWISE TRANSFERRED IN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ABSENCE OF A REGISTRATION STATEMENT IN EFFECT UNDER THE ACT WITH</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RESPECT TO THIS WARRANT OR THE SECURITIES ISSUABLE PURSUANT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THERETO OR AN OPINION OF COUNSEL (REASONABLY SATISFACTORY TO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COMPANY) THAT SUCH REGISTRATION IS NOT REQUIRED OR UNLESS SOLD</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PURSUANT TO RULE 144 OF THE ACT OR ON THE TEL-AVIV STOCK EXCHANGE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IN COMPLIANCE WITH REGULATION S UNDER THE ACT.</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2.2. Clause 2A ("EXERCISABILITY; TERM") is hereby amended as follows:</w:t>
      </w:r>
    </w:p>
    <w:p>
      <w:pPr>
        <w:spacing w:after="0" w:line="147" w:lineRule="exact"/>
        <w:rPr>
          <w:sz w:val="20"/>
          <w:szCs w:val="20"/>
          <w:color w:val="auto"/>
        </w:rPr>
      </w:pPr>
    </w:p>
    <w:p>
      <w:pPr>
        <w:ind w:left="1104" w:right="4359" w:hanging="367"/>
        <w:spacing w:after="0" w:line="251" w:lineRule="auto"/>
        <w:rPr>
          <w:sz w:val="20"/>
          <w:szCs w:val="20"/>
          <w:color w:val="auto"/>
        </w:rPr>
      </w:pPr>
      <w:r>
        <w:rPr>
          <w:rFonts w:ascii="Courier New" w:cs="Courier New" w:eastAsia="Courier New" w:hAnsi="Courier New"/>
          <w:sz w:val="12"/>
          <w:szCs w:val="12"/>
          <w:color w:val="auto"/>
        </w:rPr>
        <w:t>2.2.1. the words "the date which is 5 (five) years following the Ninth Amendment Closing Date" before the parenthetical phrase "("THE FIRST TRANCHE EXPIRATION DATE")" are hereby deleted and the date "September 28, 2011" substituted therefor;</w:t>
      </w:r>
    </w:p>
    <w:p>
      <w:pPr>
        <w:spacing w:after="0" w:line="139" w:lineRule="exact"/>
        <w:rPr>
          <w:sz w:val="20"/>
          <w:szCs w:val="20"/>
          <w:color w:val="auto"/>
        </w:rPr>
      </w:pPr>
    </w:p>
    <w:p>
      <w:pPr>
        <w:ind w:left="1104" w:right="4359" w:hanging="367"/>
        <w:spacing w:after="0" w:line="250" w:lineRule="auto"/>
        <w:rPr>
          <w:sz w:val="20"/>
          <w:szCs w:val="20"/>
          <w:color w:val="auto"/>
        </w:rPr>
      </w:pPr>
      <w:r>
        <w:rPr>
          <w:rFonts w:ascii="Courier New" w:cs="Courier New" w:eastAsia="Courier New" w:hAnsi="Courier New"/>
          <w:sz w:val="12"/>
          <w:szCs w:val="12"/>
          <w:color w:val="auto"/>
        </w:rPr>
        <w:t>2.2.2. the words "the date of signature by the Company and the Banks of an agreement by the Banks to reschedule the repayment dates of the Interest Payment Loans (as defined in the Ninth Amendment)" before the parenthetical phrase "("THE SECOND TRANCHE EXERCISABILITY DATE")" are hereby deleted and the date "September 28, 2006" substituted therefor; and</w:t>
      </w:r>
    </w:p>
    <w:p>
      <w:pPr>
        <w:spacing w:after="0" w:line="141"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2.2.3. the words "the date which is 5 (five) years following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Second Tranche Exercisability Date" before the parenthetical</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phrase "("THE SECOND TRANCHE EXPIRATION DATE")" are hereby</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deleted and the date "September 28, 2011" substituted therefor.</w:t>
      </w: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- 2 -</w:t>
      </w:r>
    </w:p>
    <w:p>
      <w:pPr>
        <w:sectPr>
          <w:pgSz w:w="11900" w:h="16838" w:orient="portrait"/>
          <w:cols w:equalWidth="0" w:num="1">
            <w:col w:w="10244"/>
          </w:cols>
          <w:pgMar w:left="216" w:top="283" w:right="1440" w:bottom="1440" w:gutter="0" w:footer="0" w:header="0"/>
        </w:sectPr>
      </w:pPr>
    </w:p>
    <w:bookmarkStart w:id="228" w:name="page229"/>
    <w:bookmarkEnd w:id="228"/>
    <w:p>
      <w:pPr>
        <w:ind w:left="380" w:right="4639" w:hanging="367"/>
        <w:spacing w:after="0" w:line="250" w:lineRule="auto"/>
        <w:rPr>
          <w:sz w:val="20"/>
          <w:szCs w:val="20"/>
          <w:color w:val="auto"/>
        </w:rPr>
      </w:pPr>
      <w:r>
        <w:rPr>
          <w:rFonts w:ascii="Courier New" w:cs="Courier New" w:eastAsia="Courier New" w:hAnsi="Courier New"/>
          <w:sz w:val="12"/>
          <w:szCs w:val="12"/>
          <w:color w:val="auto"/>
        </w:rPr>
        <w:t>2.3. Clause 3 ("EXERCISE OF WARRANT") is hereby amended by deleting the words "and, provided further, that if the Second Tranche Exercisability Date does not occur, no more than 2,066,116 (two million and sixty-six thousand, one hundred and sixteen) Warrant Shares will be exercisable during the term of this Warrant".</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2.4. Clause 6 ("INVESTMENT REPRESENTATION") is hereby amended as follows:</w:t>
      </w:r>
    </w:p>
    <w:p>
      <w:pPr>
        <w:spacing w:after="0" w:line="147" w:lineRule="exact"/>
        <w:rPr>
          <w:sz w:val="20"/>
          <w:szCs w:val="20"/>
          <w:color w:val="auto"/>
        </w:rPr>
      </w:pPr>
    </w:p>
    <w:p>
      <w:pPr>
        <w:ind w:left="740" w:right="4359" w:hanging="367"/>
        <w:spacing w:after="0" w:line="251" w:lineRule="auto"/>
        <w:rPr>
          <w:sz w:val="20"/>
          <w:szCs w:val="20"/>
          <w:color w:val="auto"/>
        </w:rPr>
      </w:pPr>
      <w:r>
        <w:rPr>
          <w:rFonts w:ascii="Courier New" w:cs="Courier New" w:eastAsia="Courier New" w:hAnsi="Courier New"/>
          <w:sz w:val="12"/>
          <w:szCs w:val="12"/>
          <w:color w:val="auto"/>
        </w:rPr>
        <w:t>2.4.1. to amend the first sentence to read in its entirety as follows: "This Warrant has not been registered under the Securities Act, or any other securities laws.";</w:t>
      </w:r>
    </w:p>
    <w:p>
      <w:pPr>
        <w:spacing w:after="0" w:line="140" w:lineRule="exact"/>
        <w:rPr>
          <w:sz w:val="20"/>
          <w:szCs w:val="20"/>
          <w:color w:val="auto"/>
        </w:rPr>
      </w:pPr>
    </w:p>
    <w:p>
      <w:pPr>
        <w:jc w:val="center"/>
        <w:ind w:right="4059"/>
        <w:spacing w:after="0"/>
        <w:rPr>
          <w:sz w:val="20"/>
          <w:szCs w:val="20"/>
          <w:color w:val="auto"/>
        </w:rPr>
      </w:pPr>
      <w:r>
        <w:rPr>
          <w:rFonts w:ascii="Courier New" w:cs="Courier New" w:eastAsia="Courier New" w:hAnsi="Courier New"/>
          <w:sz w:val="12"/>
          <w:szCs w:val="12"/>
          <w:color w:val="auto"/>
        </w:rPr>
        <w:t>2.4.2. to amend the third sentence thereof to read in its entirety as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follows: "The Warrant Shares have been registered under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Securities Act on Form F-3 Registration Statement No.</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333-131315.".</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2.5. Clause 8 ("TRANSFER OF THIS WARRANT OR SHARES") is hereby amended:</w:t>
      </w:r>
    </w:p>
    <w:p>
      <w:pPr>
        <w:spacing w:after="0" w:line="147" w:lineRule="exact"/>
        <w:rPr>
          <w:sz w:val="20"/>
          <w:szCs w:val="20"/>
          <w:color w:val="auto"/>
        </w:rPr>
      </w:pPr>
    </w:p>
    <w:p>
      <w:pPr>
        <w:ind w:left="740" w:right="4359" w:hanging="367"/>
        <w:spacing w:after="0" w:line="253" w:lineRule="auto"/>
        <w:rPr>
          <w:sz w:val="20"/>
          <w:szCs w:val="20"/>
          <w:color w:val="auto"/>
        </w:rPr>
      </w:pPr>
      <w:r>
        <w:rPr>
          <w:rFonts w:ascii="Courier New" w:cs="Courier New" w:eastAsia="Courier New" w:hAnsi="Courier New"/>
          <w:sz w:val="12"/>
          <w:szCs w:val="12"/>
          <w:color w:val="auto"/>
        </w:rPr>
        <w:t>2.5.1. to delete the words "or securities purchaseable hereunder" from the first sentence thereof; and</w:t>
      </w:r>
    </w:p>
    <w:p>
      <w:pPr>
        <w:spacing w:after="0" w:line="138" w:lineRule="exact"/>
        <w:rPr>
          <w:sz w:val="20"/>
          <w:szCs w:val="20"/>
          <w:color w:val="auto"/>
        </w:rPr>
      </w:pPr>
    </w:p>
    <w:p>
      <w:pPr>
        <w:ind w:left="740" w:right="4359" w:hanging="367"/>
        <w:spacing w:after="0" w:line="253" w:lineRule="auto"/>
        <w:rPr>
          <w:sz w:val="20"/>
          <w:szCs w:val="20"/>
          <w:color w:val="auto"/>
        </w:rPr>
      </w:pPr>
      <w:r>
        <w:rPr>
          <w:rFonts w:ascii="Courier New" w:cs="Courier New" w:eastAsia="Courier New" w:hAnsi="Courier New"/>
          <w:sz w:val="12"/>
          <w:szCs w:val="12"/>
          <w:color w:val="auto"/>
        </w:rPr>
        <w:t>2.5.2. to add the words at the end of the second sentence thereof, "or unless sold pursuant to Rule 144 of the Securities Act".</w:t>
      </w:r>
    </w:p>
    <w:p>
      <w:pPr>
        <w:spacing w:after="0" w:line="138" w:lineRule="exact"/>
        <w:rPr>
          <w:sz w:val="20"/>
          <w:szCs w:val="20"/>
          <w:color w:val="auto"/>
        </w:rPr>
      </w:pPr>
    </w:p>
    <w:p>
      <w:pPr>
        <w:ind w:left="380" w:right="4359" w:hanging="367"/>
        <w:spacing w:after="0" w:line="250" w:lineRule="auto"/>
        <w:rPr>
          <w:sz w:val="20"/>
          <w:szCs w:val="20"/>
          <w:color w:val="auto"/>
        </w:rPr>
      </w:pPr>
      <w:r>
        <w:rPr>
          <w:rFonts w:ascii="Courier New" w:cs="Courier New" w:eastAsia="Courier New" w:hAnsi="Courier New"/>
          <w:sz w:val="12"/>
          <w:szCs w:val="12"/>
          <w:color w:val="auto"/>
        </w:rPr>
        <w:t>2.6. Clause 9 (including, for the avoidance of doubt, Clause 9A, 9B and 9C) ("REGISTRATION RIGHTS") is hereby amended to read in its entirety as follows: "The Company covenants and agrees to provide the Holder the registration rights provided in the registration rights agreement, dated September 28, 2006 between the Company and Bank Hapoalim B.M., a copy of which is attached hereto as APPENDIX A, as such may be amended from time to time ("THE REGISTRATION RIGHTS AGREEMENT"). Such registration rights may be assigned by the Holder pursuant to and in accordance with the terms of the Registration Rights Agreement but only to a transferee or assignee of this Warrant pursuant to and in accordance with Section 8 of this Warrant.".</w:t>
      </w:r>
    </w:p>
    <w:p>
      <w:pPr>
        <w:spacing w:after="0" w:line="283"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- 3 -</w:t>
      </w:r>
    </w:p>
    <w:p>
      <w:pPr>
        <w:sectPr>
          <w:pgSz w:w="11900" w:h="16838" w:orient="portrait"/>
          <w:cols w:equalWidth="0" w:num="1">
            <w:col w:w="9879"/>
          </w:cols>
          <w:pgMar w:left="580" w:top="689" w:right="1440" w:bottom="1440" w:gutter="0" w:footer="0" w:header="0"/>
        </w:sectPr>
      </w:pPr>
    </w:p>
    <w:bookmarkStart w:id="229" w:name="page230"/>
    <w:bookmarkEnd w:id="229"/>
    <w:p>
      <w:pPr>
        <w:ind w:left="364"/>
        <w:spacing w:after="0"/>
        <w:rPr>
          <w:sz w:val="20"/>
          <w:szCs w:val="20"/>
          <w:color w:val="auto"/>
        </w:rPr>
      </w:pPr>
      <w:r>
        <w:rPr>
          <w:rFonts w:ascii="Courier New" w:cs="Courier New" w:eastAsia="Courier New" w:hAnsi="Courier New"/>
          <w:sz w:val="12"/>
          <w:szCs w:val="12"/>
          <w:color w:val="auto"/>
        </w:rPr>
        <w:t>2.7. Clause 12 is hereby amended by adding the following to the end</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thereof:</w:t>
      </w:r>
    </w:p>
    <w:p>
      <w:pPr>
        <w:spacing w:after="0" w:line="147"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 provided that if this Warrant has been amended, at the request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of the Holder, the Company shall issue an amended and restated</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Warrant certificate reflecting such amendment or amendments. In</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addition, but without derogating from the aforesaid, if this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Warrant has been amended, the Holder shall have the right, at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option of the Holder, at any time and, if applicable, from time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to time, to surrender this Warrant certificate and receive an</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amended and restated Warrant certificate reflecting any such</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amendment or amendments."</w:t>
      </w:r>
    </w:p>
    <w:p>
      <w:pPr>
        <w:spacing w:after="0" w:line="147" w:lineRule="exact"/>
        <w:rPr>
          <w:sz w:val="20"/>
          <w:szCs w:val="20"/>
          <w:color w:val="auto"/>
        </w:rPr>
      </w:pPr>
    </w:p>
    <w:p>
      <w:pPr>
        <w:ind w:left="744" w:right="4419" w:hanging="367"/>
        <w:spacing w:after="0" w:line="250" w:lineRule="auto"/>
        <w:rPr>
          <w:sz w:val="20"/>
          <w:szCs w:val="20"/>
          <w:color w:val="auto"/>
        </w:rPr>
      </w:pPr>
      <w:r>
        <w:rPr>
          <w:rFonts w:ascii="Courier New" w:cs="Courier New" w:eastAsia="Courier New" w:hAnsi="Courier New"/>
          <w:sz w:val="12"/>
          <w:szCs w:val="12"/>
          <w:color w:val="auto"/>
        </w:rPr>
        <w:t>2.8. Clause 13 is hereby amended to delete the words "Zion Building, 45 Rothschild Boulevard" and substitute "Migdal Levenstein, 23 Menachem Begin Road" therefor, to delete the Facsimile No. "(03) 567-3728" and substitute "(03) 567-2995" therefor, and to delete the Facsimile No. "(04) 654-6510" and substitute "(04) 604-7242" therefor.</w:t>
      </w:r>
    </w:p>
    <w:p>
      <w:pPr>
        <w:spacing w:after="0" w:line="141" w:lineRule="exact"/>
        <w:rPr>
          <w:sz w:val="20"/>
          <w:szCs w:val="20"/>
          <w:color w:val="auto"/>
        </w:rPr>
      </w:pPr>
    </w:p>
    <w:p>
      <w:pPr>
        <w:ind w:left="364" w:right="4359" w:hanging="364"/>
        <w:spacing w:after="0" w:line="251" w:lineRule="auto"/>
        <w:tabs>
          <w:tab w:leader="none" w:pos="364" w:val="left"/>
        </w:tabs>
        <w:numPr>
          <w:ilvl w:val="0"/>
          <w:numId w:val="2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Save as amended expressly pursuant to this Amendment, the provisions of the Warrant shall continue in full force and effect and the Warrant and this Amendment shall be read and construed as one instrument.</w:t>
      </w:r>
    </w:p>
    <w:p>
      <w:pPr>
        <w:spacing w:after="0" w:line="139" w:lineRule="exact"/>
        <w:rPr>
          <w:rFonts w:ascii="Courier New" w:cs="Courier New" w:eastAsia="Courier New" w:hAnsi="Courier New"/>
          <w:sz w:val="12"/>
          <w:szCs w:val="12"/>
          <w:color w:val="auto"/>
        </w:rPr>
      </w:pPr>
    </w:p>
    <w:p>
      <w:pPr>
        <w:ind w:left="364" w:right="4579" w:hanging="364"/>
        <w:spacing w:after="0" w:line="253" w:lineRule="auto"/>
        <w:tabs>
          <w:tab w:leader="none" w:pos="364" w:val="left"/>
        </w:tabs>
        <w:numPr>
          <w:ilvl w:val="0"/>
          <w:numId w:val="2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Amendment shall be governed by and construed in accordance with the laws of the State of Israel.</w:t>
      </w:r>
    </w:p>
    <w:p>
      <w:pPr>
        <w:spacing w:after="0" w:line="138" w:lineRule="exact"/>
        <w:rPr>
          <w:sz w:val="20"/>
          <w:szCs w:val="20"/>
          <w:color w:val="auto"/>
        </w:rPr>
      </w:pPr>
    </w:p>
    <w:p>
      <w:pPr>
        <w:ind w:left="4" w:right="4359"/>
        <w:spacing w:after="0" w:line="253" w:lineRule="auto"/>
        <w:rPr>
          <w:sz w:val="20"/>
          <w:szCs w:val="20"/>
          <w:color w:val="auto"/>
        </w:rPr>
      </w:pPr>
      <w:r>
        <w:rPr>
          <w:rFonts w:ascii="Courier New" w:cs="Courier New" w:eastAsia="Courier New" w:hAnsi="Courier New"/>
          <w:sz w:val="12"/>
          <w:szCs w:val="12"/>
          <w:color w:val="auto"/>
        </w:rPr>
        <w:t>IN WITNESS WHEREOF, THE PARTIES HAVE SIGNED THIS FIRST AMENDMENT ON THE 28TH DAY OF SEPTEMBER 2006.</w:t>
      </w:r>
    </w:p>
    <w:p>
      <w:pPr>
        <w:sectPr>
          <w:pgSz w:w="11900" w:h="16838" w:orient="portrait"/>
          <w:cols w:equalWidth="0" w:num="1">
            <w:col w:w="10244"/>
          </w:cols>
          <w:pgMar w:left="216" w:top="689" w:right="1440" w:bottom="1440" w:gutter="0" w:footer="0" w:header="0"/>
        </w:sectPr>
      </w:pPr>
    </w:p>
    <w:p>
      <w:pPr>
        <w:spacing w:after="0" w:line="280"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for:</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TOWER SEMICONDUCTOR LTD.</w:t>
      </w:r>
    </w:p>
    <w:p>
      <w:pPr>
        <w:spacing w:after="0" w:line="147" w:lineRule="exact"/>
        <w:rPr>
          <w:sz w:val="20"/>
          <w:szCs w:val="20"/>
          <w:color w:val="auto"/>
        </w:rPr>
      </w:pPr>
    </w:p>
    <w:p>
      <w:pPr>
        <w:sectPr>
          <w:pgSz w:w="11900" w:h="16838" w:orient="portrait"/>
          <w:cols w:equalWidth="0" w:num="2">
            <w:col w:w="304" w:space="220"/>
            <w:col w:w="9719"/>
          </w:cols>
          <w:pgMar w:left="216" w:top="689" w:right="1440" w:bottom="144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__________________________</w:t>
      </w:r>
    </w:p>
    <w:p>
      <w:pPr>
        <w:spacing w:after="0" w:line="147" w:lineRule="exact"/>
        <w:rPr>
          <w:sz w:val="20"/>
          <w:szCs w:val="20"/>
          <w:color w:val="auto"/>
        </w:rPr>
      </w:pPr>
    </w:p>
    <w:p>
      <w:pPr>
        <w:sectPr>
          <w:pgSz w:w="11900" w:h="16838" w:orient="portrait"/>
          <w:cols w:equalWidth="0" w:num="2">
            <w:col w:w="224" w:space="300"/>
            <w:col w:w="9719"/>
          </w:cols>
          <w:pgMar w:left="216" w:top="689" w:right="1440" w:bottom="144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Title: __________________________</w:t>
      </w:r>
    </w:p>
    <w:p>
      <w:pPr>
        <w:sectPr>
          <w:pgSz w:w="11900" w:h="16838" w:orient="portrait"/>
          <w:cols w:equalWidth="0" w:num="1">
            <w:col w:w="10244"/>
          </w:cols>
          <w:pgMar w:left="216" w:top="689" w:right="1440" w:bottom="1440" w:gutter="0" w:footer="0" w:header="0"/>
          <w:type w:val="continuous"/>
        </w:sectPr>
      </w:pPr>
    </w:p>
    <w:p>
      <w:pPr>
        <w:spacing w:after="0" w:line="289"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[for</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BANK HAPOALIM B.M.</w:t>
      </w:r>
    </w:p>
    <w:p>
      <w:pPr>
        <w:spacing w:after="0" w:line="147" w:lineRule="exact"/>
        <w:rPr>
          <w:sz w:val="20"/>
          <w:szCs w:val="20"/>
          <w:color w:val="auto"/>
        </w:rPr>
      </w:pPr>
    </w:p>
    <w:p>
      <w:pPr>
        <w:sectPr>
          <w:pgSz w:w="11900" w:h="16838" w:orient="portrait"/>
          <w:cols w:equalWidth="0" w:num="2">
            <w:col w:w="304" w:space="220"/>
            <w:col w:w="9719"/>
          </w:cols>
          <w:pgMar w:left="216" w:top="689" w:right="1440" w:bottom="144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_________________________</w:t>
      </w:r>
    </w:p>
    <w:p>
      <w:pPr>
        <w:spacing w:after="0" w:line="147" w:lineRule="exact"/>
        <w:rPr>
          <w:sz w:val="20"/>
          <w:szCs w:val="20"/>
          <w:color w:val="auto"/>
        </w:rPr>
      </w:pPr>
    </w:p>
    <w:p>
      <w:pPr>
        <w:sectPr>
          <w:pgSz w:w="11900" w:h="16838" w:orient="portrait"/>
          <w:cols w:equalWidth="0" w:num="2">
            <w:col w:w="224" w:space="300"/>
            <w:col w:w="9719"/>
          </w:cols>
          <w:pgMar w:left="216" w:top="689" w:right="1440" w:bottom="144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Title: __________________________]</w:t>
      </w:r>
    </w:p>
    <w:p>
      <w:pPr>
        <w:sectPr>
          <w:pgSz w:w="11900" w:h="16838" w:orient="portrait"/>
          <w:cols w:equalWidth="0" w:num="1">
            <w:col w:w="10244"/>
          </w:cols>
          <w:pgMar w:left="216" w:top="689" w:right="1440" w:bottom="1440" w:gutter="0" w:footer="0" w:header="0"/>
          <w:type w:val="continuous"/>
        </w:sectPr>
      </w:pP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1"/>
          <w:szCs w:val="11"/>
          <w:color w:val="auto"/>
        </w:rPr>
        <w:t>- 4 -</w:t>
      </w:r>
    </w:p>
    <w:p>
      <w:pPr>
        <w:sectPr>
          <w:pgSz w:w="11900" w:h="16838" w:orient="portrait"/>
          <w:cols w:equalWidth="0" w:num="1">
            <w:col w:w="10244"/>
          </w:cols>
          <w:pgMar w:left="216" w:top="689" w:right="1440" w:bottom="1440" w:gutter="0" w:footer="0" w:header="0"/>
          <w:type w:val="continuous"/>
        </w:sectPr>
      </w:pPr>
    </w:p>
    <w:bookmarkStart w:id="230" w:name="page231"/>
    <w:bookmarkEnd w:id="230"/>
    <w:p>
      <w:pPr>
        <w:jc w:val="right"/>
        <w:ind w:right="4359"/>
        <w:spacing w:after="0"/>
        <w:rPr>
          <w:sz w:val="20"/>
          <w:szCs w:val="20"/>
          <w:color w:val="auto"/>
        </w:rPr>
      </w:pPr>
      <w:r>
        <w:rPr>
          <w:rFonts w:ascii="Courier New" w:cs="Courier New" w:eastAsia="Courier New" w:hAnsi="Courier New"/>
          <w:sz w:val="12"/>
          <w:szCs w:val="12"/>
          <w:color w:val="auto"/>
        </w:rPr>
        <w:t>EXHIBIT 99.17</w:t>
      </w:r>
    </w:p>
    <w:p>
      <w:pPr>
        <w:spacing w:after="0" w:line="147" w:lineRule="exact"/>
        <w:rPr>
          <w:sz w:val="20"/>
          <w:szCs w:val="20"/>
          <w:color w:val="auto"/>
        </w:rPr>
      </w:pPr>
    </w:p>
    <w:p>
      <w:pPr>
        <w:ind w:left="2424"/>
        <w:spacing w:after="0"/>
        <w:rPr>
          <w:sz w:val="20"/>
          <w:szCs w:val="20"/>
          <w:color w:val="auto"/>
        </w:rPr>
      </w:pPr>
      <w:r>
        <w:rPr>
          <w:rFonts w:ascii="Courier New" w:cs="Courier New" w:eastAsia="Courier New" w:hAnsi="Courier New"/>
          <w:sz w:val="12"/>
          <w:szCs w:val="12"/>
          <w:color w:val="auto"/>
        </w:rPr>
        <w:t>FIRST AMENDMENT</w:t>
      </w:r>
    </w:p>
    <w:p>
      <w:pPr>
        <w:spacing w:after="0" w:line="6" w:lineRule="exact"/>
        <w:rPr>
          <w:sz w:val="20"/>
          <w:szCs w:val="20"/>
          <w:color w:val="auto"/>
        </w:rPr>
      </w:pPr>
    </w:p>
    <w:p>
      <w:pPr>
        <w:ind w:left="2804"/>
        <w:spacing w:after="0"/>
        <w:rPr>
          <w:sz w:val="20"/>
          <w:szCs w:val="20"/>
          <w:color w:val="auto"/>
        </w:rPr>
      </w:pPr>
      <w:r>
        <w:rPr>
          <w:rFonts w:ascii="Courier New" w:cs="Courier New" w:eastAsia="Courier New" w:hAnsi="Courier New"/>
          <w:sz w:val="12"/>
          <w:szCs w:val="12"/>
          <w:color w:val="auto"/>
        </w:rPr>
        <w:t>TO A</w:t>
      </w:r>
    </w:p>
    <w:p>
      <w:pPr>
        <w:spacing w:after="0" w:line="6" w:lineRule="exact"/>
        <w:rPr>
          <w:sz w:val="20"/>
          <w:szCs w:val="20"/>
          <w:color w:val="auto"/>
        </w:rPr>
      </w:pPr>
    </w:p>
    <w:p>
      <w:pPr>
        <w:ind w:left="2364"/>
        <w:spacing w:after="0"/>
        <w:rPr>
          <w:sz w:val="20"/>
          <w:szCs w:val="20"/>
          <w:color w:val="auto"/>
        </w:rPr>
      </w:pPr>
      <w:r>
        <w:rPr>
          <w:rFonts w:ascii="Courier New" w:cs="Courier New" w:eastAsia="Courier New" w:hAnsi="Courier New"/>
          <w:sz w:val="12"/>
          <w:szCs w:val="12"/>
          <w:color w:val="auto"/>
        </w:rPr>
        <w:t>WARRANT ISSUED ON</w:t>
      </w:r>
    </w:p>
    <w:p>
      <w:pPr>
        <w:spacing w:after="0" w:line="6" w:lineRule="exact"/>
        <w:rPr>
          <w:sz w:val="20"/>
          <w:szCs w:val="20"/>
          <w:color w:val="auto"/>
        </w:rPr>
      </w:pPr>
    </w:p>
    <w:p>
      <w:pPr>
        <w:ind w:left="2424"/>
        <w:spacing w:after="0"/>
        <w:rPr>
          <w:sz w:val="20"/>
          <w:szCs w:val="20"/>
          <w:color w:val="auto"/>
        </w:rPr>
      </w:pPr>
      <w:r>
        <w:rPr>
          <w:rFonts w:ascii="Courier New" w:cs="Courier New" w:eastAsia="Courier New" w:hAnsi="Courier New"/>
          <w:sz w:val="12"/>
          <w:szCs w:val="12"/>
          <w:color w:val="auto"/>
        </w:rPr>
        <w:t>AUGUST 4, 2005</w:t>
      </w:r>
    </w:p>
    <w:p>
      <w:pPr>
        <w:spacing w:after="0" w:line="6" w:lineRule="exact"/>
        <w:rPr>
          <w:sz w:val="20"/>
          <w:szCs w:val="20"/>
          <w:color w:val="auto"/>
        </w:rPr>
      </w:pPr>
    </w:p>
    <w:p>
      <w:pPr>
        <w:ind w:left="2364"/>
        <w:spacing w:after="0"/>
        <w:rPr>
          <w:sz w:val="20"/>
          <w:szCs w:val="20"/>
          <w:color w:val="auto"/>
        </w:rPr>
      </w:pPr>
      <w:r>
        <w:rPr>
          <w:rFonts w:ascii="Courier New" w:cs="Courier New" w:eastAsia="Courier New" w:hAnsi="Courier New"/>
          <w:sz w:val="12"/>
          <w:szCs w:val="12"/>
          <w:color w:val="auto"/>
        </w:rPr>
        <w:t>-----------------</w:t>
      </w:r>
    </w:p>
    <w:p>
      <w:pPr>
        <w:spacing w:after="0" w:line="147"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THIS FIRST AMENDMENT is made on the 28th day of September, 2006,</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between:</w:t>
      </w:r>
    </w:p>
    <w:p>
      <w:pPr>
        <w:spacing w:after="0" w:line="147" w:lineRule="exact"/>
        <w:rPr>
          <w:sz w:val="20"/>
          <w:szCs w:val="20"/>
          <w:color w:val="auto"/>
        </w:rPr>
      </w:pPr>
    </w:p>
    <w:p>
      <w:pPr>
        <w:ind w:left="1104" w:right="4419" w:hanging="368"/>
        <w:spacing w:after="0" w:line="251" w:lineRule="auto"/>
        <w:tabs>
          <w:tab w:leader="none" w:pos="1104" w:val="left"/>
        </w:tabs>
        <w:numPr>
          <w:ilvl w:val="0"/>
          <w:numId w:val="2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TOWER SEMICONDUCTOR LTD., a company incorporated in Israel (registered number 52-004199-7), having its registered office at P.O. Box 619, Migdal Haemek 23105, Israel ("THE COMPANY");</w:t>
      </w:r>
    </w:p>
    <w:p>
      <w:pPr>
        <w:spacing w:after="0" w:line="140"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AND</w:t>
      </w:r>
    </w:p>
    <w:p>
      <w:pPr>
        <w:spacing w:after="0" w:line="147" w:lineRule="exact"/>
        <w:rPr>
          <w:sz w:val="20"/>
          <w:szCs w:val="20"/>
          <w:color w:val="auto"/>
        </w:rPr>
      </w:pPr>
    </w:p>
    <w:p>
      <w:pPr>
        <w:ind w:left="1104" w:hanging="368"/>
        <w:spacing w:after="0"/>
        <w:tabs>
          <w:tab w:leader="none" w:pos="1104" w:val="left"/>
        </w:tabs>
        <w:numPr>
          <w:ilvl w:val="0"/>
          <w:numId w:val="2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 LEUMI LE-ISRAEL B.M. ("THE HOLDER")</w:t>
      </w:r>
    </w:p>
    <w:p>
      <w:pPr>
        <w:spacing w:after="0" w:line="147"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WHEREAS:</w:t>
      </w:r>
    </w:p>
    <w:p>
      <w:pPr>
        <w:spacing w:after="0" w:line="147" w:lineRule="exact"/>
        <w:rPr>
          <w:sz w:val="20"/>
          <w:szCs w:val="20"/>
          <w:color w:val="auto"/>
        </w:rPr>
      </w:pPr>
    </w:p>
    <w:p>
      <w:pPr>
        <w:ind w:left="364" w:right="4359" w:hanging="364"/>
        <w:spacing w:after="0" w:line="251" w:lineRule="auto"/>
        <w:tabs>
          <w:tab w:leader="none" w:pos="364" w:val="left"/>
        </w:tabs>
        <w:numPr>
          <w:ilvl w:val="0"/>
          <w:numId w:val="2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pursuant to a Warrant issued on August 4, 2005 ("THE WARRANT"), the Company granted the Holder the right to purchase 4,132,232 Warrant Shares at the Warrant Price, which is US $1.21 (one United States Dollar and twenty-one cents) per share; and</w:t>
      </w:r>
    </w:p>
    <w:p>
      <w:pPr>
        <w:spacing w:after="0" w:line="139" w:lineRule="exact"/>
        <w:rPr>
          <w:rFonts w:ascii="Courier New" w:cs="Courier New" w:eastAsia="Courier New" w:hAnsi="Courier New"/>
          <w:sz w:val="12"/>
          <w:szCs w:val="12"/>
          <w:color w:val="auto"/>
        </w:rPr>
      </w:pPr>
    </w:p>
    <w:p>
      <w:pPr>
        <w:ind w:left="364" w:right="4419" w:hanging="364"/>
        <w:spacing w:after="0" w:line="251" w:lineRule="auto"/>
        <w:tabs>
          <w:tab w:leader="none" w:pos="364" w:val="left"/>
        </w:tabs>
        <w:numPr>
          <w:ilvl w:val="0"/>
          <w:numId w:val="2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at the request of the Company, the Company and the Banks entered into an Amending Agreement, dated August 24, 2006, to the Agreement, one of the conditions to the effectiveness thereof is the entering into of this First Amendment to the Warrant,</w:t>
      </w:r>
    </w:p>
    <w:p>
      <w:pPr>
        <w:spacing w:after="0" w:line="139"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NOW THEREFORE IT IS AGREED BETWEEN THE PARTIES HERETO AS FOLLOWS:</w:t>
      </w:r>
    </w:p>
    <w:p>
      <w:pPr>
        <w:spacing w:after="0" w:line="147" w:lineRule="exact"/>
        <w:rPr>
          <w:sz w:val="20"/>
          <w:szCs w:val="20"/>
          <w:color w:val="auto"/>
        </w:rPr>
      </w:pPr>
    </w:p>
    <w:p>
      <w:pPr>
        <w:ind w:left="364" w:right="4499" w:hanging="364"/>
        <w:spacing w:after="0" w:line="251" w:lineRule="auto"/>
        <w:tabs>
          <w:tab w:leader="none" w:pos="364" w:val="left"/>
        </w:tabs>
        <w:numPr>
          <w:ilvl w:val="0"/>
          <w:numId w:val="2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Unless otherwise defined in this Amendment, terms defined and references contained in the Warrant, shall have the same meaning and construction in this Amendment.</w:t>
      </w:r>
    </w:p>
    <w:p>
      <w:pPr>
        <w:spacing w:after="0" w:line="200" w:lineRule="exact"/>
        <w:rPr>
          <w:rFonts w:ascii="Courier New" w:cs="Courier New" w:eastAsia="Courier New" w:hAnsi="Courier New"/>
          <w:sz w:val="12"/>
          <w:szCs w:val="12"/>
          <w:color w:val="auto"/>
        </w:rPr>
      </w:pPr>
    </w:p>
    <w:p>
      <w:pPr>
        <w:spacing w:after="0" w:line="200" w:lineRule="exact"/>
        <w:rPr>
          <w:rFonts w:ascii="Courier New" w:cs="Courier New" w:eastAsia="Courier New" w:hAnsi="Courier New"/>
          <w:sz w:val="12"/>
          <w:szCs w:val="12"/>
          <w:color w:val="auto"/>
        </w:rPr>
      </w:pPr>
    </w:p>
    <w:p>
      <w:pPr>
        <w:spacing w:after="0" w:line="200" w:lineRule="exact"/>
        <w:rPr>
          <w:rFonts w:ascii="Courier New" w:cs="Courier New" w:eastAsia="Courier New" w:hAnsi="Courier New"/>
          <w:sz w:val="12"/>
          <w:szCs w:val="12"/>
          <w:color w:val="auto"/>
        </w:rPr>
      </w:pPr>
    </w:p>
    <w:p>
      <w:pPr>
        <w:spacing w:after="0" w:line="228" w:lineRule="exact"/>
        <w:rPr>
          <w:rFonts w:ascii="Courier New" w:cs="Courier New" w:eastAsia="Courier New" w:hAnsi="Courier New"/>
          <w:sz w:val="12"/>
          <w:szCs w:val="12"/>
          <w:color w:val="auto"/>
        </w:rPr>
      </w:pPr>
    </w:p>
    <w:p>
      <w:pPr>
        <w:ind w:left="364" w:hanging="364"/>
        <w:spacing w:after="0"/>
        <w:tabs>
          <w:tab w:leader="none" w:pos="364" w:val="left"/>
        </w:tabs>
        <w:numPr>
          <w:ilvl w:val="0"/>
          <w:numId w:val="2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Warrant is hereby amended as follows:</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2.1. The legend at the top of the first page of the Warrant is hereby</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amended to read in its entirety as follows:</w:t>
      </w:r>
    </w:p>
    <w:p>
      <w:pPr>
        <w:spacing w:after="0" w:line="147"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THIS WARRANT HAS NOT BEEN REGISTERED OR QUALIFIED UNDER THE U.S.</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SECURITIES ACT OF 1933, AS AMENDED ("THE ACT"), OR ANY U.S. STATE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OR OTHER JURISDICTION'S SECURITIES LAWS. THIS WARRANT, AND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SECURITIES ISSUABLE PURSUANT THERETO, MAY NOT BE SOLD, OFFERED</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FOR SALE OR PLEDGED, HYPOTHECATED OR OTHERWISE TRANSFERRED IN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ABSENCE OF A REGISTRATION STATEMENT IN EFFECT UNDER THE ACT WITH</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RESPECT TO THIS WARRANT OR THE SECURITIES ISSUABLE PURSUANT</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THERETO OR AN OPINION OF COUNSEL (REASONABLY SATISFACTORY TO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COMPANY) THAT SUCH REGISTRATION IS NOT REQUIRED OR UNLESS SOLD</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PURSUANT TO RULE 144 OF THE ACT OR ON THE TEL-AVIV STOCK EXCHANGE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IN COMPLIANCE WITH REGULATION S UNDER THE ACT.</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2.2. Clause 2A ("EXERCISABILITY; TERM") is hereby amended as follows:</w:t>
      </w:r>
    </w:p>
    <w:p>
      <w:pPr>
        <w:spacing w:after="0" w:line="147" w:lineRule="exact"/>
        <w:rPr>
          <w:sz w:val="20"/>
          <w:szCs w:val="20"/>
          <w:color w:val="auto"/>
        </w:rPr>
      </w:pPr>
    </w:p>
    <w:p>
      <w:pPr>
        <w:ind w:left="1104" w:right="4359" w:hanging="367"/>
        <w:spacing w:after="0" w:line="251" w:lineRule="auto"/>
        <w:rPr>
          <w:sz w:val="20"/>
          <w:szCs w:val="20"/>
          <w:color w:val="auto"/>
        </w:rPr>
      </w:pPr>
      <w:r>
        <w:rPr>
          <w:rFonts w:ascii="Courier New" w:cs="Courier New" w:eastAsia="Courier New" w:hAnsi="Courier New"/>
          <w:sz w:val="12"/>
          <w:szCs w:val="12"/>
          <w:color w:val="auto"/>
        </w:rPr>
        <w:t>2.2.1. the words "the date which is 5 (five) years following the Ninth Amendment Closing Date" before the parenthetical phrase "("THE FIRST TRANCHE EXPIRATION DATE")" are hereby deleted and the date "September 28, 2011" substituted therefor;</w:t>
      </w:r>
    </w:p>
    <w:p>
      <w:pPr>
        <w:spacing w:after="0" w:line="139" w:lineRule="exact"/>
        <w:rPr>
          <w:sz w:val="20"/>
          <w:szCs w:val="20"/>
          <w:color w:val="auto"/>
        </w:rPr>
      </w:pPr>
    </w:p>
    <w:p>
      <w:pPr>
        <w:ind w:left="1104" w:right="4359" w:hanging="367"/>
        <w:spacing w:after="0" w:line="250" w:lineRule="auto"/>
        <w:rPr>
          <w:sz w:val="20"/>
          <w:szCs w:val="20"/>
          <w:color w:val="auto"/>
        </w:rPr>
      </w:pPr>
      <w:r>
        <w:rPr>
          <w:rFonts w:ascii="Courier New" w:cs="Courier New" w:eastAsia="Courier New" w:hAnsi="Courier New"/>
          <w:sz w:val="12"/>
          <w:szCs w:val="12"/>
          <w:color w:val="auto"/>
        </w:rPr>
        <w:t>2.2.2. the words "the date of signature by the Company and the Banks of an agreement by the Banks to reschedule the repayment dates of the Interest Payment Loans (as defined in the Ninth Amendment)" before the parenthetical phrase "("THE SECOND TRANCHE EXERCISABILITY DATE")" are hereby deleted and the date "September 28, 2006" substituted therefor; and</w:t>
      </w:r>
    </w:p>
    <w:p>
      <w:pPr>
        <w:spacing w:after="0" w:line="141"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2.2.3. the words "the date which is 5 (five) years following the</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Second Tranche Exercisability Date" before the parenthetical</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phrase "("THE SECOND TRANCHE EXPIRATION DATE")" are hereby</w:t>
      </w:r>
    </w:p>
    <w:p>
      <w:pPr>
        <w:spacing w:after="0" w:line="6" w:lineRule="exact"/>
        <w:rPr>
          <w:sz w:val="20"/>
          <w:szCs w:val="20"/>
          <w:color w:val="auto"/>
        </w:rPr>
      </w:pPr>
    </w:p>
    <w:p>
      <w:pPr>
        <w:ind w:left="1104"/>
        <w:spacing w:after="0"/>
        <w:rPr>
          <w:sz w:val="20"/>
          <w:szCs w:val="20"/>
          <w:color w:val="auto"/>
        </w:rPr>
      </w:pPr>
      <w:r>
        <w:rPr>
          <w:rFonts w:ascii="Courier New" w:cs="Courier New" w:eastAsia="Courier New" w:hAnsi="Courier New"/>
          <w:sz w:val="12"/>
          <w:szCs w:val="12"/>
          <w:color w:val="auto"/>
        </w:rPr>
        <w:t>deleted and the date "September 28, 2011" substituted therefor.</w:t>
      </w: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2"/>
          <w:szCs w:val="12"/>
          <w:color w:val="auto"/>
        </w:rPr>
        <w:t>- 2 -</w:t>
      </w:r>
    </w:p>
    <w:p>
      <w:pPr>
        <w:sectPr>
          <w:pgSz w:w="11900" w:h="16838" w:orient="portrait"/>
          <w:cols w:equalWidth="0" w:num="1">
            <w:col w:w="10244"/>
          </w:cols>
          <w:pgMar w:left="216" w:top="283" w:right="1440" w:bottom="1440" w:gutter="0" w:footer="0" w:header="0"/>
        </w:sectPr>
      </w:pPr>
    </w:p>
    <w:bookmarkStart w:id="231" w:name="page232"/>
    <w:bookmarkEnd w:id="231"/>
    <w:p>
      <w:pPr>
        <w:ind w:left="380" w:right="4639" w:hanging="367"/>
        <w:spacing w:after="0" w:line="250" w:lineRule="auto"/>
        <w:rPr>
          <w:sz w:val="20"/>
          <w:szCs w:val="20"/>
          <w:color w:val="auto"/>
        </w:rPr>
      </w:pPr>
      <w:r>
        <w:rPr>
          <w:rFonts w:ascii="Courier New" w:cs="Courier New" w:eastAsia="Courier New" w:hAnsi="Courier New"/>
          <w:sz w:val="12"/>
          <w:szCs w:val="12"/>
          <w:color w:val="auto"/>
        </w:rPr>
        <w:t>2.3. Clause 3 ("EXERCISE OF WARRANT") is hereby amended by deleting the words "and, provided further, that if the Second Tranche Exercisability Date does not occur, no more than 2,066,116 (two million and sixty-six thousand, one hundred and sixteen) Warrant Shares will be exercisable during the term of this Warrant".</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2.4. Clause 6 ("INVESTMENT REPRESENTATION") is hereby amended as follows:</w:t>
      </w:r>
    </w:p>
    <w:p>
      <w:pPr>
        <w:spacing w:after="0" w:line="147" w:lineRule="exact"/>
        <w:rPr>
          <w:sz w:val="20"/>
          <w:szCs w:val="20"/>
          <w:color w:val="auto"/>
        </w:rPr>
      </w:pPr>
    </w:p>
    <w:p>
      <w:pPr>
        <w:ind w:left="740" w:right="4359" w:hanging="367"/>
        <w:spacing w:after="0" w:line="251" w:lineRule="auto"/>
        <w:rPr>
          <w:sz w:val="20"/>
          <w:szCs w:val="20"/>
          <w:color w:val="auto"/>
        </w:rPr>
      </w:pPr>
      <w:r>
        <w:rPr>
          <w:rFonts w:ascii="Courier New" w:cs="Courier New" w:eastAsia="Courier New" w:hAnsi="Courier New"/>
          <w:sz w:val="12"/>
          <w:szCs w:val="12"/>
          <w:color w:val="auto"/>
        </w:rPr>
        <w:t>2.4.1. to amend the first sentence to read in its entirety as follows: "This Warrant has not been registered under the Securities Act, or any other securities laws.";</w:t>
      </w:r>
    </w:p>
    <w:p>
      <w:pPr>
        <w:spacing w:after="0" w:line="140" w:lineRule="exact"/>
        <w:rPr>
          <w:sz w:val="20"/>
          <w:szCs w:val="20"/>
          <w:color w:val="auto"/>
        </w:rPr>
      </w:pPr>
    </w:p>
    <w:p>
      <w:pPr>
        <w:jc w:val="center"/>
        <w:ind w:right="4059"/>
        <w:spacing w:after="0"/>
        <w:rPr>
          <w:sz w:val="20"/>
          <w:szCs w:val="20"/>
          <w:color w:val="auto"/>
        </w:rPr>
      </w:pPr>
      <w:r>
        <w:rPr>
          <w:rFonts w:ascii="Courier New" w:cs="Courier New" w:eastAsia="Courier New" w:hAnsi="Courier New"/>
          <w:sz w:val="12"/>
          <w:szCs w:val="12"/>
          <w:color w:val="auto"/>
        </w:rPr>
        <w:t>2.4.2. to amend the third sentence thereof to read in its entirety as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follows: "The Warrant Shares have been registered under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Securities Act on Form F-3 Registration Statement No.</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333-131315.".</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2.5. Clause 8 ("TRANSFER OF THIS WARRANT OR SHARES") is hereby amended:</w:t>
      </w:r>
    </w:p>
    <w:p>
      <w:pPr>
        <w:spacing w:after="0" w:line="147" w:lineRule="exact"/>
        <w:rPr>
          <w:sz w:val="20"/>
          <w:szCs w:val="20"/>
          <w:color w:val="auto"/>
        </w:rPr>
      </w:pPr>
    </w:p>
    <w:p>
      <w:pPr>
        <w:ind w:left="740" w:right="4359" w:hanging="367"/>
        <w:spacing w:after="0" w:line="253" w:lineRule="auto"/>
        <w:rPr>
          <w:sz w:val="20"/>
          <w:szCs w:val="20"/>
          <w:color w:val="auto"/>
        </w:rPr>
      </w:pPr>
      <w:r>
        <w:rPr>
          <w:rFonts w:ascii="Courier New" w:cs="Courier New" w:eastAsia="Courier New" w:hAnsi="Courier New"/>
          <w:sz w:val="12"/>
          <w:szCs w:val="12"/>
          <w:color w:val="auto"/>
        </w:rPr>
        <w:t>2.5.1. to delete the words "or securities purchaseable hereunder" from the first sentence thereof; and</w:t>
      </w:r>
    </w:p>
    <w:p>
      <w:pPr>
        <w:spacing w:after="0" w:line="138" w:lineRule="exact"/>
        <w:rPr>
          <w:sz w:val="20"/>
          <w:szCs w:val="20"/>
          <w:color w:val="auto"/>
        </w:rPr>
      </w:pPr>
    </w:p>
    <w:p>
      <w:pPr>
        <w:ind w:left="740" w:right="4359" w:hanging="367"/>
        <w:spacing w:after="0" w:line="253" w:lineRule="auto"/>
        <w:rPr>
          <w:sz w:val="20"/>
          <w:szCs w:val="20"/>
          <w:color w:val="auto"/>
        </w:rPr>
      </w:pPr>
      <w:r>
        <w:rPr>
          <w:rFonts w:ascii="Courier New" w:cs="Courier New" w:eastAsia="Courier New" w:hAnsi="Courier New"/>
          <w:sz w:val="12"/>
          <w:szCs w:val="12"/>
          <w:color w:val="auto"/>
        </w:rPr>
        <w:t>2.5.2. to add the words at the end of the second sentence thereof, "or unless sold pursuant to Rule 144 of the Securities Act".</w:t>
      </w:r>
    </w:p>
    <w:p>
      <w:pPr>
        <w:spacing w:after="0" w:line="138" w:lineRule="exact"/>
        <w:rPr>
          <w:sz w:val="20"/>
          <w:szCs w:val="20"/>
          <w:color w:val="auto"/>
        </w:rPr>
      </w:pPr>
    </w:p>
    <w:p>
      <w:pPr>
        <w:ind w:left="380" w:right="4359" w:hanging="367"/>
        <w:spacing w:after="0" w:line="250" w:lineRule="auto"/>
        <w:rPr>
          <w:sz w:val="20"/>
          <w:szCs w:val="20"/>
          <w:color w:val="auto"/>
        </w:rPr>
      </w:pPr>
      <w:r>
        <w:rPr>
          <w:rFonts w:ascii="Courier New" w:cs="Courier New" w:eastAsia="Courier New" w:hAnsi="Courier New"/>
          <w:sz w:val="12"/>
          <w:szCs w:val="12"/>
          <w:color w:val="auto"/>
        </w:rPr>
        <w:t>2.6. Clause 9 (including, for the avoidance of doubt, Clause 9A, 9B and 9C) ("REGISTRATION RIGHTS") is hereby amended to read in its entirety as follows: "The Company covenants and agrees to provide the Holder the registration rights provided in the registration rights agreement, dated September 28, 2006 between the Company and Bank Leumi Le-Israel B.M., a copy of which is attached hereto as APPENDIX A, as such may be amended from time to time ("THE REGISTRATION RIGHTS AGREEMENT"). Such registration rights may be assigned by the Holder pursuant to and in accordance with the terms of the Registration Rights Agreement but only to a transferee or assignee of this Warrant pursuant to and in accordance with Section 8 of this Warrant.".</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2.7. Clause 12 is hereby amended by adding the following to the end</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thereof:</w:t>
      </w:r>
    </w:p>
    <w:p>
      <w:pPr>
        <w:spacing w:after="0" w:line="147"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 provided that if this Warrant has been amended, at the request</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of the Holder, the Company shall issue an amended and restated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Warrant certificate reflecting such amendment or amendments. In</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addition, but without derogating from the aforesaid, if this</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Warrant has been amended, the Holder shall have the right, at the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option of the Holder, at any time and, if applicable, from time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to time, to surrender this Warrant certificate and receive an</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amended and restated Warrant certificate reflecting any such</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amendment or amendments."</w:t>
      </w:r>
    </w:p>
    <w:p>
      <w:pPr>
        <w:spacing w:after="0" w:line="289"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- 3 -</w:t>
      </w:r>
    </w:p>
    <w:p>
      <w:pPr>
        <w:sectPr>
          <w:pgSz w:w="11900" w:h="16838" w:orient="portrait"/>
          <w:cols w:equalWidth="0" w:num="1">
            <w:col w:w="9879"/>
          </w:cols>
          <w:pgMar w:left="580" w:top="689" w:right="1440" w:bottom="1440" w:gutter="0" w:footer="0" w:header="0"/>
        </w:sectPr>
      </w:pPr>
    </w:p>
    <w:bookmarkStart w:id="232" w:name="page233"/>
    <w:bookmarkEnd w:id="232"/>
    <w:p>
      <w:pPr>
        <w:ind w:left="744" w:right="4359" w:hanging="367"/>
        <w:spacing w:after="0" w:line="249" w:lineRule="auto"/>
        <w:rPr>
          <w:sz w:val="20"/>
          <w:szCs w:val="20"/>
          <w:color w:val="auto"/>
        </w:rPr>
      </w:pPr>
      <w:r>
        <w:rPr>
          <w:rFonts w:ascii="Courier New" w:cs="Courier New" w:eastAsia="Courier New" w:hAnsi="Courier New"/>
          <w:sz w:val="12"/>
          <w:szCs w:val="12"/>
          <w:color w:val="auto"/>
        </w:rPr>
        <w:t>2.8. Clause 13 is hereby amended to delete the Facsimile No. "(03) 514-9017" and substitute "(03) 514-9278" therefor, to add, immediately thereafter, "with a copy to (which shall not constitute notice): Leumi and Co. Investment House Ltd., 25 Kalisher Street, Tel-Aviv 65165, Israel, Fax: 972-3-5141215, Attn: Head of Investment Sector" and to delete the Facsimile No. "(04) 654-6510" and substitute "(04)</w:t>
      </w:r>
    </w:p>
    <w:p>
      <w:pPr>
        <w:spacing w:after="0" w:line="3"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604-7242" therefor.</w:t>
      </w:r>
    </w:p>
    <w:p>
      <w:pPr>
        <w:spacing w:after="0" w:line="147" w:lineRule="exact"/>
        <w:rPr>
          <w:sz w:val="20"/>
          <w:szCs w:val="20"/>
          <w:color w:val="auto"/>
        </w:rPr>
      </w:pPr>
    </w:p>
    <w:p>
      <w:pPr>
        <w:ind w:left="364" w:right="4359" w:hanging="364"/>
        <w:spacing w:after="0" w:line="251" w:lineRule="auto"/>
        <w:tabs>
          <w:tab w:leader="none" w:pos="364" w:val="left"/>
        </w:tabs>
        <w:numPr>
          <w:ilvl w:val="0"/>
          <w:numId w:val="2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Save as amended expressly pursuant to this Amendment, the provisions of the Warrant shall continue in full force and effect and the Warrant and this Amendment shall be read and construed as one instrument.</w:t>
      </w:r>
    </w:p>
    <w:p>
      <w:pPr>
        <w:spacing w:after="0" w:line="139" w:lineRule="exact"/>
        <w:rPr>
          <w:rFonts w:ascii="Courier New" w:cs="Courier New" w:eastAsia="Courier New" w:hAnsi="Courier New"/>
          <w:sz w:val="12"/>
          <w:szCs w:val="12"/>
          <w:color w:val="auto"/>
        </w:rPr>
      </w:pPr>
    </w:p>
    <w:p>
      <w:pPr>
        <w:ind w:left="364" w:right="4579" w:hanging="364"/>
        <w:spacing w:after="0" w:line="253" w:lineRule="auto"/>
        <w:tabs>
          <w:tab w:leader="none" w:pos="364" w:val="left"/>
        </w:tabs>
        <w:numPr>
          <w:ilvl w:val="0"/>
          <w:numId w:val="2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Amendment shall be governed by and construed in accordance with the laws of the State of Israel.</w:t>
      </w:r>
    </w:p>
    <w:p>
      <w:pPr>
        <w:spacing w:after="0" w:line="138" w:lineRule="exact"/>
        <w:rPr>
          <w:sz w:val="20"/>
          <w:szCs w:val="20"/>
          <w:color w:val="auto"/>
        </w:rPr>
      </w:pPr>
    </w:p>
    <w:p>
      <w:pPr>
        <w:ind w:left="4" w:right="4359"/>
        <w:spacing w:after="0" w:line="253" w:lineRule="auto"/>
        <w:rPr>
          <w:sz w:val="20"/>
          <w:szCs w:val="20"/>
          <w:color w:val="auto"/>
        </w:rPr>
      </w:pPr>
      <w:r>
        <w:rPr>
          <w:rFonts w:ascii="Courier New" w:cs="Courier New" w:eastAsia="Courier New" w:hAnsi="Courier New"/>
          <w:sz w:val="12"/>
          <w:szCs w:val="12"/>
          <w:color w:val="auto"/>
        </w:rPr>
        <w:t>IN WITNESS WHEREOF, THE PARTIES HAVE SIGNED THIS FIRST AMENDMENT ON THE 28TH DAY OF SEPTEMBER 2006.</w:t>
      </w:r>
    </w:p>
    <w:p>
      <w:pPr>
        <w:sectPr>
          <w:pgSz w:w="11900" w:h="16838" w:orient="portrait"/>
          <w:cols w:equalWidth="0" w:num="1">
            <w:col w:w="10244"/>
          </w:cols>
          <w:pgMar w:left="216" w:top="689" w:right="1440" w:bottom="1440" w:gutter="0" w:footer="0" w:header="0"/>
        </w:sectPr>
      </w:pPr>
    </w:p>
    <w:p>
      <w:pPr>
        <w:spacing w:after="0" w:line="138"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for: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TOWER SEMICONDUCTOR LTD.</w:t>
      </w:r>
    </w:p>
    <w:p>
      <w:pPr>
        <w:spacing w:after="0" w:line="147" w:lineRule="exact"/>
        <w:rPr>
          <w:sz w:val="20"/>
          <w:szCs w:val="20"/>
          <w:color w:val="auto"/>
        </w:rPr>
      </w:pPr>
    </w:p>
    <w:p>
      <w:pPr>
        <w:sectPr>
          <w:pgSz w:w="11900" w:h="16838" w:orient="portrait"/>
          <w:cols w:equalWidth="0" w:num="2">
            <w:col w:w="304" w:space="220"/>
            <w:col w:w="9719"/>
          </w:cols>
          <w:pgMar w:left="216" w:top="689" w:right="1440" w:bottom="144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__________________________</w:t>
      </w:r>
    </w:p>
    <w:p>
      <w:pPr>
        <w:spacing w:after="0" w:line="147" w:lineRule="exact"/>
        <w:rPr>
          <w:sz w:val="20"/>
          <w:szCs w:val="20"/>
          <w:color w:val="auto"/>
        </w:rPr>
      </w:pPr>
    </w:p>
    <w:p>
      <w:pPr>
        <w:sectPr>
          <w:pgSz w:w="11900" w:h="16838" w:orient="portrait"/>
          <w:cols w:equalWidth="0" w:num="2">
            <w:col w:w="224" w:space="300"/>
            <w:col w:w="9719"/>
          </w:cols>
          <w:pgMar w:left="216" w:top="689" w:right="1440" w:bottom="144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Title: __________________________</w:t>
      </w:r>
    </w:p>
    <w:p>
      <w:pPr>
        <w:sectPr>
          <w:pgSz w:w="11900" w:h="16838" w:orient="portrait"/>
          <w:cols w:equalWidth="0" w:num="1">
            <w:col w:w="10244"/>
          </w:cols>
          <w:pgMar w:left="216" w:top="689" w:right="1440" w:bottom="1440" w:gutter="0" w:footer="0" w:header="0"/>
          <w:type w:val="continuous"/>
        </w:sectPr>
      </w:pPr>
    </w:p>
    <w:p>
      <w:pPr>
        <w:spacing w:after="0" w:line="289"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for</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BANK LEUMI LE-ISRAEL B.M.</w:t>
      </w:r>
    </w:p>
    <w:p>
      <w:pPr>
        <w:spacing w:after="0" w:line="147" w:lineRule="exact"/>
        <w:rPr>
          <w:sz w:val="20"/>
          <w:szCs w:val="20"/>
          <w:color w:val="auto"/>
        </w:rPr>
      </w:pPr>
    </w:p>
    <w:p>
      <w:pPr>
        <w:sectPr>
          <w:pgSz w:w="11900" w:h="16838" w:orient="portrait"/>
          <w:cols w:equalWidth="0" w:num="2">
            <w:col w:w="224" w:space="300"/>
            <w:col w:w="9719"/>
          </w:cols>
          <w:pgMar w:left="216" w:top="689" w:right="1440" w:bottom="144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_________________________</w:t>
      </w:r>
    </w:p>
    <w:p>
      <w:pPr>
        <w:spacing w:after="0" w:line="147" w:lineRule="exact"/>
        <w:rPr>
          <w:sz w:val="20"/>
          <w:szCs w:val="20"/>
          <w:color w:val="auto"/>
        </w:rPr>
      </w:pPr>
    </w:p>
    <w:p>
      <w:pPr>
        <w:sectPr>
          <w:pgSz w:w="11900" w:h="16838" w:orient="portrait"/>
          <w:cols w:equalWidth="0" w:num="2">
            <w:col w:w="224" w:space="300"/>
            <w:col w:w="9719"/>
          </w:cols>
          <w:pgMar w:left="216" w:top="689" w:right="1440" w:bottom="1440" w:gutter="0" w:footer="0" w:header="0"/>
          <w:type w:val="continuous"/>
        </w:sectPr>
      </w:pPr>
    </w:p>
    <w:p>
      <w:pPr>
        <w:ind w:left="4"/>
        <w:spacing w:after="0"/>
        <w:rPr>
          <w:sz w:val="20"/>
          <w:szCs w:val="20"/>
          <w:color w:val="auto"/>
        </w:rPr>
      </w:pPr>
      <w:r>
        <w:rPr>
          <w:rFonts w:ascii="Courier New" w:cs="Courier New" w:eastAsia="Courier New" w:hAnsi="Courier New"/>
          <w:sz w:val="12"/>
          <w:szCs w:val="12"/>
          <w:color w:val="auto"/>
        </w:rPr>
        <w:t>Title: __________________________</w:t>
      </w:r>
    </w:p>
    <w:p>
      <w:pPr>
        <w:sectPr>
          <w:pgSz w:w="11900" w:h="16838" w:orient="portrait"/>
          <w:cols w:equalWidth="0" w:num="1">
            <w:col w:w="10244"/>
          </w:cols>
          <w:pgMar w:left="216" w:top="689" w:right="1440" w:bottom="1440" w:gutter="0" w:footer="0" w:header="0"/>
          <w:type w:val="continuous"/>
        </w:sectPr>
      </w:pPr>
    </w:p>
    <w:p>
      <w:pPr>
        <w:spacing w:after="0" w:line="289" w:lineRule="exact"/>
        <w:rPr>
          <w:sz w:val="20"/>
          <w:szCs w:val="20"/>
          <w:color w:val="auto"/>
        </w:rPr>
      </w:pPr>
    </w:p>
    <w:p>
      <w:pPr>
        <w:ind w:left="2724"/>
        <w:spacing w:after="0"/>
        <w:rPr>
          <w:sz w:val="20"/>
          <w:szCs w:val="20"/>
          <w:color w:val="auto"/>
        </w:rPr>
      </w:pPr>
      <w:r>
        <w:rPr>
          <w:rFonts w:ascii="Courier New" w:cs="Courier New" w:eastAsia="Courier New" w:hAnsi="Courier New"/>
          <w:sz w:val="11"/>
          <w:szCs w:val="11"/>
          <w:color w:val="auto"/>
        </w:rPr>
        <w:t>- 4 -</w:t>
      </w:r>
    </w:p>
    <w:sectPr>
      <w:pgSz w:w="11900" w:h="16838" w:orient="portrait"/>
      <w:cols w:equalWidth="0" w:num="1">
        <w:col w:w="10244"/>
      </w:cols>
      <w:pgMar w:left="216" w:top="68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427069A"/>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1">
    <w:nsid w:val="B37E80A"/>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1"/>
    </w:lvl>
    <w:lvl w:ilvl="3">
      <w:lvlJc w:val="left"/>
      <w:lvlText w:val="-"/>
      <w:numFmt w:val="bullet"/>
      <w:start w:val="1"/>
    </w:lvl>
  </w:abstractNum>
  <w:abstractNum w:abstractNumId="2">
    <w:nsid w:val="2157F6BC"/>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3"/>
    </w:lvl>
  </w:abstractNum>
  <w:abstractNum w:abstractNumId="3">
    <w:nsid w:val="704E1DD5"/>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4"/>
    </w:lvl>
    <w:lvl w:ilvl="3">
      <w:lvlJc w:val="left"/>
      <w:lvlText w:val="-"/>
      <w:numFmt w:val="bullet"/>
      <w:start w:val="1"/>
    </w:lvl>
  </w:abstractNum>
  <w:abstractNum w:abstractNumId="4">
    <w:nsid w:val="57D2F10E"/>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5"/>
    </w:lvl>
  </w:abstractNum>
  <w:abstractNum w:abstractNumId="5">
    <w:nsid w:val="BFFAE18"/>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5"/>
    </w:lvl>
    <w:lvl w:ilvl="3">
      <w:lvlJc w:val="left"/>
      <w:lvlText w:val="%4."/>
      <w:numFmt w:val="decimal"/>
      <w:start w:val="1"/>
    </w:lvl>
  </w:abstractNum>
  <w:abstractNum w:abstractNumId="6">
    <w:nsid w:val="E3E47A8"/>
    <w:multiLevelType w:val="hybridMultilevel"/>
    <w:lvl w:ilvl="0">
      <w:lvlJc w:val="left"/>
      <w:lvlText w:val="%1."/>
      <w:numFmt w:val="upperLetter"/>
      <w:start w:val="2"/>
    </w:lvl>
  </w:abstractNum>
  <w:abstractNum w:abstractNumId="7">
    <w:nsid w:val="2E48F044"/>
    <w:multiLevelType w:val="hybridMultilevel"/>
    <w:lvl w:ilvl="0">
      <w:lvlJc w:val="left"/>
      <w:lvlText w:val="%1."/>
      <w:numFmt w:val="upperLetter"/>
      <w:start w:val="3"/>
    </w:lvl>
  </w:abstractNum>
  <w:abstractNum w:abstractNumId="8">
    <w:nsid w:val="49D0FEAC"/>
    <w:multiLevelType w:val="hybridMultilevel"/>
    <w:lvl w:ilvl="0">
      <w:lvlJc w:val="left"/>
      <w:lvlText w:val="%1."/>
      <w:numFmt w:val="upperLetter"/>
      <w:start w:val="3"/>
    </w:lvl>
  </w:abstractNum>
  <w:abstractNum w:abstractNumId="9">
    <w:nsid w:val="4BEE5A5B"/>
    <w:multiLevelType w:val="hybridMultilevel"/>
    <w:lvl w:ilvl="0">
      <w:lvlJc w:val="left"/>
      <w:lvlText w:val="%1."/>
      <w:numFmt w:val="upperLetter"/>
      <w:start w:val="3"/>
    </w:lvl>
  </w:abstractNum>
  <w:abstractNum w:abstractNumId="10">
    <w:nsid w:val="5551B9F3"/>
    <w:multiLevelType w:val="hybridMultilevel"/>
    <w:lvl w:ilvl="0">
      <w:lvlJc w:val="left"/>
      <w:lvlText w:val="(*)"/>
      <w:numFmt w:val="bullet"/>
      <w:start w:val="1"/>
    </w:lvl>
  </w:abstractNum>
  <w:abstractNum w:abstractNumId="11">
    <w:nsid w:val="24F6AB8E"/>
    <w:multiLevelType w:val="hybridMultilevel"/>
    <w:lvl w:ilvl="0">
      <w:lvlJc w:val="left"/>
      <w:lvlText w:val="%1."/>
      <w:numFmt w:val="upperLetter"/>
      <w:start w:val="1"/>
    </w:lvl>
    <w:lvl w:ilvl="1">
      <w:lvlJc w:val="left"/>
      <w:lvlText w:val="-"/>
      <w:numFmt w:val="bullet"/>
      <w:start w:val="1"/>
    </w:lvl>
  </w:abstractNum>
  <w:abstractNum w:abstractNumId="12">
    <w:nsid w:val="634C574C"/>
    <w:multiLevelType w:val="hybridMultilevel"/>
    <w:lvl w:ilvl="0">
      <w:lvlJc w:val="left"/>
      <w:lvlText w:val="%1."/>
      <w:numFmt w:val="upperLetter"/>
      <w:start w:val="2"/>
    </w:lvl>
  </w:abstractNum>
  <w:abstractNum w:abstractNumId="13">
    <w:nsid w:val="24E99DD7"/>
    <w:multiLevelType w:val="hybridMultilevel"/>
    <w:lvl w:ilvl="0">
      <w:lvlJc w:val="left"/>
      <w:lvlText w:val="%1."/>
      <w:numFmt w:val="upperLetter"/>
      <w:start w:val="2"/>
    </w:lvl>
    <w:lvl w:ilvl="1">
      <w:lvlJc w:val="left"/>
      <w:lvlText w:val="%2."/>
      <w:numFmt w:val="decimal"/>
      <w:start w:val="1"/>
    </w:lvl>
  </w:abstractNum>
  <w:abstractNum w:abstractNumId="14">
    <w:nsid w:val="2A31B62D"/>
    <w:multiLevelType w:val="hybridMultilevel"/>
    <w:lvl w:ilvl="0">
      <w:lvlJc w:val="left"/>
      <w:lvlText w:val="%1."/>
      <w:numFmt w:val="upperLetter"/>
      <w:start w:val="3"/>
    </w:lvl>
  </w:abstractNum>
  <w:abstractNum w:abstractNumId="15">
    <w:nsid w:val="1849C29B"/>
    <w:multiLevelType w:val="hybridMultilevel"/>
    <w:lvl w:ilvl="0">
      <w:lvlJc w:val="left"/>
      <w:lvlText w:val="%1."/>
      <w:numFmt w:val="upperLetter"/>
      <w:start w:val="1"/>
    </w:lvl>
    <w:lvl w:ilvl="1">
      <w:lvlJc w:val="left"/>
      <w:lvlText w:val="-"/>
      <w:numFmt w:val="bullet"/>
      <w:start w:val="1"/>
    </w:lvl>
  </w:abstractNum>
  <w:abstractNum w:abstractNumId="16">
    <w:nsid w:val="7DFF9D09"/>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17">
    <w:nsid w:val="754342"/>
    <w:multiLevelType w:val="hybridMultilevel"/>
    <w:lvl w:ilvl="0">
      <w:lvlJc w:val="left"/>
      <w:lvlText w:val="%1."/>
      <w:numFmt w:val="upperLetter"/>
      <w:start w:val="3"/>
    </w:lvl>
  </w:abstractNum>
  <w:abstractNum w:abstractNumId="18">
    <w:nsid w:val="69E7F3E5"/>
    <w:multiLevelType w:val="hybridMultilevel"/>
    <w:lvl w:ilvl="0">
      <w:lvlJc w:val="left"/>
      <w:lvlText w:val="%1."/>
      <w:numFmt w:val="upperLetter"/>
      <w:start w:val="3"/>
    </w:lvl>
    <w:lvl w:ilvl="1">
      <w:lvlJc w:val="left"/>
      <w:lvlText w:val="-"/>
      <w:numFmt w:val="bullet"/>
      <w:start w:val="1"/>
    </w:lvl>
  </w:abstractNum>
  <w:abstractNum w:abstractNumId="19">
    <w:nsid w:val="2A6DE806"/>
    <w:multiLevelType w:val="hybridMultilevel"/>
    <w:lvl w:ilvl="0">
      <w:lvlJc w:val="left"/>
      <w:lvlText w:val="%1."/>
      <w:numFmt w:val="upperLetter"/>
      <w:start w:val="5"/>
    </w:lvl>
  </w:abstractNum>
  <w:abstractNum w:abstractNumId="20">
    <w:nsid w:val="1816F8C4"/>
    <w:multiLevelType w:val="hybridMultilevel"/>
    <w:lvl w:ilvl="0">
      <w:lvlJc w:val="left"/>
      <w:lvlText w:val="%1."/>
      <w:numFmt w:val="upperLetter"/>
      <w:start w:val="6"/>
    </w:lvl>
    <w:lvl w:ilvl="1">
      <w:lvlJc w:val="left"/>
      <w:lvlText w:val="-"/>
      <w:numFmt w:val="bullet"/>
      <w:start w:val="1"/>
    </w:lvl>
  </w:abstractNum>
  <w:abstractNum w:abstractNumId="21">
    <w:nsid w:val="37DF2233"/>
    <w:multiLevelType w:val="hybridMultilevel"/>
    <w:lvl w:ilvl="0">
      <w:lvlJc w:val="left"/>
      <w:lvlText w:val="%1."/>
      <w:numFmt w:val="upperLetter"/>
      <w:start w:val="1"/>
    </w:lvl>
    <w:lvl w:ilvl="1">
      <w:lvlJc w:val="left"/>
      <w:lvlText w:val="(%2)"/>
      <w:numFmt w:val="decimal"/>
      <w:start w:val="4"/>
    </w:lvl>
  </w:abstractNum>
  <w:abstractNum w:abstractNumId="22">
    <w:nsid w:val="7AB49DAF"/>
    <w:multiLevelType w:val="hybridMultilevel"/>
    <w:lvl w:ilvl="0">
      <w:lvlJc w:val="left"/>
      <w:lvlText w:val="%1."/>
      <w:numFmt w:val="upperLetter"/>
      <w:start w:val="2"/>
    </w:lvl>
  </w:abstractNum>
  <w:abstractNum w:abstractNumId="23">
    <w:nsid w:val="759F82CD"/>
    <w:multiLevelType w:val="hybridMultilevel"/>
    <w:lvl w:ilvl="0">
      <w:lvlJc w:val="left"/>
      <w:lvlText w:val="%1."/>
      <w:numFmt w:val="upperLetter"/>
      <w:start w:val="4"/>
    </w:lvl>
    <w:lvl w:ilvl="1">
      <w:lvlJc w:val="left"/>
      <w:lvlText w:val="-"/>
      <w:numFmt w:val="bullet"/>
      <w:start w:val="1"/>
    </w:lvl>
  </w:abstractNum>
  <w:abstractNum w:abstractNumId="24">
    <w:nsid w:val="61E74EA3"/>
    <w:multiLevelType w:val="hybridMultilevel"/>
    <w:lvl w:ilvl="0">
      <w:lvlJc w:val="left"/>
      <w:lvlText w:val="%1."/>
      <w:numFmt w:val="upperLetter"/>
      <w:start w:val="6"/>
    </w:lvl>
    <w:lvl w:ilvl="1">
      <w:lvlJc w:val="left"/>
      <w:lvlText w:val="-"/>
      <w:numFmt w:val="bullet"/>
      <w:start w:val="1"/>
    </w:lvl>
  </w:abstractNum>
  <w:abstractNum w:abstractNumId="25">
    <w:nsid w:val="597B4D84"/>
    <w:multiLevelType w:val="hybridMultilevel"/>
    <w:lvl w:ilvl="0">
      <w:lvlJc w:val="left"/>
      <w:lvlText w:val="%1."/>
      <w:numFmt w:val="upperLetter"/>
      <w:start w:val="6"/>
    </w:lvl>
  </w:abstractNum>
  <w:abstractNum w:abstractNumId="26">
    <w:nsid w:val="F819E7F"/>
    <w:multiLevelType w:val="hybridMultilevel"/>
    <w:lvl w:ilvl="0">
      <w:lvlJc w:val="left"/>
      <w:lvlText w:val="%1."/>
      <w:numFmt w:val="upperLetter"/>
      <w:start w:val="8"/>
    </w:lvl>
  </w:abstractNum>
  <w:abstractNum w:abstractNumId="27">
    <w:nsid w:val="57C7D42D"/>
    <w:multiLevelType w:val="hybridMultilevel"/>
    <w:lvl w:ilvl="0">
      <w:lvlJc w:val="left"/>
      <w:lvlText w:val="%1."/>
      <w:numFmt w:val="upperLetter"/>
      <w:start w:val="9"/>
    </w:lvl>
  </w:abstractNum>
  <w:abstractNum w:abstractNumId="28">
    <w:nsid w:val="312167AD"/>
    <w:multiLevelType w:val="hybridMultilevel"/>
    <w:lvl w:ilvl="0">
      <w:lvlJc w:val="left"/>
      <w:lvlText w:val="%1."/>
      <w:numFmt w:val="upperLetter"/>
      <w:start w:val="10"/>
    </w:lvl>
  </w:abstractNum>
  <w:abstractNum w:abstractNumId="29">
    <w:nsid w:val="631B64D4"/>
    <w:multiLevelType w:val="hybridMultilevel"/>
    <w:lvl w:ilvl="0">
      <w:lvlJc w:val="left"/>
      <w:lvlText w:val="%1."/>
      <w:numFmt w:val="upperLetter"/>
      <w:start w:val="12"/>
    </w:lvl>
  </w:abstractNum>
  <w:abstractNum w:abstractNumId="30">
    <w:nsid w:val="78B5E776"/>
    <w:multiLevelType w:val="hybridMultilevel"/>
    <w:lvl w:ilvl="0">
      <w:lvlJc w:val="left"/>
      <w:lvlText w:val="%1."/>
      <w:numFmt w:val="decimal"/>
      <w:start w:val="2"/>
    </w:lvl>
  </w:abstractNum>
  <w:abstractNum w:abstractNumId="31">
    <w:nsid w:val="75486E47"/>
    <w:multiLevelType w:val="hybridMultilevel"/>
    <w:lvl w:ilvl="0">
      <w:lvlJc w:val="left"/>
      <w:lvlText w:val="%1."/>
      <w:numFmt w:val="decimal"/>
      <w:start w:val="1"/>
    </w:lvl>
  </w:abstractNum>
  <w:abstractNum w:abstractNumId="32">
    <w:nsid w:val="6E534CDE"/>
    <w:multiLevelType w:val="hybridMultilevel"/>
    <w:lvl w:ilvl="0">
      <w:lvlJc w:val="left"/>
      <w:lvlText w:val="%1."/>
      <w:numFmt w:val="decimal"/>
      <w:start w:val="2"/>
    </w:lvl>
  </w:abstractNum>
  <w:abstractNum w:abstractNumId="33">
    <w:nsid w:val="1A0DDE32"/>
    <w:multiLevelType w:val="hybridMultilevel"/>
    <w:lvl w:ilvl="0">
      <w:lvlJc w:val="left"/>
      <w:lvlText w:val="(%1)"/>
      <w:numFmt w:val="lowerLetter"/>
      <w:start w:val="1"/>
    </w:lvl>
  </w:abstractNum>
  <w:abstractNum w:abstractNumId="34">
    <w:nsid w:val="65968C1C"/>
    <w:multiLevelType w:val="hybridMultilevel"/>
    <w:lvl w:ilvl="0">
      <w:lvlJc w:val="left"/>
      <w:lvlText w:val="%1"/>
      <w:numFmt w:val="decimal"/>
      <w:start w:val="1"/>
    </w:lvl>
    <w:lvl w:ilvl="1">
      <w:lvlJc w:val="left"/>
      <w:lvlText w:val="(%2)"/>
      <w:numFmt w:val="lowerLetter"/>
      <w:start w:val="5"/>
    </w:lvl>
  </w:abstractNum>
  <w:abstractNum w:abstractNumId="35">
    <w:nsid w:val="46263DEC"/>
    <w:multiLevelType w:val="hybridMultilevel"/>
    <w:lvl w:ilvl="0">
      <w:lvlJc w:val="left"/>
      <w:lvlText w:val="%1."/>
      <w:numFmt w:val="decimal"/>
      <w:start w:val="3"/>
    </w:lvl>
    <w:lvl w:ilvl="1">
      <w:lvlJc w:val="left"/>
      <w:lvlText w:val="%2"/>
      <w:numFmt w:val="lowerLetter"/>
      <w:start w:val="1"/>
    </w:lvl>
  </w:abstractNum>
  <w:abstractNum w:abstractNumId="36">
    <w:nsid w:val="260D8C4A"/>
    <w:multiLevelType w:val="hybridMultilevel"/>
    <w:lvl w:ilvl="0">
      <w:lvlJc w:val="left"/>
      <w:lvlText w:val="%1."/>
      <w:numFmt w:val="decimal"/>
      <w:start w:val="4"/>
    </w:lvl>
  </w:abstractNum>
  <w:abstractNum w:abstractNumId="37">
    <w:nsid w:val="73D4D3C4"/>
    <w:multiLevelType w:val="hybridMultilevel"/>
    <w:lvl w:ilvl="0">
      <w:lvlJc w:val="left"/>
      <w:lvlText w:val="%1."/>
      <w:numFmt w:val="decimal"/>
      <w:start w:val="5"/>
    </w:lvl>
  </w:abstractNum>
  <w:abstractNum w:abstractNumId="38">
    <w:nsid w:val="746F2E30"/>
    <w:multiLevelType w:val="hybridMultilevel"/>
    <w:lvl w:ilvl="0">
      <w:lvlJc w:val="left"/>
      <w:lvlText w:val="%1."/>
      <w:numFmt w:val="decimal"/>
      <w:start w:val="6"/>
    </w:lvl>
  </w:abstractNum>
  <w:abstractNum w:abstractNumId="39">
    <w:nsid w:val="6FDE8AF6"/>
    <w:multiLevelType w:val="hybridMultilevel"/>
    <w:lvl w:ilvl="0">
      <w:lvlJc w:val="left"/>
      <w:lvlText w:val="%1."/>
      <w:numFmt w:val="decimal"/>
      <w:start w:val="7"/>
    </w:lvl>
  </w:abstractNum>
  <w:abstractNum w:abstractNumId="40">
    <w:nsid w:val="3FC32E20"/>
    <w:multiLevelType w:val="hybridMultilevel"/>
    <w:lvl w:ilvl="0">
      <w:lvlJc w:val="left"/>
      <w:lvlText w:val="%1."/>
      <w:numFmt w:val="decimal"/>
      <w:start w:val="8"/>
    </w:lvl>
  </w:abstractNum>
  <w:abstractNum w:abstractNumId="41">
    <w:nsid w:val="49C0E823"/>
    <w:multiLevelType w:val="hybridMultilevel"/>
    <w:lvl w:ilvl="0">
      <w:lvlJc w:val="left"/>
      <w:lvlText w:val="%1."/>
      <w:numFmt w:val="decimal"/>
      <w:start w:val="9"/>
    </w:lvl>
  </w:abstractNum>
  <w:abstractNum w:abstractNumId="42">
    <w:nsid w:val="14D53685"/>
    <w:multiLevelType w:val="hybridMultilevel"/>
    <w:lvl w:ilvl="0">
      <w:lvlJc w:val="left"/>
      <w:lvlText w:val="%1."/>
      <w:numFmt w:val="decimal"/>
      <w:start w:val="1"/>
    </w:lvl>
  </w:abstractNum>
  <w:abstractNum w:abstractNumId="43">
    <w:nsid w:val="230F856C"/>
    <w:multiLevelType w:val="hybridMultilevel"/>
    <w:lvl w:ilvl="0">
      <w:lvlJc w:val="left"/>
      <w:lvlText w:val="(%1)"/>
      <w:numFmt w:val="decimal"/>
      <w:start w:val="1"/>
    </w:lvl>
  </w:abstractNum>
  <w:abstractNum w:abstractNumId="44">
    <w:nsid w:val="6EAA85FB"/>
    <w:multiLevelType w:val="hybridMultilevel"/>
    <w:lvl w:ilvl="0">
      <w:lvlJc w:val="left"/>
      <w:lvlText w:val="%1."/>
      <w:numFmt w:val="decimal"/>
      <w:start w:val="2"/>
    </w:lvl>
  </w:abstractNum>
  <w:abstractNum w:abstractNumId="45">
    <w:nsid w:val="3F06ECB2"/>
    <w:multiLevelType w:val="hybridMultilevel"/>
    <w:lvl w:ilvl="0">
      <w:lvlJc w:val="left"/>
      <w:lvlText w:val="%1."/>
      <w:numFmt w:val="decimal"/>
      <w:start w:val="4"/>
    </w:lvl>
    <w:lvl w:ilvl="1">
      <w:lvlJc w:val="left"/>
      <w:lvlText w:val="-"/>
      <w:numFmt w:val="bullet"/>
      <w:start w:val="1"/>
    </w:lvl>
  </w:abstractNum>
  <w:abstractNum w:abstractNumId="46">
    <w:nsid w:val="3B594807"/>
    <w:multiLevelType w:val="hybridMultilevel"/>
    <w:lvl w:ilvl="0">
      <w:lvlJc w:val="left"/>
      <w:lvlText w:val="%1."/>
      <w:numFmt w:val="decimal"/>
      <w:start w:val="5"/>
    </w:lvl>
  </w:abstractNum>
  <w:abstractNum w:abstractNumId="47">
    <w:nsid w:val="6CAA2304"/>
    <w:multiLevelType w:val="hybridMultilevel"/>
    <w:lvl w:ilvl="0">
      <w:lvlJc w:val="left"/>
      <w:lvlText w:val="(%1)"/>
      <w:numFmt w:val="decimal"/>
      <w:start w:val="2"/>
    </w:lvl>
    <w:lvl w:ilvl="1">
      <w:lvlJc w:val="left"/>
      <w:lvlText w:val="-"/>
      <w:numFmt w:val="bullet"/>
      <w:start w:val="1"/>
    </w:lvl>
  </w:abstractNum>
  <w:abstractNum w:abstractNumId="48">
    <w:nsid w:val="3F7C2FF4"/>
    <w:multiLevelType w:val="hybridMultilevel"/>
    <w:lvl w:ilvl="0">
      <w:lvlJc w:val="left"/>
      <w:lvlText w:val="%1."/>
      <w:numFmt w:val="decimal"/>
      <w:start w:val="7"/>
    </w:lvl>
  </w:abstractNum>
  <w:abstractNum w:abstractNumId="49">
    <w:nsid w:val="25413BEC"/>
    <w:multiLevelType w:val="hybridMultilevel"/>
    <w:lvl w:ilvl="0">
      <w:lvlJc w:val="left"/>
      <w:lvlText w:val="%1."/>
      <w:numFmt w:val="decimal"/>
      <w:start w:val="8"/>
    </w:lvl>
    <w:lvl w:ilvl="1">
      <w:lvlJc w:val="left"/>
      <w:lvlText w:val="-"/>
      <w:numFmt w:val="bullet"/>
      <w:start w:val="1"/>
    </w:lvl>
  </w:abstractNum>
  <w:abstractNum w:abstractNumId="50">
    <w:nsid w:val="17180B0B"/>
    <w:multiLevelType w:val="hybridMultilevel"/>
    <w:lvl w:ilvl="0">
      <w:lvlJc w:val="left"/>
      <w:lvlText w:val="%1."/>
      <w:numFmt w:val="decimal"/>
      <w:start w:val="9"/>
    </w:lvl>
    <w:lvl w:ilvl="1">
      <w:lvlJc w:val="left"/>
      <w:lvlText w:val="-"/>
      <w:numFmt w:val="bullet"/>
      <w:start w:val="1"/>
    </w:lvl>
  </w:abstractNum>
  <w:abstractNum w:abstractNumId="51">
    <w:nsid w:val="579328B9"/>
    <w:multiLevelType w:val="hybridMultilevel"/>
    <w:lvl w:ilvl="0">
      <w:lvlJc w:val="left"/>
      <w:lvlText w:val="%1."/>
      <w:numFmt w:val="decimal"/>
      <w:start w:val="11"/>
    </w:lvl>
    <w:lvl w:ilvl="1">
      <w:lvlJc w:val="left"/>
      <w:lvlText w:val="-"/>
      <w:numFmt w:val="bullet"/>
      <w:start w:val="1"/>
    </w:lvl>
  </w:abstractNum>
  <w:abstractNum w:abstractNumId="52">
    <w:nsid w:val="5D205E20"/>
    <w:multiLevelType w:val="hybridMultilevel"/>
    <w:lvl w:ilvl="0">
      <w:lvlJc w:val="left"/>
      <w:lvlText w:val="%1."/>
      <w:numFmt w:val="decimal"/>
      <w:start w:val="12"/>
    </w:lvl>
  </w:abstractNum>
  <w:abstractNum w:abstractNumId="53">
    <w:nsid w:val="11CCA8BA"/>
    <w:multiLevelType w:val="hybridMultilevel"/>
    <w:lvl w:ilvl="0">
      <w:lvlJc w:val="left"/>
      <w:lvlText w:val="(%1)"/>
      <w:numFmt w:val="lowerLetter"/>
      <w:start w:val="3"/>
    </w:lvl>
    <w:lvl w:ilvl="1">
      <w:lvlJc w:val="left"/>
      <w:lvlText w:val="-"/>
      <w:numFmt w:val="bullet"/>
      <w:start w:val="1"/>
    </w:lvl>
  </w:abstractNum>
  <w:abstractNum w:abstractNumId="54">
    <w:nsid w:val="4D32AB86"/>
    <w:multiLevelType w:val="hybridMultilevel"/>
    <w:lvl w:ilvl="0">
      <w:lvlJc w:val="left"/>
      <w:lvlText w:val="%1."/>
      <w:numFmt w:val="decimal"/>
      <w:start w:val="13"/>
    </w:lvl>
  </w:abstractNum>
  <w:abstractNum w:abstractNumId="55">
    <w:nsid w:val="3F07ACC3"/>
    <w:multiLevelType w:val="hybridMultilevel"/>
    <w:lvl w:ilvl="0">
      <w:lvlJc w:val="left"/>
      <w:lvlText w:val="%1."/>
      <w:numFmt w:val="decimal"/>
      <w:start w:val="1"/>
    </w:lvl>
    <w:lvl w:ilvl="1">
      <w:lvlJc w:val="left"/>
      <w:lvlText w:val="(%2)"/>
      <w:numFmt w:val="lowerLetter"/>
      <w:start w:val="1"/>
    </w:lvl>
  </w:abstractNum>
  <w:abstractNum w:abstractNumId="56">
    <w:nsid w:val="6B47F63E"/>
    <w:multiLevelType w:val="hybridMultilevel"/>
    <w:lvl w:ilvl="0">
      <w:lvlJc w:val="left"/>
      <w:lvlText w:val="(%1)"/>
      <w:numFmt w:val="lowerLetter"/>
      <w:start w:val="1"/>
    </w:lvl>
    <w:lvl w:ilvl="1">
      <w:lvlJc w:val="left"/>
      <w:lvlText w:val="-"/>
      <w:numFmt w:val="bullet"/>
      <w:start w:val="1"/>
    </w:lvl>
  </w:abstractNum>
  <w:abstractNum w:abstractNumId="57">
    <w:nsid w:val="5CB44A0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58">
    <w:nsid w:val="16CF80F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9">
    <w:nsid w:val="1C695DE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0">
    <w:nsid w:val="3FCFAED9"/>
    <w:multiLevelType w:val="hybridMultilevel"/>
    <w:lvl w:ilvl="0">
      <w:lvlJc w:val="left"/>
      <w:lvlText w:val="(%1)"/>
      <w:numFmt w:val="lowerLetter"/>
      <w:start w:val="3"/>
    </w:lvl>
    <w:lvl w:ilvl="1">
      <w:lvlJc w:val="left"/>
      <w:lvlText w:val="(%2)"/>
      <w:numFmt w:val="lowerRoman"/>
      <w:start w:val="3"/>
    </w:lvl>
    <w:lvl w:ilvl="2">
      <w:lvlJc w:val="left"/>
      <w:lvlText w:val="-"/>
      <w:numFmt w:val="bullet"/>
      <w:start w:val="1"/>
    </w:lvl>
  </w:abstractNum>
  <w:abstractNum w:abstractNumId="61">
    <w:nsid w:val="F856867"/>
    <w:multiLevelType w:val="hybridMultilevel"/>
    <w:lvl w:ilvl="0">
      <w:lvlJc w:val="left"/>
      <w:lvlText w:val="(%1)"/>
      <w:numFmt w:val="lowerLetter"/>
      <w:start w:val="5"/>
    </w:lvl>
    <w:lvl w:ilvl="1">
      <w:lvlJc w:val="left"/>
      <w:lvlText w:val="-"/>
      <w:numFmt w:val="bullet"/>
      <w:start w:val="1"/>
    </w:lvl>
  </w:abstractNum>
  <w:abstractNum w:abstractNumId="62">
    <w:nsid w:val="11B1CC33"/>
    <w:multiLevelType w:val="hybridMultilevel"/>
    <w:lvl w:ilvl="0">
      <w:lvlJc w:val="left"/>
      <w:lvlText w:val="(%1)"/>
      <w:numFmt w:val="lowerLetter"/>
      <w:start w:val="7"/>
    </w:lvl>
    <w:lvl w:ilvl="1">
      <w:lvlJc w:val="left"/>
      <w:lvlText w:val="-"/>
      <w:numFmt w:val="bullet"/>
      <w:start w:val="1"/>
    </w:lvl>
  </w:abstractNum>
  <w:abstractNum w:abstractNumId="63">
    <w:nsid w:val="2E22FBB7"/>
    <w:multiLevelType w:val="hybridMultilevel"/>
    <w:lvl w:ilvl="0">
      <w:lvlJc w:val="left"/>
      <w:lvlText w:val="(%1)"/>
      <w:numFmt w:val="lowerLetter"/>
      <w:start w:val="12"/>
    </w:lvl>
    <w:lvl w:ilvl="1">
      <w:lvlJc w:val="left"/>
      <w:lvlText w:val="-"/>
      <w:numFmt w:val="bullet"/>
      <w:start w:val="1"/>
    </w:lvl>
  </w:abstractNum>
  <w:abstractNum w:abstractNumId="64">
    <w:nsid w:val="29934699"/>
    <w:multiLevelType w:val="hybridMultilevel"/>
    <w:lvl w:ilvl="0">
      <w:lvlJc w:val="left"/>
      <w:lvlText w:val="%1."/>
      <w:numFmt w:val="decimal"/>
      <w:start w:val="4"/>
    </w:lvl>
    <w:lvl w:ilvl="1">
      <w:lvlJc w:val="left"/>
      <w:lvlText w:val="-"/>
      <w:numFmt w:val="bullet"/>
      <w:start w:val="1"/>
    </w:lvl>
  </w:abstractNum>
  <w:abstractNum w:abstractNumId="65">
    <w:nsid w:val="77485850"/>
    <w:multiLevelType w:val="hybridMultilevel"/>
    <w:lvl w:ilvl="0">
      <w:lvlJc w:val="left"/>
      <w:lvlText w:val="(%1)"/>
      <w:numFmt w:val="lowerLetter"/>
      <w:start w:val="1"/>
    </w:lvl>
    <w:lvl w:ilvl="1">
      <w:lvlJc w:val="left"/>
      <w:lvlText w:val="-"/>
      <w:numFmt w:val="bullet"/>
      <w:start w:val="1"/>
    </w:lvl>
  </w:abstractNum>
  <w:abstractNum w:abstractNumId="66">
    <w:nsid w:val="744939A3"/>
    <w:multiLevelType w:val="hybridMultilevel"/>
    <w:lvl w:ilvl="0">
      <w:lvlJc w:val="left"/>
      <w:lvlText w:val="(%1)"/>
      <w:numFmt w:val="lowerLetter"/>
      <w:start w:val="2"/>
    </w:lvl>
    <w:lvl w:ilvl="1">
      <w:lvlJc w:val="left"/>
      <w:lvlText w:val="-"/>
      <w:numFmt w:val="bullet"/>
      <w:start w:val="1"/>
    </w:lvl>
  </w:abstractNum>
  <w:abstractNum w:abstractNumId="67">
    <w:nsid w:val="4FA0D2E3"/>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68">
    <w:nsid w:val="6B1D2C14"/>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69">
    <w:nsid w:val="68B867D3"/>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70">
    <w:nsid w:val="3F7F5DD9"/>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71">
    <w:nsid w:val="2AE05A34"/>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72">
    <w:nsid w:val="32794FF7"/>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61"/>
    </w:lvl>
  </w:abstractNum>
  <w:abstractNum w:abstractNumId="73">
    <w:nsid w:val="5454945E"/>
    <w:multiLevelType w:val="hybridMultilevel"/>
    <w:lvl w:ilvl="0">
      <w:lvlJc w:val="left"/>
      <w:lvlText w:val="(%1)"/>
      <w:numFmt w:val="lowerLetter"/>
      <w:start w:val="2"/>
    </w:lvl>
    <w:lvl w:ilvl="1">
      <w:lvlJc w:val="left"/>
      <w:lvlText w:val="-"/>
      <w:numFmt w:val="bullet"/>
      <w:start w:val="1"/>
    </w:lvl>
  </w:abstractNum>
  <w:abstractNum w:abstractNumId="74">
    <w:nsid w:val="4DEFDFA0"/>
    <w:multiLevelType w:val="hybridMultilevel"/>
    <w:lvl w:ilvl="0">
      <w:lvlJc w:val="left"/>
      <w:lvlText w:val="(%1)"/>
      <w:numFmt w:val="lowerLetter"/>
      <w:start w:val="9"/>
    </w:lvl>
  </w:abstractNum>
  <w:abstractNum w:abstractNumId="75">
    <w:nsid w:val="2123D5F2"/>
    <w:multiLevelType w:val="hybridMultilevel"/>
    <w:lvl w:ilvl="0">
      <w:lvlJc w:val="left"/>
      <w:lvlText w:val="(%1)"/>
      <w:numFmt w:val="decimal"/>
      <w:start w:val="1"/>
    </w:lvl>
  </w:abstractNum>
  <w:abstractNum w:abstractNumId="76">
    <w:nsid w:val="135B8110"/>
    <w:multiLevelType w:val="hybridMultilevel"/>
    <w:lvl w:ilvl="0">
      <w:lvlJc w:val="left"/>
      <w:lvlText w:val="%1."/>
      <w:numFmt w:val="decimal"/>
      <w:start w:val="1"/>
    </w:lvl>
  </w:abstractNum>
  <w:abstractNum w:abstractNumId="77">
    <w:nsid w:val="94927A8"/>
    <w:multiLevelType w:val="hybridMultilevel"/>
    <w:lvl w:ilvl="0">
      <w:lvlJc w:val="left"/>
      <w:lvlText w:val="%1."/>
      <w:numFmt w:val="decimal"/>
      <w:start w:val="2"/>
    </w:lvl>
    <w:lvl w:ilvl="1">
      <w:lvlJc w:val="left"/>
      <w:lvlText w:val="-"/>
      <w:numFmt w:val="bullet"/>
      <w:start w:val="1"/>
    </w:lvl>
  </w:abstractNum>
  <w:abstractNum w:abstractNumId="78">
    <w:nsid w:val="DCDF8F6"/>
    <w:multiLevelType w:val="hybridMultilevel"/>
    <w:lvl w:ilvl="0">
      <w:lvlJc w:val="left"/>
      <w:lvlText w:val="%1."/>
      <w:numFmt w:val="decimal"/>
      <w:start w:val="3"/>
    </w:lvl>
  </w:abstractNum>
  <w:abstractNum w:abstractNumId="79">
    <w:nsid w:val="52D7B105"/>
    <w:multiLevelType w:val="hybridMultilevel"/>
    <w:lvl w:ilvl="0">
      <w:lvlJc w:val="left"/>
      <w:lvlText w:val="%1."/>
      <w:numFmt w:val="decimal"/>
      <w:start w:val="4"/>
    </w:lvl>
    <w:lvl w:ilvl="1">
      <w:lvlJc w:val="left"/>
      <w:lvlText w:val="-"/>
      <w:numFmt w:val="bullet"/>
      <w:start w:val="1"/>
    </w:lvl>
  </w:abstractNum>
  <w:abstractNum w:abstractNumId="80">
    <w:nsid w:val="2E8A6394"/>
    <w:multiLevelType w:val="hybridMultilevel"/>
    <w:lvl w:ilvl="0">
      <w:lvlJc w:val="left"/>
      <w:lvlText w:val="%1."/>
      <w:numFmt w:val="decimal"/>
      <w:start w:val="5"/>
    </w:lvl>
    <w:lvl w:ilvl="1">
      <w:lvlJc w:val="left"/>
      <w:lvlText w:val="-"/>
      <w:numFmt w:val="bullet"/>
      <w:start w:val="1"/>
    </w:lvl>
  </w:abstractNum>
  <w:abstractNum w:abstractNumId="81">
    <w:nsid w:val="24E60401"/>
    <w:multiLevelType w:val="hybridMultilevel"/>
    <w:lvl w:ilvl="0">
      <w:lvlJc w:val="left"/>
      <w:lvlText w:val="%1."/>
      <w:numFmt w:val="decimal"/>
      <w:start w:val="6"/>
    </w:lvl>
    <w:lvl w:ilvl="1">
      <w:lvlJc w:val="left"/>
      <w:lvlText w:val="-"/>
      <w:numFmt w:val="bullet"/>
      <w:start w:val="1"/>
    </w:lvl>
  </w:abstractNum>
  <w:abstractNum w:abstractNumId="82">
    <w:nsid w:val="2A6AD9BE"/>
    <w:multiLevelType w:val="hybridMultilevel"/>
    <w:lvl w:ilvl="0">
      <w:lvlJc w:val="left"/>
      <w:lvlText w:val="%1."/>
      <w:numFmt w:val="decimal"/>
      <w:start w:val="8"/>
    </w:lvl>
  </w:abstractNum>
  <w:abstractNum w:abstractNumId="83">
    <w:nsid w:val="BAAC1B4"/>
    <w:multiLevelType w:val="hybridMultilevel"/>
    <w:lvl w:ilvl="0">
      <w:lvlJc w:val="left"/>
      <w:lvlText w:val="(%1)"/>
      <w:numFmt w:val="decimal"/>
      <w:start w:val="1"/>
    </w:lvl>
  </w:abstractNum>
  <w:abstractNum w:abstractNumId="84">
    <w:nsid w:val="36B2ACBC"/>
    <w:multiLevelType w:val="hybridMultilevel"/>
    <w:lvl w:ilvl="0">
      <w:lvlJc w:val="left"/>
      <w:lvlText w:val="(%1)"/>
      <w:numFmt w:val="decimal"/>
      <w:start w:val="2"/>
    </w:lvl>
  </w:abstractNum>
  <w:abstractNum w:abstractNumId="85">
    <w:nsid w:val="779D8544"/>
    <w:multiLevelType w:val="hybridMultilevel"/>
    <w:lvl w:ilvl="0">
      <w:lvlJc w:val="left"/>
      <w:lvlText w:val="%1."/>
      <w:numFmt w:val="decimal"/>
      <w:start w:val="1"/>
    </w:lvl>
  </w:abstractNum>
  <w:abstractNum w:abstractNumId="86">
    <w:nsid w:val="4AB26E78"/>
    <w:multiLevelType w:val="hybridMultilevel"/>
    <w:lvl w:ilvl="0">
      <w:lvlJc w:val="left"/>
      <w:lvlText w:val="(%1)"/>
      <w:numFmt w:val="lowerLetter"/>
      <w:start w:val="4"/>
    </w:lvl>
  </w:abstractNum>
  <w:abstractNum w:abstractNumId="87">
    <w:nsid w:val="21FAA2FA"/>
    <w:multiLevelType w:val="hybridMultilevel"/>
    <w:lvl w:ilvl="0">
      <w:lvlJc w:val="left"/>
      <w:lvlText w:val="(%1)"/>
      <w:numFmt w:val="lowerLetter"/>
      <w:start w:val="2"/>
    </w:lvl>
  </w:abstractNum>
  <w:abstractNum w:abstractNumId="88">
    <w:nsid w:val="5451CF49"/>
    <w:multiLevelType w:val="hybridMultilevel"/>
    <w:lvl w:ilvl="0">
      <w:lvlJc w:val="left"/>
      <w:lvlText w:val="(%1)"/>
      <w:numFmt w:val="lowerLetter"/>
      <w:start w:val="3"/>
    </w:lvl>
    <w:lvl w:ilvl="1">
      <w:lvlJc w:val="left"/>
      <w:lvlText w:val="(%2)"/>
      <w:numFmt w:val="lowerRoman"/>
      <w:start w:val="1"/>
    </w:lvl>
  </w:abstractNum>
  <w:abstractNum w:abstractNumId="89">
    <w:nsid w:val="6181EF69"/>
    <w:multiLevelType w:val="hybridMultilevel"/>
    <w:lvl w:ilvl="0">
      <w:lvlJc w:val="left"/>
      <w:lvlText w:val="(%1)"/>
      <w:numFmt w:val="lowerRoman"/>
      <w:start w:val="2"/>
    </w:lvl>
  </w:abstractNum>
  <w:abstractNum w:abstractNumId="90">
    <w:nsid w:val="3E6400E6"/>
    <w:multiLevelType w:val="hybridMultilevel"/>
    <w:lvl w:ilvl="0">
      <w:lvlJc w:val="left"/>
      <w:lvlText w:val="(%1)"/>
      <w:numFmt w:val="lowerLetter"/>
      <w:start w:val="4"/>
    </w:lvl>
  </w:abstractNum>
  <w:abstractNum w:abstractNumId="91">
    <w:nsid w:val="14217E23"/>
    <w:multiLevelType w:val="hybridMultilevel"/>
    <w:lvl w:ilvl="0">
      <w:lvlJc w:val="left"/>
      <w:lvlText w:val="(%1)"/>
      <w:numFmt w:val="lowerLetter"/>
      <w:start w:val="6"/>
    </w:lvl>
  </w:abstractNum>
  <w:abstractNum w:abstractNumId="92">
    <w:nsid w:val="710757D0"/>
    <w:multiLevelType w:val="hybridMultilevel"/>
    <w:lvl w:ilvl="0">
      <w:lvlJc w:val="left"/>
      <w:lvlText w:val="(%1)"/>
      <w:numFmt w:val="lowerLetter"/>
      <w:start w:val="7"/>
    </w:lvl>
  </w:abstractNum>
  <w:abstractNum w:abstractNumId="93">
    <w:nsid w:val="5015CD1A"/>
    <w:multiLevelType w:val="hybridMultilevel"/>
    <w:lvl w:ilvl="0">
      <w:lvlJc w:val="left"/>
      <w:lvlText w:val="(%1)"/>
      <w:numFmt w:val="lowerLetter"/>
      <w:start w:val="11"/>
    </w:lvl>
  </w:abstractNum>
  <w:abstractNum w:abstractNumId="94">
    <w:nsid w:val="424479DA"/>
    <w:multiLevelType w:val="hybridMultilevel"/>
    <w:lvl w:ilvl="0">
      <w:lvlJc w:val="left"/>
      <w:lvlText w:val="(%1)"/>
      <w:numFmt w:val="lowerRoman"/>
      <w:start w:val="2"/>
    </w:lvl>
  </w:abstractNum>
  <w:abstractNum w:abstractNumId="95">
    <w:nsid w:val="1A9A9E69"/>
    <w:multiLevelType w:val="hybridMultilevel"/>
    <w:lvl w:ilvl="0">
      <w:lvlJc w:val="left"/>
      <w:lvlText w:val="(%1)"/>
      <w:numFmt w:val="lowerLetter"/>
      <w:start w:val="5"/>
    </w:lvl>
  </w:abstractNum>
  <w:abstractNum w:abstractNumId="96">
    <w:nsid w:val="475E256A"/>
    <w:multiLevelType w:val="hybridMultilevel"/>
    <w:lvl w:ilvl="0">
      <w:lvlJc w:val="left"/>
      <w:lvlText w:val="(%1)"/>
      <w:numFmt w:val="lowerLetter"/>
      <w:start w:val="6"/>
    </w:lvl>
  </w:abstractNum>
  <w:abstractNum w:abstractNumId="97">
    <w:nsid w:val="368DB37E"/>
    <w:multiLevelType w:val="hybridMultilevel"/>
    <w:lvl w:ilvl="0">
      <w:lvlJc w:val="left"/>
      <w:lvlText w:val="(%1)"/>
      <w:numFmt w:val="lowerLetter"/>
      <w:start w:val="7"/>
    </w:lvl>
  </w:abstractNum>
  <w:abstractNum w:abstractNumId="98">
    <w:nsid w:val="6A3B714C"/>
    <w:multiLevelType w:val="hybridMultilevel"/>
    <w:lvl w:ilvl="0">
      <w:lvlJc w:val="left"/>
      <w:lvlText w:val="(%1)"/>
      <w:numFmt w:val="lowerLetter"/>
      <w:start w:val="8"/>
    </w:lvl>
  </w:abstractNum>
  <w:abstractNum w:abstractNumId="99">
    <w:nsid w:val="327B517E"/>
    <w:multiLevelType w:val="hybridMultilevel"/>
    <w:lvl w:ilvl="0">
      <w:lvlJc w:val="left"/>
      <w:lvlText w:val="(%1)"/>
      <w:numFmt w:val="lowerRoman"/>
      <w:start w:val="1"/>
    </w:lvl>
  </w:abstractNum>
  <w:abstractNum w:abstractNumId="100">
    <w:nsid w:val="1F461B51"/>
    <w:multiLevelType w:val="hybridMultilevel"/>
    <w:lvl w:ilvl="0">
      <w:lvlJc w:val="left"/>
      <w:lvlText w:val="(%1)"/>
      <w:numFmt w:val="lowerRoman"/>
      <w:start w:val="2"/>
    </w:lvl>
    <w:lvl w:ilvl="1">
      <w:lvlJc w:val="left"/>
      <w:lvlText w:val="(%2)"/>
      <w:numFmt w:val="decimal"/>
      <w:start w:val="1"/>
    </w:lvl>
  </w:abstractNum>
  <w:abstractNum w:abstractNumId="101">
    <w:nsid w:val="29BACF25"/>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102">
    <w:nsid w:val="5D5BABB3"/>
    <w:multiLevelType w:val="hybridMultilevel"/>
    <w:lvl w:ilvl="0">
      <w:lvlJc w:val="left"/>
      <w:lvlText w:val="%1."/>
      <w:numFmt w:val="decimal"/>
      <w:start w:val="2"/>
    </w:lvl>
  </w:abstractNum>
  <w:abstractNum w:abstractNumId="103">
    <w:nsid w:val="51BF6B48"/>
    <w:multiLevelType w:val="hybridMultilevel"/>
    <w:lvl w:ilvl="0">
      <w:lvlJc w:val="left"/>
      <w:lvlText w:val="%1."/>
      <w:numFmt w:val="decimal"/>
      <w:start w:val="3"/>
    </w:lvl>
    <w:lvl w:ilvl="1">
      <w:lvlJc w:val="left"/>
      <w:lvlText w:val="-"/>
      <w:numFmt w:val="bullet"/>
      <w:start w:val="1"/>
    </w:lvl>
  </w:abstractNum>
  <w:abstractNum w:abstractNumId="104">
    <w:nsid w:val="7E0F6384"/>
    <w:multiLevelType w:val="hybridMultilevel"/>
    <w:lvl w:ilvl="0">
      <w:lvlJc w:val="left"/>
      <w:lvlText w:val="%1."/>
      <w:numFmt w:val="decimal"/>
      <w:start w:val="7"/>
    </w:lvl>
  </w:abstractNum>
  <w:abstractNum w:abstractNumId="105">
    <w:nsid w:val="2B4B8B53"/>
    <w:multiLevelType w:val="hybridMultilevel"/>
    <w:lvl w:ilvl="0">
      <w:lvlJc w:val="left"/>
      <w:lvlText w:val="(%1)"/>
      <w:numFmt w:val="lowerLetter"/>
      <w:start w:val="1"/>
    </w:lvl>
    <w:lvl w:ilvl="1">
      <w:lvlJc w:val="left"/>
      <w:lvlText w:val="(%2)"/>
      <w:numFmt w:val="lowerLetter"/>
      <w:start w:val="35"/>
    </w:lvl>
  </w:abstractNum>
  <w:abstractNum w:abstractNumId="106">
    <w:nsid w:val="72E3413A"/>
    <w:multiLevelType w:val="hybridMultilevel"/>
    <w:lvl w:ilvl="0">
      <w:lvlJc w:val="left"/>
      <w:lvlText w:val="(%1)"/>
      <w:numFmt w:val="lowerLetter"/>
      <w:start w:val="3"/>
    </w:lvl>
    <w:lvl w:ilvl="1">
      <w:lvlJc w:val="left"/>
      <w:lvlText w:val="-"/>
      <w:numFmt w:val="bullet"/>
      <w:start w:val="1"/>
    </w:lvl>
  </w:abstractNum>
  <w:abstractNum w:abstractNumId="107">
    <w:nsid w:val="116AE494"/>
    <w:multiLevelType w:val="hybridMultilevel"/>
    <w:lvl w:ilvl="0">
      <w:lvlJc w:val="left"/>
      <w:lvlText w:val="%1."/>
      <w:numFmt w:val="decimal"/>
      <w:start w:val="8"/>
    </w:lvl>
  </w:abstractNum>
  <w:abstractNum w:abstractNumId="108">
    <w:nsid w:val="3494B2FB"/>
    <w:multiLevelType w:val="hybridMultilevel"/>
    <w:lvl w:ilvl="0">
      <w:lvlJc w:val="left"/>
      <w:lvlText w:val="%1."/>
      <w:numFmt w:val="decimal"/>
      <w:start w:val="9"/>
    </w:lvl>
  </w:abstractNum>
  <w:abstractNum w:abstractNumId="109">
    <w:nsid w:val="B13A31"/>
    <w:multiLevelType w:val="hybridMultilevel"/>
    <w:lvl w:ilvl="0">
      <w:lvlJc w:val="left"/>
      <w:lvlText w:val="%1."/>
      <w:numFmt w:val="decimal"/>
      <w:start w:val="10"/>
    </w:lvl>
    <w:lvl w:ilvl="1">
      <w:lvlJc w:val="left"/>
      <w:lvlText w:val="-"/>
      <w:numFmt w:val="bullet"/>
      <w:start w:val="1"/>
    </w:lvl>
  </w:abstractNum>
  <w:abstractNum w:abstractNumId="110">
    <w:nsid w:val="64429599"/>
    <w:multiLevelType w:val="hybridMultilevel"/>
    <w:lvl w:ilvl="0">
      <w:lvlJc w:val="left"/>
      <w:lvlText w:val="%1."/>
      <w:numFmt w:val="decimal"/>
      <w:start w:val="11"/>
    </w:lvl>
  </w:abstractNum>
  <w:abstractNum w:abstractNumId="111">
    <w:nsid w:val="631F1690"/>
    <w:multiLevelType w:val="hybridMultilevel"/>
    <w:lvl w:ilvl="0">
      <w:lvlJc w:val="left"/>
      <w:lvlText w:val="%1."/>
      <w:numFmt w:val="decimal"/>
      <w:start w:val="12"/>
    </w:lvl>
  </w:abstractNum>
  <w:abstractNum w:abstractNumId="112">
    <w:nsid w:val="25973E32"/>
    <w:multiLevelType w:val="hybridMultilevel"/>
    <w:lvl w:ilvl="0">
      <w:lvlJc w:val="left"/>
      <w:lvlText w:val="%1."/>
      <w:numFmt w:val="decimal"/>
      <w:start w:val="13"/>
    </w:lvl>
  </w:abstractNum>
  <w:abstractNum w:abstractNumId="113">
    <w:nsid w:val="EAD6F57"/>
    <w:multiLevelType w:val="hybridMultilevel"/>
    <w:lvl w:ilvl="0">
      <w:lvlJc w:val="left"/>
      <w:lvlText w:val="(%1)"/>
      <w:numFmt w:val="lowerRoman"/>
      <w:start w:val="1"/>
    </w:lvl>
  </w:abstractNum>
  <w:abstractNum w:abstractNumId="114">
    <w:nsid w:val="6EC9D844"/>
    <w:multiLevelType w:val="hybridMultilevel"/>
    <w:lvl w:ilvl="0">
      <w:lvlJc w:val="left"/>
      <w:lvlText w:val="%1."/>
      <w:numFmt w:val="decimal"/>
      <w:start w:val="14"/>
    </w:lvl>
    <w:lvl w:ilvl="1">
      <w:lvlJc w:val="left"/>
      <w:lvlText w:val="-"/>
      <w:numFmt w:val="bullet"/>
      <w:start w:val="1"/>
    </w:lvl>
  </w:abstractNum>
  <w:abstractNum w:abstractNumId="115">
    <w:nsid w:val="5C49EAEE"/>
    <w:multiLevelType w:val="hybridMultilevel"/>
    <w:lvl w:ilvl="0">
      <w:lvlJc w:val="left"/>
      <w:lvlText w:val="%1."/>
      <w:numFmt w:val="decimal"/>
      <w:start w:val="16"/>
    </w:lvl>
  </w:abstractNum>
  <w:abstractNum w:abstractNumId="116">
    <w:nsid w:val="64AF49B"/>
    <w:multiLevelType w:val="hybridMultilevel"/>
    <w:lvl w:ilvl="0">
      <w:lvlJc w:val="left"/>
      <w:lvlText w:val="(%1)"/>
      <w:numFmt w:val="lowerRoman"/>
      <w:start w:val="1"/>
    </w:lvl>
  </w:abstractNum>
  <w:abstractNum w:abstractNumId="117">
    <w:nsid w:val="397C46BC"/>
    <w:multiLevelType w:val="hybridMultilevel"/>
    <w:lvl w:ilvl="0">
      <w:lvlJc w:val="left"/>
      <w:lvlText w:val="(%1)"/>
      <w:numFmt w:val="lowerRoman"/>
      <w:start w:val="3"/>
    </w:lvl>
    <w:lvl w:ilvl="1">
      <w:lvlJc w:val="left"/>
      <w:lvlText w:val="(%2)"/>
      <w:numFmt w:val="lowerRoman"/>
      <w:start w:val="1"/>
    </w:lvl>
    <w:lvl w:ilvl="2">
      <w:lvlJc w:val="left"/>
      <w:lvlText w:val="-"/>
      <w:numFmt w:val="bullet"/>
      <w:start w:val="1"/>
    </w:lvl>
  </w:abstractNum>
  <w:abstractNum w:abstractNumId="118">
    <w:nsid w:val="7E448DE9"/>
    <w:multiLevelType w:val="hybridMultilevel"/>
    <w:lvl w:ilvl="0">
      <w:lvlJc w:val="left"/>
      <w:lvlText w:val="(%1)"/>
      <w:numFmt w:val="decimal"/>
      <w:start w:val="1"/>
    </w:lvl>
  </w:abstractNum>
  <w:abstractNum w:abstractNumId="119">
    <w:nsid w:val="5A9CC3E5"/>
    <w:multiLevelType w:val="hybridMultilevel"/>
    <w:lvl w:ilvl="0">
      <w:lvlJc w:val="left"/>
      <w:lvlText w:val="(%1)"/>
      <w:numFmt w:val="lowerLetter"/>
      <w:start w:val="1"/>
    </w:lvl>
  </w:abstractNum>
  <w:abstractNum w:abstractNumId="120">
    <w:nsid w:val="1AFE3625"/>
    <w:multiLevelType w:val="hybridMultilevel"/>
    <w:lvl w:ilvl="0">
      <w:lvlJc w:val="left"/>
      <w:lvlText w:val="%1"/>
      <w:numFmt w:val="lowerRoman"/>
      <w:start w:val="1"/>
    </w:lvl>
    <w:lvl w:ilvl="1">
      <w:lvlJc w:val="left"/>
      <w:lvlText w:val="(%2)"/>
      <w:numFmt w:val="decimal"/>
      <w:start w:val="2"/>
    </w:lvl>
    <w:lvl w:ilvl="2">
      <w:lvlJc w:val="left"/>
      <w:lvlText w:val="-"/>
      <w:numFmt w:val="bullet"/>
      <w:start w:val="1"/>
    </w:lvl>
  </w:abstractNum>
  <w:abstractNum w:abstractNumId="121">
    <w:nsid w:val="3CA88ECF"/>
    <w:multiLevelType w:val="hybridMultilevel"/>
    <w:lvl w:ilvl="0">
      <w:lvlJc w:val="left"/>
      <w:lvlText w:val="(%1)"/>
      <w:numFmt w:val="lowerRoman"/>
      <w:start w:val="7"/>
    </w:lvl>
    <w:lvl w:ilvl="1">
      <w:lvlJc w:val="left"/>
      <w:lvlText w:val="%2"/>
      <w:numFmt w:val="decimal"/>
      <w:start w:val="1"/>
    </w:lvl>
    <w:lvl w:ilvl="2">
      <w:lvlJc w:val="left"/>
      <w:lvlText w:val="-"/>
      <w:numFmt w:val="bullet"/>
      <w:start w:val="1"/>
    </w:lvl>
  </w:abstractNum>
  <w:abstractNum w:abstractNumId="122">
    <w:nsid w:val="6EBE4208"/>
    <w:multiLevelType w:val="hybridMultilevel"/>
    <w:lvl w:ilvl="0">
      <w:lvlJc w:val="left"/>
      <w:lvlText w:val="(%1)"/>
      <w:numFmt w:val="lowerRoman"/>
      <w:start w:val="1"/>
    </w:lvl>
  </w:abstractNum>
  <w:abstractNum w:abstractNumId="123">
    <w:nsid w:val="C058DF5"/>
    <w:multiLevelType w:val="hybridMultilevel"/>
    <w:lvl w:ilvl="0">
      <w:lvlJc w:val="left"/>
      <w:lvlText w:val="(%1)"/>
      <w:numFmt w:val="lowerRoman"/>
      <w:start w:val="2"/>
    </w:lvl>
  </w:abstractNum>
  <w:abstractNum w:abstractNumId="124">
    <w:nsid w:val="CBE5BE9"/>
    <w:multiLevelType w:val="hybridMultilevel"/>
    <w:lvl w:ilvl="0">
      <w:lvlJc w:val="left"/>
      <w:lvlText w:val="(%1)"/>
      <w:numFmt w:val="lowerRoman"/>
      <w:start w:val="1"/>
    </w:lvl>
    <w:lvl w:ilvl="1">
      <w:lvlJc w:val="left"/>
      <w:lvlText w:val="-"/>
      <w:numFmt w:val="bullet"/>
      <w:start w:val="1"/>
    </w:lvl>
  </w:abstractNum>
  <w:abstractNum w:abstractNumId="125">
    <w:nsid w:val="3102BBE2"/>
    <w:multiLevelType w:val="hybridMultilevel"/>
    <w:lvl w:ilvl="0">
      <w:lvlJc w:val="left"/>
      <w:lvlText w:val="(%1)"/>
      <w:numFmt w:val="lowerLetter"/>
      <w:start w:val="1"/>
    </w:lvl>
  </w:abstractNum>
  <w:abstractNum w:abstractNumId="126">
    <w:nsid w:val="26A02C5E"/>
    <w:multiLevelType w:val="hybridMultilevel"/>
    <w:lvl w:ilvl="0">
      <w:lvlJc w:val="left"/>
      <w:lvlText w:val="(%1)"/>
      <w:numFmt w:val="lowerLetter"/>
      <w:start w:val="2"/>
    </w:lvl>
    <w:lvl w:ilvl="1">
      <w:lvlJc w:val="left"/>
      <w:lvlText w:val="-"/>
      <w:numFmt w:val="bullet"/>
      <w:start w:val="1"/>
    </w:lvl>
  </w:abstractNum>
  <w:abstractNum w:abstractNumId="127">
    <w:nsid w:val="541C8153"/>
    <w:multiLevelType w:val="hybridMultilevel"/>
    <w:lvl w:ilvl="0">
      <w:lvlJc w:val="left"/>
      <w:lvlText w:val="(%1)"/>
      <w:numFmt w:val="lowerRoman"/>
      <w:start w:val="1"/>
    </w:lvl>
  </w:abstractNum>
  <w:abstractNum w:abstractNumId="128">
    <w:nsid w:val="67906F60"/>
    <w:multiLevelType w:val="hybridMultilevel"/>
    <w:lvl w:ilvl="0">
      <w:lvlJc w:val="left"/>
      <w:lvlText w:val="(%1)"/>
      <w:numFmt w:val="lowerLetter"/>
      <w:start w:val="1"/>
    </w:lvl>
    <w:lvl w:ilvl="1">
      <w:lvlJc w:val="left"/>
      <w:lvlText w:val="-"/>
      <w:numFmt w:val="bullet"/>
      <w:start w:val="1"/>
    </w:lvl>
  </w:abstractNum>
  <w:abstractNum w:abstractNumId="129">
    <w:nsid w:val="10DB9DAA"/>
    <w:multiLevelType w:val="hybridMultilevel"/>
    <w:lvl w:ilvl="0">
      <w:lvlJc w:val="left"/>
      <w:lvlText w:val="(%1)"/>
      <w:numFmt w:val="lowerLetter"/>
      <w:start w:val="4"/>
    </w:lvl>
  </w:abstractNum>
  <w:abstractNum w:abstractNumId="130">
    <w:nsid w:val="697D2D2"/>
    <w:multiLevelType w:val="hybridMultilevel"/>
    <w:lvl w:ilvl="0">
      <w:lvlJc w:val="left"/>
      <w:lvlText w:val="(%1)"/>
      <w:numFmt w:val="lowerLetter"/>
      <w:start w:val="1"/>
    </w:lvl>
  </w:abstractNum>
  <w:abstractNum w:abstractNumId="131">
    <w:nsid w:val="6D68AB2"/>
    <w:multiLevelType w:val="hybridMultilevel"/>
    <w:lvl w:ilvl="0">
      <w:lvlJc w:val="left"/>
      <w:lvlText w:val="(%1)"/>
      <w:numFmt w:val="lowerRoman"/>
      <w:start w:val="2"/>
    </w:lvl>
  </w:abstractNum>
  <w:abstractNum w:abstractNumId="132">
    <w:nsid w:val="3A966CD0"/>
    <w:multiLevelType w:val="hybridMultilevel"/>
    <w:lvl w:ilvl="0">
      <w:lvlJc w:val="left"/>
      <w:lvlText w:val="(%1)"/>
      <w:numFmt w:val="lowerRoman"/>
      <w:start w:val="2"/>
    </w:lvl>
    <w:lvl w:ilvl="1">
      <w:lvlJc w:val="left"/>
      <w:lvlText w:val="-"/>
      <w:numFmt w:val="bullet"/>
      <w:start w:val="1"/>
    </w:lvl>
  </w:abstractNum>
  <w:abstractNum w:abstractNumId="133">
    <w:nsid w:val="63F37E85"/>
    <w:multiLevelType w:val="hybridMultilevel"/>
    <w:lvl w:ilvl="0">
      <w:lvlJc w:val="left"/>
      <w:lvlText w:val="(%1)"/>
      <w:numFmt w:val="lowerLetter"/>
      <w:start w:val="4"/>
    </w:lvl>
  </w:abstractNum>
  <w:abstractNum w:abstractNumId="134">
    <w:nsid w:val="5895F5FA"/>
    <w:multiLevelType w:val="hybridMultilevel"/>
    <w:lvl w:ilvl="0">
      <w:lvlJc w:val="left"/>
      <w:lvlText w:val="(%1)"/>
      <w:numFmt w:val="lowerLetter"/>
      <w:start w:val="2"/>
    </w:lvl>
    <w:lvl w:ilvl="1">
      <w:lvlJc w:val="left"/>
      <w:lvlText w:val="-"/>
      <w:numFmt w:val="bullet"/>
      <w:start w:val="1"/>
    </w:lvl>
  </w:abstractNum>
  <w:abstractNum w:abstractNumId="135">
    <w:nsid w:val="38A5D054"/>
    <w:multiLevelType w:val="hybridMultilevel"/>
    <w:lvl w:ilvl="0">
      <w:lvlJc w:val="left"/>
      <w:lvlText w:val="%1."/>
      <w:numFmt w:val="decimal"/>
      <w:start w:val="17"/>
    </w:lvl>
  </w:abstractNum>
  <w:abstractNum w:abstractNumId="136">
    <w:nsid w:val="F3F09D8"/>
    <w:multiLevelType w:val="hybridMultilevel"/>
    <w:lvl w:ilvl="0">
      <w:lvlJc w:val="left"/>
      <w:lvlText w:val="(%1)"/>
      <w:numFmt w:val="lowerLetter"/>
      <w:start w:val="1"/>
    </w:lvl>
  </w:abstractNum>
  <w:abstractNum w:abstractNumId="137">
    <w:nsid w:val="4B793735"/>
    <w:multiLevelType w:val="hybridMultilevel"/>
    <w:lvl w:ilvl="0">
      <w:lvlJc w:val="left"/>
      <w:lvlText w:val="(%1)"/>
      <w:numFmt w:val="lowerLetter"/>
      <w:start w:val="1"/>
    </w:lvl>
    <w:lvl w:ilvl="1">
      <w:lvlJc w:val="left"/>
      <w:lvlText w:val="-"/>
      <w:numFmt w:val="bullet"/>
      <w:start w:val="1"/>
    </w:lvl>
  </w:abstractNum>
  <w:abstractNum w:abstractNumId="138">
    <w:nsid w:val="4A10B4E8"/>
    <w:multiLevelType w:val="hybridMultilevel"/>
    <w:lvl w:ilvl="0">
      <w:lvlJc w:val="left"/>
      <w:lvlText w:val="(%1)"/>
      <w:numFmt w:val="lowerRoman"/>
      <w:start w:val="1"/>
    </w:lvl>
  </w:abstractNum>
  <w:abstractNum w:abstractNumId="139">
    <w:nsid w:val="43D3BCD4"/>
    <w:multiLevelType w:val="hybridMultilevel"/>
    <w:lvl w:ilvl="0">
      <w:lvlJc w:val="left"/>
      <w:lvlText w:val="(%1)"/>
      <w:numFmt w:val="lowerLetter"/>
      <w:start w:val="2"/>
    </w:lvl>
  </w:abstractNum>
  <w:abstractNum w:abstractNumId="140">
    <w:nsid w:val="4C2A7166"/>
    <w:multiLevelType w:val="hybridMultilevel"/>
    <w:lvl w:ilvl="0">
      <w:lvlJc w:val="left"/>
      <w:lvlText w:val="(%1)"/>
      <w:numFmt w:val="lowerLetter"/>
      <w:start w:val="2"/>
    </w:lvl>
    <w:lvl w:ilvl="1">
      <w:lvlJc w:val="left"/>
      <w:lvlText w:val="-"/>
      <w:numFmt w:val="bullet"/>
      <w:start w:val="1"/>
    </w:lvl>
  </w:abstractNum>
  <w:abstractNum w:abstractNumId="141">
    <w:nsid w:val="2E534A82"/>
    <w:multiLevelType w:val="hybridMultilevel"/>
    <w:lvl w:ilvl="0">
      <w:lvlJc w:val="left"/>
      <w:lvlText w:val="%1."/>
      <w:numFmt w:val="decimal"/>
      <w:start w:val="18"/>
    </w:lvl>
  </w:abstractNum>
  <w:abstractNum w:abstractNumId="142">
    <w:nsid w:val="26F2D364"/>
    <w:multiLevelType w:val="hybridMultilevel"/>
    <w:lvl w:ilvl="0">
      <w:lvlJc w:val="left"/>
      <w:lvlText w:val="%1."/>
      <w:numFmt w:val="decimal"/>
      <w:start w:val="19"/>
    </w:lvl>
  </w:abstractNum>
  <w:abstractNum w:abstractNumId="143">
    <w:nsid w:val="71C1AF98"/>
    <w:multiLevelType w:val="hybridMultilevel"/>
    <w:lvl w:ilvl="0">
      <w:lvlJc w:val="left"/>
      <w:lvlText w:val="%1."/>
      <w:numFmt w:val="decimal"/>
      <w:start w:val="20"/>
    </w:lvl>
  </w:abstractNum>
  <w:abstractNum w:abstractNumId="144">
    <w:nsid w:val="3D00B9D9"/>
    <w:multiLevelType w:val="hybridMultilevel"/>
    <w:lvl w:ilvl="0">
      <w:lvlJc w:val="left"/>
      <w:lvlText w:val="%1."/>
      <w:numFmt w:val="decimal"/>
      <w:start w:val="21"/>
    </w:lvl>
  </w:abstractNum>
  <w:abstractNum w:abstractNumId="145">
    <w:nsid w:val="15BCABA8"/>
    <w:multiLevelType w:val="hybridMultilevel"/>
    <w:lvl w:ilvl="0">
      <w:lvlJc w:val="left"/>
      <w:lvlText w:val="%1"/>
      <w:numFmt w:val="decimal"/>
      <w:start w:val="1"/>
    </w:lvl>
    <w:lvl w:ilvl="1">
      <w:lvlJc w:val="left"/>
      <w:lvlText w:val="(%2)"/>
      <w:numFmt w:val="lowerRoman"/>
      <w:start w:val="2"/>
    </w:lvl>
  </w:abstractNum>
  <w:abstractNum w:abstractNumId="146">
    <w:nsid w:val="4E0B9A87"/>
    <w:multiLevelType w:val="hybridMultilevel"/>
    <w:lvl w:ilvl="0">
      <w:lvlJc w:val="left"/>
      <w:lvlText w:val="%1."/>
      <w:numFmt w:val="decimal"/>
      <w:start w:val="22"/>
    </w:lvl>
    <w:lvl w:ilvl="1">
      <w:lvlJc w:val="left"/>
      <w:lvlText w:val="%2"/>
      <w:numFmt w:val="lowerRoman"/>
      <w:start w:val="1"/>
    </w:lvl>
  </w:abstractNum>
  <w:abstractNum w:abstractNumId="147">
    <w:nsid w:val="434BAE75"/>
    <w:multiLevelType w:val="hybridMultilevel"/>
    <w:lvl w:ilvl="0">
      <w:lvlJc w:val="left"/>
      <w:lvlText w:val="%1."/>
      <w:numFmt w:val="decimal"/>
      <w:start w:val="23"/>
    </w:lvl>
    <w:lvl w:ilvl="1">
      <w:lvlJc w:val="left"/>
      <w:lvlText w:val="-"/>
      <w:numFmt w:val="bullet"/>
      <w:start w:val="1"/>
    </w:lvl>
  </w:abstractNum>
  <w:abstractNum w:abstractNumId="148">
    <w:nsid w:val="4F38F265"/>
    <w:multiLevelType w:val="hybridMultilevel"/>
    <w:lvl w:ilvl="0">
      <w:lvlJc w:val="left"/>
      <w:lvlText w:val="%1."/>
      <w:numFmt w:val="decimal"/>
      <w:start w:val="24"/>
    </w:lvl>
    <w:lvl w:ilvl="1">
      <w:lvlJc w:val="left"/>
      <w:lvlText w:val="-"/>
      <w:numFmt w:val="bullet"/>
      <w:start w:val="1"/>
    </w:lvl>
  </w:abstractNum>
  <w:abstractNum w:abstractNumId="149">
    <w:nsid w:val="4C502870"/>
    <w:multiLevelType w:val="hybridMultilevel"/>
    <w:lvl w:ilvl="0">
      <w:lvlJc w:val="left"/>
      <w:lvlText w:val="%1."/>
      <w:numFmt w:val="decimal"/>
      <w:start w:val="26"/>
    </w:lvl>
  </w:abstractNum>
  <w:abstractNum w:abstractNumId="150">
    <w:nsid w:val="1DE8725A"/>
    <w:multiLevelType w:val="hybridMultilevel"/>
    <w:lvl w:ilvl="0">
      <w:lvlJc w:val="left"/>
      <w:lvlText w:val="%1."/>
      <w:numFmt w:val="decimal"/>
      <w:start w:val="28"/>
    </w:lvl>
    <w:lvl w:ilvl="1">
      <w:lvlJc w:val="left"/>
      <w:lvlText w:val="-"/>
      <w:numFmt w:val="bullet"/>
      <w:start w:val="1"/>
    </w:lvl>
  </w:abstractNum>
  <w:abstractNum w:abstractNumId="151">
    <w:nsid w:val="6A37288A"/>
    <w:multiLevelType w:val="hybridMultilevel"/>
    <w:lvl w:ilvl="0">
      <w:lvlJc w:val="left"/>
      <w:lvlText w:val="(%1)"/>
      <w:numFmt w:val="lowerRoman"/>
      <w:start w:val="1"/>
    </w:lvl>
  </w:abstractNum>
  <w:abstractNum w:abstractNumId="152">
    <w:nsid w:val="8F8B73F"/>
    <w:multiLevelType w:val="hybridMultilevel"/>
    <w:lvl w:ilvl="0">
      <w:lvlJc w:val="left"/>
      <w:lvlText w:val="%1."/>
      <w:numFmt w:val="decimal"/>
      <w:start w:val="33"/>
    </w:lvl>
  </w:abstractNum>
  <w:abstractNum w:abstractNumId="153">
    <w:nsid w:val="CA6B462"/>
    <w:multiLevelType w:val="hybridMultilevel"/>
    <w:lvl w:ilvl="0">
      <w:lvlJc w:val="left"/>
      <w:lvlText w:val="%1."/>
      <w:numFmt w:val="decimal"/>
      <w:start w:val="1"/>
    </w:lvl>
  </w:abstractNum>
  <w:abstractNum w:abstractNumId="154">
    <w:nsid w:val="763CB680"/>
    <w:multiLevelType w:val="hybridMultilevel"/>
    <w:lvl w:ilvl="0">
      <w:lvlJc w:val="left"/>
      <w:lvlText w:val="%1."/>
      <w:numFmt w:val="decimal"/>
      <w:start w:val="2"/>
    </w:lvl>
  </w:abstractNum>
  <w:abstractNum w:abstractNumId="155">
    <w:nsid w:val="15B71329"/>
    <w:multiLevelType w:val="hybridMultilevel"/>
    <w:lvl w:ilvl="0">
      <w:lvlJc w:val="left"/>
      <w:lvlText w:val="%1."/>
      <w:numFmt w:val="decimal"/>
      <w:start w:val="3"/>
    </w:lvl>
  </w:abstractNum>
  <w:abstractNum w:abstractNumId="156">
    <w:nsid w:val="3DA97044"/>
    <w:multiLevelType w:val="hybridMultilevel"/>
    <w:lvl w:ilvl="0">
      <w:lvlJc w:val="left"/>
      <w:lvlText w:val="%1."/>
      <w:numFmt w:val="decimal"/>
      <w:start w:val="4"/>
    </w:lvl>
  </w:abstractNum>
  <w:abstractNum w:abstractNumId="157">
    <w:nsid w:val="1CDCE2DE"/>
    <w:multiLevelType w:val="hybridMultilevel"/>
    <w:lvl w:ilvl="0">
      <w:lvlJc w:val="left"/>
      <w:lvlText w:val="(%1)"/>
      <w:numFmt w:val="decimal"/>
      <w:start w:val="1"/>
    </w:lvl>
    <w:lvl w:ilvl="1">
      <w:lvlJc w:val="left"/>
      <w:lvlText w:val="-"/>
      <w:numFmt w:val="bullet"/>
      <w:start w:val="1"/>
    </w:lvl>
  </w:abstractNum>
  <w:abstractNum w:abstractNumId="158">
    <w:nsid w:val="69D3947C"/>
    <w:multiLevelType w:val="hybridMultilevel"/>
    <w:lvl w:ilvl="0">
      <w:lvlJc w:val="left"/>
      <w:lvlText w:val="%1."/>
      <w:numFmt w:val="decimal"/>
      <w:start w:val="5"/>
    </w:lvl>
  </w:abstractNum>
  <w:abstractNum w:abstractNumId="159">
    <w:nsid w:val="2539DFA5"/>
    <w:multiLevelType w:val="hybridMultilevel"/>
    <w:lvl w:ilvl="0">
      <w:lvlJc w:val="left"/>
      <w:lvlText w:val="(%1)"/>
      <w:numFmt w:val="lowerLetter"/>
      <w:start w:val="2"/>
    </w:lvl>
  </w:abstractNum>
  <w:abstractNum w:abstractNumId="160">
    <w:nsid w:val="2DB88089"/>
    <w:multiLevelType w:val="hybridMultilevel"/>
    <w:lvl w:ilvl="0">
      <w:lvlJc w:val="left"/>
      <w:lvlText w:val="%1."/>
      <w:numFmt w:val="decimal"/>
      <w:start w:val="6"/>
    </w:lvl>
  </w:abstractNum>
  <w:abstractNum w:abstractNumId="161">
    <w:nsid w:val="706B674E"/>
    <w:multiLevelType w:val="hybridMultilevel"/>
    <w:lvl w:ilvl="0">
      <w:lvlJc w:val="left"/>
      <w:lvlText w:val="(%1)"/>
      <w:numFmt w:val="lowerRoman"/>
      <w:start w:val="1"/>
    </w:lvl>
  </w:abstractNum>
  <w:abstractNum w:abstractNumId="162">
    <w:nsid w:val="2C106A57"/>
    <w:multiLevelType w:val="hybridMultilevel"/>
    <w:lvl w:ilvl="0">
      <w:lvlJc w:val="left"/>
      <w:lvlText w:val="(%1)"/>
      <w:numFmt w:val="lowerLetter"/>
      <w:start w:val="1"/>
    </w:lvl>
  </w:abstractNum>
  <w:abstractNum w:abstractNumId="163">
    <w:nsid w:val="684EED59"/>
    <w:multiLevelType w:val="hybridMultilevel"/>
    <w:lvl w:ilvl="0">
      <w:lvlJc w:val="left"/>
      <w:lvlText w:val="%1."/>
      <w:numFmt w:val="decimal"/>
      <w:start w:val="7"/>
    </w:lvl>
  </w:abstractNum>
  <w:abstractNum w:abstractNumId="164">
    <w:nsid w:val="545EE5D3"/>
    <w:multiLevelType w:val="hybridMultilevel"/>
    <w:lvl w:ilvl="0">
      <w:lvlJc w:val="left"/>
      <w:lvlText w:val="%1."/>
      <w:numFmt w:val="decimal"/>
      <w:start w:val="8"/>
    </w:lvl>
  </w:abstractNum>
  <w:abstractNum w:abstractNumId="165">
    <w:nsid w:val="4A66051"/>
    <w:multiLevelType w:val="hybridMultilevel"/>
    <w:lvl w:ilvl="0">
      <w:lvlJc w:val="left"/>
      <w:lvlText w:val="%1."/>
      <w:numFmt w:val="decimal"/>
      <w:start w:val="1"/>
    </w:lvl>
  </w:abstractNum>
  <w:abstractNum w:abstractNumId="166">
    <w:nsid w:val="20F4BDAD"/>
    <w:multiLevelType w:val="hybridMultilevel"/>
    <w:lvl w:ilvl="0">
      <w:lvlJc w:val="left"/>
      <w:lvlText w:val="%1."/>
      <w:numFmt w:val="decimal"/>
      <w:start w:val="2"/>
    </w:lvl>
  </w:abstractNum>
  <w:abstractNum w:abstractNumId="167">
    <w:nsid w:val="639DEFAC"/>
    <w:multiLevelType w:val="hybridMultilevel"/>
    <w:lvl w:ilvl="0">
      <w:lvlJc w:val="left"/>
      <w:lvlText w:val="%1."/>
      <w:numFmt w:val="decimal"/>
      <w:start w:val="3"/>
    </w:lvl>
  </w:abstractNum>
  <w:abstractNum w:abstractNumId="168">
    <w:nsid w:val="501F9786"/>
    <w:multiLevelType w:val="hybridMultilevel"/>
    <w:lvl w:ilvl="0">
      <w:lvlJc w:val="left"/>
      <w:lvlText w:val="%1."/>
      <w:numFmt w:val="decimal"/>
      <w:start w:val="4"/>
    </w:lvl>
  </w:abstractNum>
  <w:abstractNum w:abstractNumId="169">
    <w:nsid w:val="6B057295"/>
    <w:multiLevelType w:val="hybridMultilevel"/>
    <w:lvl w:ilvl="0">
      <w:lvlJc w:val="left"/>
      <w:lvlText w:val="(%1)"/>
      <w:numFmt w:val="decimal"/>
      <w:start w:val="1"/>
    </w:lvl>
    <w:lvl w:ilvl="1">
      <w:lvlJc w:val="left"/>
      <w:lvlText w:val="-"/>
      <w:numFmt w:val="bullet"/>
      <w:start w:val="1"/>
    </w:lvl>
  </w:abstractNum>
  <w:abstractNum w:abstractNumId="170">
    <w:nsid w:val="2771AC80"/>
    <w:multiLevelType w:val="hybridMultilevel"/>
    <w:lvl w:ilvl="0">
      <w:lvlJc w:val="left"/>
      <w:lvlText w:val="%1."/>
      <w:numFmt w:val="decimal"/>
      <w:start w:val="5"/>
    </w:lvl>
  </w:abstractNum>
  <w:abstractNum w:abstractNumId="171">
    <w:nsid w:val="1C4A08EC"/>
    <w:multiLevelType w:val="hybridMultilevel"/>
    <w:lvl w:ilvl="0">
      <w:lvlJc w:val="left"/>
      <w:lvlText w:val="(%1)"/>
      <w:numFmt w:val="lowerLetter"/>
      <w:start w:val="2"/>
    </w:lvl>
  </w:abstractNum>
  <w:abstractNum w:abstractNumId="172">
    <w:nsid w:val="1958BD17"/>
    <w:multiLevelType w:val="hybridMultilevel"/>
    <w:lvl w:ilvl="0">
      <w:lvlJc w:val="left"/>
      <w:lvlText w:val="%1."/>
      <w:numFmt w:val="decimal"/>
      <w:start w:val="6"/>
    </w:lvl>
  </w:abstractNum>
  <w:abstractNum w:abstractNumId="173">
    <w:nsid w:val="4E647FE4"/>
    <w:multiLevelType w:val="hybridMultilevel"/>
    <w:lvl w:ilvl="0">
      <w:lvlJc w:val="left"/>
      <w:lvlText w:val="(%1)"/>
      <w:numFmt w:val="lowerRoman"/>
      <w:start w:val="1"/>
    </w:lvl>
  </w:abstractNum>
  <w:abstractNum w:abstractNumId="174">
    <w:nsid w:val="E0BB885"/>
    <w:multiLevelType w:val="hybridMultilevel"/>
    <w:lvl w:ilvl="0">
      <w:lvlJc w:val="left"/>
      <w:lvlText w:val="(%1)"/>
      <w:numFmt w:val="lowerLetter"/>
      <w:start w:val="1"/>
    </w:lvl>
  </w:abstractNum>
  <w:abstractNum w:abstractNumId="175">
    <w:nsid w:val="565976F1"/>
    <w:multiLevelType w:val="hybridMultilevel"/>
    <w:lvl w:ilvl="0">
      <w:lvlJc w:val="left"/>
      <w:lvlText w:val="%1."/>
      <w:numFmt w:val="decimal"/>
      <w:start w:val="7"/>
    </w:lvl>
  </w:abstractNum>
  <w:abstractNum w:abstractNumId="176">
    <w:nsid w:val="64212B8C"/>
    <w:multiLevelType w:val="hybridMultilevel"/>
    <w:lvl w:ilvl="0">
      <w:lvlJc w:val="left"/>
      <w:lvlText w:val="%1."/>
      <w:numFmt w:val="decimal"/>
      <w:start w:val="8"/>
    </w:lvl>
  </w:abstractNum>
  <w:abstractNum w:abstractNumId="177">
    <w:nsid w:val="5C17530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178">
    <w:nsid w:val="19A52566"/>
    <w:multiLevelType w:val="hybridMultilevel"/>
    <w:lvl w:ilvl="0">
      <w:lvlJc w:val="left"/>
      <w:lvlText w:val="(%1)"/>
      <w:numFmt w:val="lowerLetter"/>
      <w:start w:val="9"/>
    </w:lvl>
    <w:lvl w:ilvl="1">
      <w:lvlJc w:val="left"/>
      <w:lvlText w:val="(%2)"/>
      <w:numFmt w:val="lowerLetter"/>
      <w:start w:val="2"/>
    </w:lvl>
  </w:abstractNum>
  <w:abstractNum w:abstractNumId="179">
    <w:nsid w:val="335A1DF1"/>
    <w:multiLevelType w:val="hybridMultilevel"/>
    <w:lvl w:ilvl="0">
      <w:lvlJc w:val="left"/>
      <w:lvlText w:val="(%1)"/>
      <w:numFmt w:val="lowerLetter"/>
      <w:start w:val="1"/>
    </w:lvl>
    <w:lvl w:ilvl="1">
      <w:lvlJc w:val="left"/>
      <w:lvlText w:val="-"/>
      <w:numFmt w:val="bullet"/>
      <w:start w:val="1"/>
    </w:lvl>
  </w:abstractNum>
  <w:abstractNum w:abstractNumId="180">
    <w:nsid w:val="28677B7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
      <w:numFmt w:val="bullet"/>
      <w:start w:val="1"/>
    </w:lvl>
  </w:abstractNum>
  <w:abstractNum w:abstractNumId="181">
    <w:nsid w:val="378D97C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82">
    <w:nsid w:val="1D91467C"/>
    <w:multiLevelType w:val="hybridMultilevel"/>
    <w:lvl w:ilvl="0">
      <w:lvlJc w:val="left"/>
      <w:lvlText w:val="(%1)"/>
      <w:numFmt w:val="lowerLetter"/>
      <w:start w:val="2"/>
    </w:lvl>
    <w:lvl w:ilvl="1">
      <w:lvlJc w:val="left"/>
      <w:lvlText w:val="(%2)"/>
      <w:numFmt w:val="lowerRoman"/>
      <w:start w:val="3"/>
    </w:lvl>
    <w:lvl w:ilvl="2">
      <w:lvlJc w:val="left"/>
      <w:lvlText w:val="-"/>
      <w:numFmt w:val="bullet"/>
      <w:start w:val="1"/>
    </w:lvl>
  </w:abstractNum>
  <w:abstractNum w:abstractNumId="183">
    <w:nsid w:val="316032BB"/>
    <w:multiLevelType w:val="hybridMultilevel"/>
    <w:lvl w:ilvl="0">
      <w:lvlJc w:val="left"/>
      <w:lvlText w:val="(%1)"/>
      <w:numFmt w:val="lowerLetter"/>
      <w:start w:val="4"/>
    </w:lvl>
    <w:lvl w:ilvl="1">
      <w:lvlJc w:val="left"/>
      <w:lvlText w:val="-"/>
      <w:numFmt w:val="bullet"/>
      <w:start w:val="1"/>
    </w:lvl>
  </w:abstractNum>
  <w:abstractNum w:abstractNumId="184">
    <w:nsid w:val="44344C22"/>
    <w:multiLevelType w:val="hybridMultilevel"/>
    <w:lvl w:ilvl="0">
      <w:lvlJc w:val="left"/>
      <w:lvlText w:val="(%1)"/>
      <w:numFmt w:val="lowerLetter"/>
      <w:start w:val="5"/>
    </w:lvl>
    <w:lvl w:ilvl="1">
      <w:lvlJc w:val="left"/>
      <w:lvlText w:val="-"/>
      <w:numFmt w:val="bullet"/>
      <w:start w:val="1"/>
    </w:lvl>
  </w:abstractNum>
  <w:abstractNum w:abstractNumId="185">
    <w:nsid w:val="13CDFCFC"/>
    <w:multiLevelType w:val="hybridMultilevel"/>
    <w:lvl w:ilvl="0">
      <w:lvlJc w:val="left"/>
      <w:lvlText w:val="(%1)"/>
      <w:numFmt w:val="lowerLetter"/>
      <w:start w:val="8"/>
    </w:lvl>
    <w:lvl w:ilvl="1">
      <w:lvlJc w:val="left"/>
      <w:lvlText w:val="-"/>
      <w:numFmt w:val="bullet"/>
      <w:start w:val="1"/>
    </w:lvl>
  </w:abstractNum>
  <w:abstractNum w:abstractNumId="186">
    <w:nsid w:val="471745E4"/>
    <w:multiLevelType w:val="hybridMultilevel"/>
    <w:lvl w:ilvl="0">
      <w:lvlJc w:val="left"/>
      <w:lvlText w:val="%1"/>
      <w:numFmt w:val="decimal"/>
      <w:start w:val="1"/>
    </w:lvl>
    <w:lvl w:ilvl="1">
      <w:lvlJc w:val="left"/>
      <w:lvlText w:val="(%2)"/>
      <w:numFmt w:val="lowerLetter"/>
      <w:start w:val="13"/>
    </w:lvl>
    <w:lvl w:ilvl="2">
      <w:lvlJc w:val="left"/>
      <w:lvlText w:val="-"/>
      <w:numFmt w:val="bullet"/>
      <w:start w:val="1"/>
    </w:lvl>
  </w:abstractNum>
  <w:abstractNum w:abstractNumId="187">
    <w:nsid w:val="1DDBC66"/>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88">
    <w:nsid w:val="30AADFDA"/>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189">
    <w:nsid w:val="30EADA61"/>
    <w:multiLevelType w:val="hybridMultilevel"/>
    <w:lvl w:ilvl="0">
      <w:lvlJc w:val="left"/>
      <w:lvlText w:val="(%1)"/>
      <w:numFmt w:val="lowerLetter"/>
      <w:start w:val="2"/>
    </w:lvl>
    <w:lvl w:ilvl="1">
      <w:lvlJc w:val="left"/>
      <w:lvlText w:val="-"/>
      <w:numFmt w:val="bullet"/>
      <w:start w:val="1"/>
    </w:lvl>
  </w:abstractNum>
  <w:abstractNum w:abstractNumId="190">
    <w:nsid w:val="27179C0B"/>
    <w:multiLevelType w:val="hybridMultilevel"/>
    <w:lvl w:ilvl="0">
      <w:lvlJc w:val="left"/>
      <w:lvlText w:val="(%1)"/>
      <w:numFmt w:val="lowerLetter"/>
      <w:start w:val="3"/>
    </w:lvl>
    <w:lvl w:ilvl="1">
      <w:lvlJc w:val="left"/>
      <w:lvlText w:val="-"/>
      <w:numFmt w:val="bullet"/>
      <w:start w:val="1"/>
    </w:lvl>
  </w:abstractNum>
  <w:abstractNum w:abstractNumId="191">
    <w:nsid w:val="5E636063"/>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92">
    <w:nsid w:val="215641AF"/>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193">
    <w:nsid w:val="53280662"/>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194">
    <w:nsid w:val="46B24DBC"/>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195">
    <w:nsid w:val="75B52783"/>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196">
    <w:nsid w:val="57CE66B4"/>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61"/>
    </w:lvl>
  </w:abstractNum>
  <w:abstractNum w:abstractNumId="197">
    <w:nsid w:val="67A70B69"/>
    <w:multiLevelType w:val="hybridMultilevel"/>
    <w:lvl w:ilvl="0">
      <w:lvlJc w:val="left"/>
      <w:lvlText w:val="(%1)"/>
      <w:numFmt w:val="lowerLetter"/>
      <w:start w:val="2"/>
    </w:lvl>
    <w:lvl w:ilvl="1">
      <w:lvlJc w:val="left"/>
      <w:lvlText w:val="-"/>
      <w:numFmt w:val="bullet"/>
      <w:start w:val="1"/>
    </w:lvl>
  </w:abstractNum>
  <w:abstractNum w:abstractNumId="198">
    <w:nsid w:val="5953172F"/>
    <w:multiLevelType w:val="hybridMultilevel"/>
    <w:lvl w:ilvl="0">
      <w:lvlJc w:val="left"/>
      <w:lvlText w:val="(%1)"/>
      <w:numFmt w:val="lowerLetter"/>
      <w:start w:val="4"/>
    </w:lvl>
    <w:lvl w:ilvl="1">
      <w:lvlJc w:val="left"/>
      <w:lvlText w:val="-"/>
      <w:numFmt w:val="bullet"/>
      <w:start w:val="1"/>
    </w:lvl>
  </w:abstractNum>
  <w:abstractNum w:abstractNumId="199">
    <w:nsid w:val="27EDFE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200">
    <w:nsid w:val="52AC7DFF"/>
    <w:multiLevelType w:val="hybridMultilevel"/>
    <w:lvl w:ilvl="0">
      <w:lvlJc w:val="left"/>
      <w:lvlText w:val="(%1)"/>
      <w:numFmt w:val="lowerLetter"/>
      <w:start w:val="9"/>
    </w:lvl>
    <w:lvl w:ilvl="1">
      <w:lvlJc w:val="left"/>
      <w:lvlText w:val="(%2)"/>
      <w:numFmt w:val="lowerLetter"/>
      <w:start w:val="2"/>
    </w:lvl>
  </w:abstractNum>
  <w:abstractNum w:abstractNumId="201">
    <w:nsid w:val="C4C3AF"/>
    <w:multiLevelType w:val="hybridMultilevel"/>
    <w:lvl w:ilvl="0">
      <w:lvlJc w:val="left"/>
      <w:lvlText w:val="(%1)"/>
      <w:numFmt w:val="lowerLetter"/>
      <w:start w:val="1"/>
    </w:lvl>
    <w:lvl w:ilvl="1">
      <w:lvlJc w:val="left"/>
      <w:lvlText w:val="-"/>
      <w:numFmt w:val="bullet"/>
      <w:start w:val="1"/>
    </w:lvl>
  </w:abstractNum>
  <w:abstractNum w:abstractNumId="202">
    <w:nsid w:val="4438072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
      <w:numFmt w:val="bullet"/>
      <w:start w:val="1"/>
    </w:lvl>
  </w:abstractNum>
  <w:abstractNum w:abstractNumId="203">
    <w:nsid w:val="6C053B1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04">
    <w:nsid w:val="4F294393"/>
    <w:multiLevelType w:val="hybridMultilevel"/>
    <w:lvl w:ilvl="0">
      <w:lvlJc w:val="left"/>
      <w:lvlText w:val="(%1)"/>
      <w:numFmt w:val="lowerLetter"/>
      <w:start w:val="2"/>
    </w:lvl>
    <w:lvl w:ilvl="1">
      <w:lvlJc w:val="left"/>
      <w:lvlText w:val="-"/>
      <w:numFmt w:val="bullet"/>
      <w:start w:val="1"/>
    </w:lvl>
  </w:abstractNum>
  <w:abstractNum w:abstractNumId="205">
    <w:nsid w:val="5243BFAC"/>
    <w:multiLevelType w:val="hybridMultilevel"/>
    <w:lvl w:ilvl="0">
      <w:lvlJc w:val="left"/>
      <w:lvlText w:val="(%1)"/>
      <w:numFmt w:val="lowerLetter"/>
      <w:start w:val="3"/>
    </w:lvl>
    <w:lvl w:ilvl="1">
      <w:lvlJc w:val="left"/>
      <w:lvlText w:val="(%2)"/>
      <w:numFmt w:val="lowerRoman"/>
      <w:start w:val="3"/>
    </w:lvl>
    <w:lvl w:ilvl="2">
      <w:lvlJc w:val="left"/>
      <w:lvlText w:val="-"/>
      <w:numFmt w:val="bullet"/>
      <w:start w:val="1"/>
    </w:lvl>
  </w:abstractNum>
  <w:abstractNum w:abstractNumId="206">
    <w:nsid w:val="425EB207"/>
    <w:multiLevelType w:val="hybridMultilevel"/>
    <w:lvl w:ilvl="0">
      <w:lvlJc w:val="left"/>
      <w:lvlText w:val="(%1)"/>
      <w:numFmt w:val="lowerLetter"/>
      <w:start w:val="5"/>
    </w:lvl>
    <w:lvl w:ilvl="1">
      <w:lvlJc w:val="left"/>
      <w:lvlText w:val="-"/>
      <w:numFmt w:val="bullet"/>
      <w:start w:val="1"/>
    </w:lvl>
  </w:abstractNum>
  <w:abstractNum w:abstractNumId="207">
    <w:nsid w:val="334A6F1F"/>
    <w:multiLevelType w:val="hybridMultilevel"/>
    <w:lvl w:ilvl="0">
      <w:lvlJc w:val="left"/>
      <w:lvlText w:val="(%1)"/>
      <w:numFmt w:val="lowerLetter"/>
      <w:start w:val="8"/>
    </w:lvl>
    <w:lvl w:ilvl="1">
      <w:lvlJc w:val="left"/>
      <w:lvlText w:val="-"/>
      <w:numFmt w:val="bullet"/>
      <w:start w:val="1"/>
    </w:lvl>
  </w:abstractNum>
  <w:abstractNum w:abstractNumId="208">
    <w:nsid w:val="2E5B12B8"/>
    <w:multiLevelType w:val="hybridMultilevel"/>
    <w:lvl w:ilvl="0">
      <w:lvlJc w:val="left"/>
      <w:lvlText w:val="%1"/>
      <w:numFmt w:val="decimal"/>
      <w:start w:val="1"/>
    </w:lvl>
    <w:lvl w:ilvl="1">
      <w:lvlJc w:val="left"/>
      <w:lvlText w:val="(%2)"/>
      <w:numFmt w:val="lowerLetter"/>
      <w:start w:val="13"/>
    </w:lvl>
    <w:lvl w:ilvl="2">
      <w:lvlJc w:val="left"/>
      <w:lvlText w:val="-"/>
      <w:numFmt w:val="bullet"/>
      <w:start w:val="1"/>
    </w:lvl>
  </w:abstractNum>
  <w:abstractNum w:abstractNumId="209">
    <w:nsid w:val="5C03D76D"/>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210">
    <w:nsid w:val="66A48D11"/>
    <w:multiLevelType w:val="hybridMultilevel"/>
    <w:lvl w:ilvl="0">
      <w:lvlJc w:val="left"/>
      <w:lvlText w:val="%1."/>
      <w:numFmt w:val="decimal"/>
      <w:start w:val="5"/>
    </w:lvl>
    <w:lvl w:ilvl="1">
      <w:lvlJc w:val="left"/>
      <w:lvlText w:val="-"/>
      <w:numFmt w:val="bullet"/>
      <w:start w:val="1"/>
    </w:lvl>
  </w:abstractNum>
  <w:abstractNum w:abstractNumId="211">
    <w:nsid w:val="56C28E34"/>
    <w:multiLevelType w:val="hybridMultilevel"/>
    <w:lvl w:ilvl="0">
      <w:lvlJc w:val="left"/>
      <w:lvlText w:val="(%1)"/>
      <w:numFmt w:val="lowerLetter"/>
      <w:start w:val="1"/>
    </w:lvl>
    <w:lvl w:ilvl="1">
      <w:lvlJc w:val="left"/>
      <w:lvlText w:val="-"/>
      <w:numFmt w:val="bullet"/>
      <w:start w:val="1"/>
    </w:lvl>
  </w:abstractNum>
  <w:abstractNum w:abstractNumId="212">
    <w:nsid w:val="13916F2D"/>
    <w:multiLevelType w:val="hybridMultilevel"/>
    <w:lvl w:ilvl="0">
      <w:lvlJc w:val="left"/>
      <w:lvlText w:val="(%1)"/>
      <w:numFmt w:val="lowerLetter"/>
      <w:start w:val="3"/>
    </w:lvl>
    <w:lvl w:ilvl="1">
      <w:lvlJc w:val="left"/>
      <w:lvlText w:val="-"/>
      <w:numFmt w:val="bullet"/>
      <w:start w:val="1"/>
    </w:lvl>
  </w:abstractNum>
  <w:abstractNum w:abstractNumId="213">
    <w:nsid w:val="435D38D"/>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214">
    <w:nsid w:val="822C0EF"/>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215">
    <w:nsid w:val="57C5BB4F"/>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216">
    <w:nsid w:val="1803D089"/>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217">
    <w:nsid w:val="4F3A06D4"/>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218">
    <w:nsid w:val="59A377B6"/>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61"/>
    </w:lvl>
  </w:abstractNum>
  <w:abstractNum w:abstractNumId="219">
    <w:nsid w:val="48AEB063"/>
    <w:multiLevelType w:val="hybridMultilevel"/>
    <w:lvl w:ilvl="0">
      <w:lvlJc w:val="left"/>
      <w:lvlText w:val="(%1)"/>
      <w:numFmt w:val="lowerLetter"/>
      <w:start w:val="2"/>
    </w:lvl>
    <w:lvl w:ilvl="1">
      <w:lvlJc w:val="left"/>
      <w:lvlText w:val="-"/>
      <w:numFmt w:val="bullet"/>
      <w:start w:val="1"/>
    </w:lvl>
  </w:abstractNum>
  <w:abstractNum w:abstractNumId="220">
    <w:nsid w:val="24E135"/>
    <w:multiLevelType w:val="hybridMultilevel"/>
    <w:lvl w:ilvl="0">
      <w:lvlJc w:val="left"/>
      <w:lvlText w:val="(%1)"/>
      <w:numFmt w:val="lowerLetter"/>
      <w:start w:val="9"/>
    </w:lvl>
  </w:abstractNum>
  <w:abstractNum w:abstractNumId="221">
    <w:nsid w:val="BB13C1"/>
    <w:multiLevelType w:val="hybridMultilevel"/>
    <w:lvl w:ilvl="0">
      <w:lvlJc w:val="left"/>
      <w:lvlText w:val="%1."/>
      <w:numFmt w:val="decimal"/>
      <w:start w:val="1"/>
    </w:lvl>
  </w:abstractNum>
  <w:abstractNum w:abstractNumId="222">
    <w:nsid w:val="271210C7"/>
    <w:multiLevelType w:val="hybridMultilevel"/>
    <w:lvl w:ilvl="0">
      <w:lvlJc w:val="left"/>
      <w:lvlText w:val="(%1)"/>
      <w:numFmt w:val="decimal"/>
      <w:start w:val="1"/>
    </w:lvl>
  </w:abstractNum>
  <w:abstractNum w:abstractNumId="223">
    <w:nsid w:val="217B22E4"/>
    <w:multiLevelType w:val="hybridMultilevel"/>
    <w:lvl w:ilvl="0">
      <w:lvlJc w:val="left"/>
      <w:lvlText w:val="%1."/>
      <w:numFmt w:val="decimal"/>
      <w:start w:val="2"/>
    </w:lvl>
  </w:abstractNum>
  <w:abstractNum w:abstractNumId="224">
    <w:nsid w:val="53E31A24"/>
    <w:multiLevelType w:val="hybridMultilevel"/>
    <w:lvl w:ilvl="0">
      <w:lvlJc w:val="left"/>
      <w:lvlText w:val="%1."/>
      <w:numFmt w:val="decimal"/>
      <w:start w:val="4"/>
    </w:lvl>
    <w:lvl w:ilvl="1">
      <w:lvlJc w:val="left"/>
      <w:lvlText w:val="-"/>
      <w:numFmt w:val="bullet"/>
      <w:start w:val="1"/>
    </w:lvl>
  </w:abstractNum>
  <w:abstractNum w:abstractNumId="225">
    <w:nsid w:val="6DC45E83"/>
    <w:multiLevelType w:val="hybridMultilevel"/>
    <w:lvl w:ilvl="0">
      <w:lvlJc w:val="left"/>
      <w:lvlText w:val="%1."/>
      <w:numFmt w:val="decimal"/>
      <w:start w:val="5"/>
    </w:lvl>
  </w:abstractNum>
  <w:abstractNum w:abstractNumId="226">
    <w:nsid w:val="17304A67"/>
    <w:multiLevelType w:val="hybridMultilevel"/>
    <w:lvl w:ilvl="0">
      <w:lvlJc w:val="left"/>
      <w:lvlText w:val="(%1)"/>
      <w:numFmt w:val="decimal"/>
      <w:start w:val="2"/>
    </w:lvl>
    <w:lvl w:ilvl="1">
      <w:lvlJc w:val="left"/>
      <w:lvlText w:val="-"/>
      <w:numFmt w:val="bullet"/>
      <w:start w:val="1"/>
    </w:lvl>
  </w:abstractNum>
  <w:abstractNum w:abstractNumId="227">
    <w:nsid w:val="2BB180D8"/>
    <w:multiLevelType w:val="hybridMultilevel"/>
    <w:lvl w:ilvl="0">
      <w:lvlJc w:val="left"/>
      <w:lvlText w:val="%1."/>
      <w:numFmt w:val="decimal"/>
      <w:start w:val="7"/>
    </w:lvl>
  </w:abstractNum>
  <w:abstractNum w:abstractNumId="228">
    <w:nsid w:val="556B69ED"/>
    <w:multiLevelType w:val="hybridMultilevel"/>
    <w:lvl w:ilvl="0">
      <w:lvlJc w:val="left"/>
      <w:lvlText w:val="%1."/>
      <w:numFmt w:val="decimal"/>
      <w:start w:val="8"/>
    </w:lvl>
    <w:lvl w:ilvl="1">
      <w:lvlJc w:val="left"/>
      <w:lvlText w:val="-"/>
      <w:numFmt w:val="bullet"/>
      <w:start w:val="1"/>
    </w:lvl>
  </w:abstractNum>
  <w:abstractNum w:abstractNumId="229">
    <w:nsid w:val="70836196"/>
    <w:multiLevelType w:val="hybridMultilevel"/>
    <w:lvl w:ilvl="0">
      <w:lvlJc w:val="left"/>
      <w:lvlText w:val="%1."/>
      <w:numFmt w:val="decimal"/>
      <w:start w:val="9"/>
    </w:lvl>
    <w:lvl w:ilvl="1">
      <w:lvlJc w:val="left"/>
      <w:lvlText w:val="-"/>
      <w:numFmt w:val="bullet"/>
      <w:start w:val="1"/>
    </w:lvl>
  </w:abstractNum>
  <w:abstractNum w:abstractNumId="230">
    <w:nsid w:val="539F7F12"/>
    <w:multiLevelType w:val="hybridMultilevel"/>
    <w:lvl w:ilvl="0">
      <w:lvlJc w:val="left"/>
      <w:lvlText w:val="%1."/>
      <w:numFmt w:val="decimal"/>
      <w:start w:val="11"/>
    </w:lvl>
    <w:lvl w:ilvl="1">
      <w:lvlJc w:val="left"/>
      <w:lvlText w:val="-"/>
      <w:numFmt w:val="bullet"/>
      <w:start w:val="1"/>
    </w:lvl>
  </w:abstractNum>
  <w:abstractNum w:abstractNumId="231">
    <w:nsid w:val="2817E7EC"/>
    <w:multiLevelType w:val="hybridMultilevel"/>
    <w:lvl w:ilvl="0">
      <w:lvlJc w:val="left"/>
      <w:lvlText w:val="(%1)"/>
      <w:numFmt w:val="lowerLetter"/>
      <w:start w:val="3"/>
    </w:lvl>
    <w:lvl w:ilvl="1">
      <w:lvlJc w:val="left"/>
      <w:lvlText w:val="-"/>
      <w:numFmt w:val="bullet"/>
      <w:start w:val="1"/>
    </w:lvl>
  </w:abstractNum>
  <w:abstractNum w:abstractNumId="232">
    <w:nsid w:val="71482545"/>
    <w:multiLevelType w:val="hybridMultilevel"/>
    <w:lvl w:ilvl="0">
      <w:lvlJc w:val="left"/>
      <w:lvlText w:val="%1."/>
      <w:numFmt w:val="decimal"/>
      <w:start w:val="13"/>
    </w:lvl>
  </w:abstractNum>
  <w:abstractNum w:abstractNumId="233">
    <w:nsid w:val="17D78639"/>
    <w:multiLevelType w:val="hybridMultilevel"/>
    <w:lvl w:ilvl="0">
      <w:lvlJc w:val="left"/>
      <w:lvlText w:val="%1."/>
      <w:numFmt w:val="decimal"/>
      <w:start w:val="1"/>
    </w:lvl>
  </w:abstractNum>
  <w:abstractNum w:abstractNumId="234">
    <w:nsid w:val="141D2302"/>
    <w:multiLevelType w:val="hybridMultilevel"/>
    <w:lvl w:ilvl="0">
      <w:lvlJc w:val="left"/>
      <w:lvlText w:val="(%1)"/>
      <w:numFmt w:val="decimal"/>
      <w:start w:val="1"/>
    </w:lvl>
  </w:abstractNum>
  <w:abstractNum w:abstractNumId="235">
    <w:nsid w:val="407168D8"/>
    <w:multiLevelType w:val="hybridMultilevel"/>
    <w:lvl w:ilvl="0">
      <w:lvlJc w:val="left"/>
      <w:lvlText w:val="%1."/>
      <w:numFmt w:val="decimal"/>
      <w:start w:val="2"/>
    </w:lvl>
  </w:abstractNum>
  <w:abstractNum w:abstractNumId="236">
    <w:nsid w:val="6A1B45E5"/>
    <w:multiLevelType w:val="hybridMultilevel"/>
    <w:lvl w:ilvl="0">
      <w:lvlJc w:val="left"/>
      <w:lvlText w:val="%1."/>
      <w:numFmt w:val="decimal"/>
      <w:start w:val="4"/>
    </w:lvl>
    <w:lvl w:ilvl="1">
      <w:lvlJc w:val="left"/>
      <w:lvlText w:val="-"/>
      <w:numFmt w:val="bullet"/>
      <w:start w:val="1"/>
    </w:lvl>
  </w:abstractNum>
  <w:abstractNum w:abstractNumId="237">
    <w:nsid w:val="567BD50A"/>
    <w:multiLevelType w:val="hybridMultilevel"/>
    <w:lvl w:ilvl="0">
      <w:lvlJc w:val="left"/>
      <w:lvlText w:val="%1."/>
      <w:numFmt w:val="decimal"/>
      <w:start w:val="5"/>
    </w:lvl>
  </w:abstractNum>
  <w:abstractNum w:abstractNumId="238">
    <w:nsid w:val="73BBD7F8"/>
    <w:multiLevelType w:val="hybridMultilevel"/>
    <w:lvl w:ilvl="0">
      <w:lvlJc w:val="left"/>
      <w:lvlText w:val="(%1)"/>
      <w:numFmt w:val="decimal"/>
      <w:start w:val="2"/>
    </w:lvl>
    <w:lvl w:ilvl="1">
      <w:lvlJc w:val="left"/>
      <w:lvlText w:val="-"/>
      <w:numFmt w:val="bullet"/>
      <w:start w:val="1"/>
    </w:lvl>
  </w:abstractNum>
  <w:abstractNum w:abstractNumId="239">
    <w:nsid w:val="1876589D"/>
    <w:multiLevelType w:val="hybridMultilevel"/>
    <w:lvl w:ilvl="0">
      <w:lvlJc w:val="left"/>
      <w:lvlText w:val="%1."/>
      <w:numFmt w:val="decimal"/>
      <w:start w:val="7"/>
    </w:lvl>
  </w:abstractNum>
  <w:abstractNum w:abstractNumId="240">
    <w:nsid w:val="327FAC77"/>
    <w:multiLevelType w:val="hybridMultilevel"/>
    <w:lvl w:ilvl="0">
      <w:lvlJc w:val="left"/>
      <w:lvlText w:val="%1."/>
      <w:numFmt w:val="decimal"/>
      <w:start w:val="8"/>
    </w:lvl>
    <w:lvl w:ilvl="1">
      <w:lvlJc w:val="left"/>
      <w:lvlText w:val="-"/>
      <w:numFmt w:val="bullet"/>
      <w:start w:val="1"/>
    </w:lvl>
  </w:abstractNum>
  <w:abstractNum w:abstractNumId="241">
    <w:nsid w:val="5A606509"/>
    <w:multiLevelType w:val="hybridMultilevel"/>
    <w:lvl w:ilvl="0">
      <w:lvlJc w:val="left"/>
      <w:lvlText w:val="%1."/>
      <w:numFmt w:val="decimal"/>
      <w:start w:val="9"/>
    </w:lvl>
    <w:lvl w:ilvl="1">
      <w:lvlJc w:val="left"/>
      <w:lvlText w:val="-"/>
      <w:numFmt w:val="bullet"/>
      <w:start w:val="1"/>
    </w:lvl>
  </w:abstractNum>
  <w:abstractNum w:abstractNumId="242">
    <w:nsid w:val="6F38E6D1"/>
    <w:multiLevelType w:val="hybridMultilevel"/>
    <w:lvl w:ilvl="0">
      <w:lvlJc w:val="left"/>
      <w:lvlText w:val="%1."/>
      <w:numFmt w:val="decimal"/>
      <w:start w:val="11"/>
    </w:lvl>
    <w:lvl w:ilvl="1">
      <w:lvlJc w:val="left"/>
      <w:lvlText w:val="-"/>
      <w:numFmt w:val="bullet"/>
      <w:start w:val="1"/>
    </w:lvl>
  </w:abstractNum>
  <w:abstractNum w:abstractNumId="243">
    <w:nsid w:val="46111BA5"/>
    <w:multiLevelType w:val="hybridMultilevel"/>
    <w:lvl w:ilvl="0">
      <w:lvlJc w:val="left"/>
      <w:lvlText w:val="(%1)"/>
      <w:numFmt w:val="lowerLetter"/>
      <w:start w:val="3"/>
    </w:lvl>
    <w:lvl w:ilvl="1">
      <w:lvlJc w:val="left"/>
      <w:lvlText w:val="-"/>
      <w:numFmt w:val="bullet"/>
      <w:start w:val="1"/>
    </w:lvl>
  </w:abstractNum>
  <w:abstractNum w:abstractNumId="244">
    <w:nsid w:val="5E963896"/>
    <w:multiLevelType w:val="hybridMultilevel"/>
    <w:lvl w:ilvl="0">
      <w:lvlJc w:val="left"/>
      <w:lvlText w:val="%1."/>
      <w:numFmt w:val="decimal"/>
      <w:start w:val="13"/>
    </w:lvl>
  </w:abstractNum>
  <w:abstractNum w:abstractNumId="245">
    <w:nsid w:val="775BA7C1"/>
    <w:multiLevelType w:val="hybridMultilevel"/>
    <w:lvl w:ilvl="0">
      <w:lvlJc w:val="left"/>
      <w:lvlText w:val="(%1)"/>
      <w:numFmt w:val="decimal"/>
      <w:start w:val="1"/>
    </w:lvl>
  </w:abstractNum>
  <w:abstractNum w:abstractNumId="246">
    <w:nsid w:val="1DD6D6F4"/>
    <w:multiLevelType w:val="hybridMultilevel"/>
    <w:lvl w:ilvl="0">
      <w:lvlJc w:val="left"/>
      <w:lvlText w:val="(%1)"/>
      <w:numFmt w:val="upperLetter"/>
      <w:start w:val="1"/>
    </w:lvl>
  </w:abstractNum>
  <w:abstractNum w:abstractNumId="247">
    <w:nsid w:val="769A091F"/>
    <w:multiLevelType w:val="hybridMultilevel"/>
    <w:lvl w:ilvl="0">
      <w:lvlJc w:val="left"/>
      <w:lvlText w:val="%1."/>
      <w:numFmt w:val="decimal"/>
      <w:start w:val="1"/>
    </w:lvl>
  </w:abstractNum>
  <w:abstractNum w:abstractNumId="248">
    <w:nsid w:val="4695AE95"/>
    <w:multiLevelType w:val="hybridMultilevel"/>
    <w:lvl w:ilvl="0">
      <w:lvlJc w:val="left"/>
      <w:lvlText w:val="%1."/>
      <w:numFmt w:val="decimal"/>
      <w:start w:val="3"/>
    </w:lvl>
  </w:abstractNum>
  <w:abstractNum w:abstractNumId="249">
    <w:nsid w:val="777A4EAA"/>
    <w:multiLevelType w:val="hybridMultilevel"/>
    <w:lvl w:ilvl="0">
      <w:lvlJc w:val="left"/>
      <w:lvlText w:val="(%1)"/>
      <w:numFmt w:val="decimal"/>
      <w:start w:val="1"/>
    </w:lvl>
  </w:abstractNum>
  <w:abstractNum w:abstractNumId="250">
    <w:nsid w:val="3F48B982"/>
    <w:multiLevelType w:val="hybridMultilevel"/>
    <w:lvl w:ilvl="0">
      <w:lvlJc w:val="left"/>
      <w:lvlText w:val="(%1)"/>
      <w:numFmt w:val="decimal"/>
      <w:start w:val="2"/>
    </w:lvl>
  </w:abstractNum>
  <w:abstractNum w:abstractNumId="251">
    <w:nsid w:val="46BA8FCA"/>
    <w:multiLevelType w:val="hybridMultilevel"/>
    <w:lvl w:ilvl="0">
      <w:lvlJc w:val="left"/>
      <w:lvlText w:val="(%1)"/>
      <w:numFmt w:val="upperLetter"/>
      <w:start w:val="1"/>
    </w:lvl>
  </w:abstractNum>
  <w:abstractNum w:abstractNumId="252">
    <w:nsid w:val="7835626C"/>
    <w:multiLevelType w:val="hybridMultilevel"/>
    <w:lvl w:ilvl="0">
      <w:lvlJc w:val="left"/>
      <w:lvlText w:val="%1."/>
      <w:numFmt w:val="decimal"/>
      <w:start w:val="1"/>
    </w:lvl>
  </w:abstractNum>
  <w:abstractNum w:abstractNumId="253">
    <w:nsid w:val="665ACA49"/>
    <w:multiLevelType w:val="hybridMultilevel"/>
    <w:lvl w:ilvl="0">
      <w:lvlJc w:val="left"/>
      <w:lvlText w:val="%1."/>
      <w:numFmt w:val="decimal"/>
      <w:start w:val="3"/>
    </w:lvl>
  </w:abstractNum>
  <w:abstractNum w:abstractNumId="254">
    <w:nsid w:val="6835B2AE"/>
    <w:multiLevelType w:val="hybridMultilevel"/>
    <w:lvl w:ilvl="0">
      <w:lvlJc w:val="left"/>
      <w:lvlText w:val="(%1)"/>
      <w:numFmt w:val="decimal"/>
      <w:start w:val="1"/>
    </w:lvl>
  </w:abstractNum>
  <w:abstractNum w:abstractNumId="255">
    <w:nsid w:val="4C187C90"/>
    <w:multiLevelType w:val="hybridMultilevel"/>
    <w:lvl w:ilvl="0">
      <w:lvlJc w:val="left"/>
      <w:lvlText w:val="(%1)"/>
      <w:numFmt w:val="decimal"/>
      <w:start w:val="2"/>
    </w:lvl>
  </w:abstractNum>
  <w:abstractNum w:abstractNumId="256">
    <w:nsid w:val="541F28CD"/>
    <w:multiLevelType w:val="hybridMultilevel"/>
    <w:lvl w:ilvl="0">
      <w:lvlJc w:val="left"/>
      <w:lvlText w:val="(%1)"/>
      <w:numFmt w:val="upperLetter"/>
      <w:start w:val="1"/>
    </w:lvl>
  </w:abstractNum>
  <w:abstractNum w:abstractNumId="257">
    <w:nsid w:val="7F65FD16"/>
    <w:multiLevelType w:val="hybridMultilevel"/>
    <w:lvl w:ilvl="0">
      <w:lvlJc w:val="left"/>
      <w:lvlText w:val="%1."/>
      <w:numFmt w:val="decimal"/>
      <w:start w:val="1"/>
    </w:lvl>
  </w:abstractNum>
  <w:abstractNum w:abstractNumId="258">
    <w:nsid w:val="77C9FD68"/>
    <w:multiLevelType w:val="hybridMultilevel"/>
    <w:lvl w:ilvl="0">
      <w:lvlJc w:val="left"/>
      <w:lvlText w:val="%1."/>
      <w:numFmt w:val="decimal"/>
      <w:start w:val="3"/>
    </w:lvl>
  </w:abstractNum>
  <w:abstractNum w:abstractNumId="259">
    <w:nsid w:val="298A92BA"/>
    <w:multiLevelType w:val="hybridMultilevel"/>
    <w:lvl w:ilvl="0">
      <w:lvlJc w:val="left"/>
      <w:lvlText w:val="(%1)"/>
      <w:numFmt w:val="decimal"/>
      <w:start w:val="1"/>
    </w:lvl>
  </w:abstractNum>
  <w:abstractNum w:abstractNumId="260">
    <w:nsid w:val="6FE95EAC"/>
    <w:multiLevelType w:val="hybridMultilevel"/>
    <w:lvl w:ilvl="0">
      <w:lvlJc w:val="left"/>
      <w:lvlText w:val="(%1)"/>
      <w:numFmt w:val="decimal"/>
      <w:start w:val="2"/>
    </w:lvl>
  </w:abstractNum>
  <w:abstractNum w:abstractNumId="261">
    <w:nsid w:val="4B697C7A"/>
    <w:multiLevelType w:val="hybridMultilevel"/>
    <w:lvl w:ilvl="0">
      <w:lvlJc w:val="left"/>
      <w:lvlText w:val="(%1)"/>
      <w:numFmt w:val="upperLetter"/>
      <w:start w:val="1"/>
    </w:lvl>
  </w:abstractNum>
  <w:abstractNum w:abstractNumId="262">
    <w:nsid w:val="51A27AA6"/>
    <w:multiLevelType w:val="hybridMultilevel"/>
    <w:lvl w:ilvl="0">
      <w:lvlJc w:val="left"/>
      <w:lvlText w:val="%1."/>
      <w:numFmt w:val="decimal"/>
      <w:start w:val="1"/>
    </w:lvl>
  </w:abstractNum>
  <w:abstractNum w:abstractNumId="263">
    <w:nsid w:val="613183F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2019-12-12T11:39:47Z</dcterms:created>
  <dcterms:modified xsi:type="dcterms:W3CDTF">2019-12-12T11:39:47Z</dcterms:modified>
</cp:coreProperties>
</file>