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50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259715</wp:posOffset>
            </wp:positionV>
            <wp:extent cx="71450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7620"/>
                    </a:xfrm>
                    <a:prstGeom prst="rect">
                      <a:avLst/>
                    </a:prstGeom>
                    <a:noFill/>
                  </pic:spPr>
                </pic:pic>
              </a:graphicData>
            </a:graphic>
          </wp:anchor>
        </w:drawing>
        <w:t>UNITED STATES</w:t>
      </w:r>
    </w:p>
    <w:p>
      <w:pPr>
        <w:spacing w:after="0" w:line="3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70" w:lineRule="exact"/>
        <w:rPr>
          <w:sz w:val="24"/>
          <w:szCs w:val="24"/>
          <w:color w:val="auto"/>
        </w:rPr>
      </w:pPr>
    </w:p>
    <w:p>
      <w:pPr>
        <w:jc w:val="center"/>
        <w:ind w:left="1880"/>
        <w:spacing w:after="0" w:line="284"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OF THE SECURITIES EXCHANGE ACT OF 1934</w:t>
      </w:r>
    </w:p>
    <w:p>
      <w:pPr>
        <w:spacing w:after="0" w:line="19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color w:val="auto"/>
        </w:rPr>
        <w:t>For the month of July 2024 No.3</w:t>
      </w:r>
    </w:p>
    <w:p>
      <w:pPr>
        <w:spacing w:after="0" w:line="25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color w:val="auto"/>
        </w:rPr>
        <w:t>Commission File Number 000-24790</w:t>
      </w:r>
    </w:p>
    <w:p>
      <w:pPr>
        <w:spacing w:after="0" w:line="26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6"/>
          <w:szCs w:val="26"/>
          <w:b w:val="1"/>
          <w:bCs w:val="1"/>
          <w:color w:val="auto"/>
        </w:rPr>
        <w:t>TOWER SEMICONDUCTOR LTD.</w:t>
      </w:r>
    </w:p>
    <w:p>
      <w:pPr>
        <w:spacing w:after="0" w:line="4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Ramat Gavriel Industrial Park</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P.O. Box 619, Migdal Haemek, Israel 2310502</w:t>
      </w:r>
    </w:p>
    <w:p>
      <w:pPr>
        <w:spacing w:after="0" w:line="2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233" w:lineRule="exact"/>
        <w:rPr>
          <w:sz w:val="24"/>
          <w:szCs w:val="24"/>
          <w:color w:val="auto"/>
        </w:rPr>
      </w:pPr>
    </w:p>
    <w:p>
      <w:pPr>
        <w:ind w:left="414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wp:posOffset>
            </wp:positionH>
            <wp:positionV relativeFrom="paragraph">
              <wp:posOffset>460375</wp:posOffset>
            </wp:positionV>
            <wp:extent cx="714502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9559"/>
          </w:cols>
          <w:pgMar w:left="900" w:top="995" w:right="1440" w:bottom="1440" w:gutter="0" w:footer="0" w:header="0"/>
        </w:sectPr>
      </w:pPr>
    </w:p>
    <w:bookmarkStart w:id="1" w:name="page2"/>
    <w:bookmarkEnd w:id="1"/>
    <w:p>
      <w:pPr>
        <w:ind w:firstLine="579"/>
        <w:spacing w:after="0" w:line="306" w:lineRule="auto"/>
        <w:rPr>
          <w:sz w:val="20"/>
          <w:szCs w:val="20"/>
          <w:color w:val="auto"/>
        </w:rPr>
      </w:pPr>
      <w:r>
        <w:rPr>
          <w:rFonts w:ascii="Times New Roman" w:cs="Times New Roman" w:eastAsia="Times New Roman" w:hAnsi="Times New Roman"/>
          <w:sz w:val="16"/>
          <w:szCs w:val="16"/>
          <w:color w:val="auto"/>
        </w:rPr>
        <w:t>On July 29, 2024, the Registrant issued unaudited condensed interim consolidated financial statements as of June 30, 2024, and for the six- and three-month periods then ended. Attached hereto are the following exhibits.</w:t>
      </w:r>
    </w:p>
    <w:p>
      <w:pPr>
        <w:spacing w:after="0" w:line="19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0000EE"/>
        </w:rPr>
        <w:t>Exhibit 99.1</w:t>
        <w:tab/>
        <w:t>Registrant’s unaudited condensed interim consolidated financial statements as of June 30, 2024.</w:t>
      </w:r>
    </w:p>
    <w:p>
      <w:pPr>
        <w:spacing w:after="0" w:line="48"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0000EE"/>
        </w:rPr>
        <w:t>Exhibit 99.2</w:t>
        <w:tab/>
        <w:t>Management’s Discussion and Analysis of Financial Condition and Results of Operations.</w:t>
      </w:r>
    </w:p>
    <w:p>
      <w:pPr>
        <w:spacing w:after="0" w:line="2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Form 6-K, including all exhibits hereto, is hereby incorporated by reference into all effective registration statements filed by us under the Securities Act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714502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73" w:lineRule="exact"/>
        <w:rPr>
          <w:sz w:val="20"/>
          <w:szCs w:val="20"/>
          <w:color w:val="auto"/>
        </w:rPr>
      </w:pPr>
    </w:p>
    <w:p>
      <w:pPr>
        <w:ind w:firstLine="579"/>
        <w:spacing w:after="0" w:line="29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TOWER SEMICONDUCTOR LTD.</w:t>
      </w:r>
    </w:p>
    <w:p>
      <w:pPr>
        <w:spacing w:after="0" w:line="21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6"/>
          <w:szCs w:val="16"/>
          <w:color w:val="auto"/>
        </w:rPr>
        <w:t>Date: July 29, 2024</w:t>
      </w:r>
      <w:r>
        <w:rPr>
          <w:sz w:val="20"/>
          <w:szCs w:val="20"/>
          <w:color w:val="auto"/>
        </w:rPr>
        <w:tab/>
      </w:r>
      <w:r>
        <w:rPr>
          <w:rFonts w:ascii="Times New Roman" w:cs="Times New Roman" w:eastAsia="Times New Roman" w:hAnsi="Times New Roman"/>
          <w:sz w:val="16"/>
          <w:szCs w:val="16"/>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17780</wp:posOffset>
            </wp:positionV>
            <wp:extent cx="250063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0630" cy="1524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Name: Nati Somekh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381000</wp:posOffset>
            </wp:positionV>
            <wp:extent cx="7145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466090</wp:posOffset>
            </wp:positionV>
            <wp:extent cx="714502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31115"/>
                    </a:xfrm>
                    <a:prstGeom prst="rect">
                      <a:avLst/>
                    </a:prstGeom>
                    <a:noFill/>
                  </pic:spPr>
                </pic:pic>
              </a:graphicData>
            </a:graphic>
          </wp:anchor>
        </w:drawing>
      </w:r>
    </w:p>
    <w:p>
      <w:pPr>
        <w:sectPr>
          <w:pgSz w:w="11900" w:h="16838" w:orient="portrait"/>
          <w:cols w:equalWidth="0" w:num="1">
            <w:col w:w="10760"/>
          </w:cols>
          <w:pgMar w:left="320" w:top="364"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197485</wp:posOffset>
            </wp:positionV>
            <wp:extent cx="7145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7620"/>
                    </a:xfrm>
                    <a:prstGeom prst="rect">
                      <a:avLst/>
                    </a:prstGeom>
                    <a:noFill/>
                  </pic:spPr>
                </pic:pic>
              </a:graphicData>
            </a:graphic>
          </wp:anchor>
        </w:drawing>
        <w:t>Exhibit 99.1</w:t>
      </w:r>
    </w:p>
    <w:p>
      <w:pPr>
        <w:spacing w:after="0" w:line="2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TOWER SEMICONDUCTOR LTD.</w:t>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 SUBSIDIARIES</w:t>
      </w:r>
    </w:p>
    <w:p>
      <w:pPr>
        <w:spacing w:after="0" w:line="24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UNAUDITED CONDENSED INTERIM</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271780</wp:posOffset>
            </wp:positionV>
            <wp:extent cx="714502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0140"/>
          </w:cols>
          <w:pgMar w:left="1440" w:top="40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20" w:type="dxa"/>
            <w:vAlign w:val="bottom"/>
            <w:gridSpan w:val="2"/>
          </w:tcPr>
          <w:p>
            <w:pPr>
              <w:jc w:val="center"/>
              <w:ind w:right="1198"/>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tc>
        <w:tc>
          <w:tcPr>
            <w:tcW w:w="2080" w:type="dxa"/>
            <w:vAlign w:val="bottom"/>
          </w:tcPr>
          <w:p>
            <w:pPr>
              <w:spacing w:after="0"/>
              <w:rPr>
                <w:sz w:val="18"/>
                <w:szCs w:val="18"/>
                <w:color w:val="auto"/>
              </w:rPr>
            </w:pPr>
          </w:p>
        </w:tc>
      </w:tr>
      <w:tr>
        <w:trPr>
          <w:trHeight w:val="433"/>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20" w:type="dxa"/>
            <w:vAlign w:val="bottom"/>
            <w:gridSpan w:val="2"/>
          </w:tcPr>
          <w:p>
            <w:pPr>
              <w:jc w:val="center"/>
              <w:ind w:right="1198"/>
              <w:spacing w:after="0"/>
              <w:rPr>
                <w:sz w:val="20"/>
                <w:szCs w:val="20"/>
                <w:color w:val="auto"/>
              </w:rPr>
            </w:pPr>
            <w:r>
              <w:rPr>
                <w:rFonts w:ascii="Times New Roman" w:cs="Times New Roman" w:eastAsia="Times New Roman" w:hAnsi="Times New Roman"/>
                <w:sz w:val="16"/>
                <w:szCs w:val="16"/>
                <w:b w:val="1"/>
                <w:bCs w:val="1"/>
                <w:color w:val="auto"/>
              </w:rPr>
              <w:t>INDEX TO UNAUDITED CONDENSED INTERIM</w:t>
            </w:r>
          </w:p>
        </w:tc>
        <w:tc>
          <w:tcPr>
            <w:tcW w:w="2080" w:type="dxa"/>
            <w:vAlign w:val="bottom"/>
          </w:tcPr>
          <w:p>
            <w:pPr>
              <w:spacing w:after="0"/>
              <w:rPr>
                <w:sz w:val="24"/>
                <w:szCs w:val="24"/>
                <w:color w:val="auto"/>
              </w:rPr>
            </w:pPr>
          </w:p>
        </w:tc>
      </w:tr>
      <w:tr>
        <w:trPr>
          <w:trHeight w:val="208"/>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20" w:type="dxa"/>
            <w:vAlign w:val="bottom"/>
            <w:gridSpan w:val="2"/>
          </w:tcPr>
          <w:p>
            <w:pPr>
              <w:jc w:val="center"/>
              <w:ind w:right="1218"/>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2080" w:type="dxa"/>
            <w:vAlign w:val="bottom"/>
          </w:tcPr>
          <w:p>
            <w:pPr>
              <w:spacing w:after="0"/>
              <w:rPr>
                <w:sz w:val="18"/>
                <w:szCs w:val="18"/>
                <w:color w:val="auto"/>
              </w:rPr>
            </w:pPr>
          </w:p>
        </w:tc>
      </w:tr>
      <w:tr>
        <w:trPr>
          <w:trHeight w:val="215"/>
        </w:trPr>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60" w:type="dxa"/>
            <w:vAlign w:val="bottom"/>
          </w:tcPr>
          <w:p>
            <w:pPr>
              <w:jc w:val="center"/>
              <w:ind w:right="2178"/>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080" w:type="dxa"/>
            <w:vAlign w:val="bottom"/>
          </w:tcPr>
          <w:p>
            <w:pPr>
              <w:spacing w:after="0"/>
              <w:rPr>
                <w:sz w:val="18"/>
                <w:szCs w:val="18"/>
                <w:color w:val="auto"/>
              </w:rPr>
            </w:pPr>
          </w:p>
        </w:tc>
      </w:tr>
      <w:tr>
        <w:trPr>
          <w:trHeight w:val="453"/>
        </w:trPr>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68"/>
        </w:trPr>
        <w:tc>
          <w:tcPr>
            <w:tcW w:w="91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BALANCE SHEETS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14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84"/>
        </w:trPr>
        <w:tc>
          <w:tcPr>
            <w:tcW w:w="2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STATEMENTS OF OPERATIONS</w:t>
            </w:r>
          </w:p>
        </w:tc>
        <w:tc>
          <w:tcPr>
            <w:tcW w:w="686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F-3</w:t>
            </w:r>
          </w:p>
        </w:tc>
      </w:tr>
      <w:tr>
        <w:trPr>
          <w:trHeight w:val="384"/>
        </w:trPr>
        <w:tc>
          <w:tcPr>
            <w:tcW w:w="91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STATEMENTS OF COMPREHENSIVE INCOME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F-4</w:t>
            </w:r>
          </w:p>
        </w:tc>
      </w:tr>
      <w:tr>
        <w:trPr>
          <w:trHeight w:val="20"/>
        </w:trPr>
        <w:tc>
          <w:tcPr>
            <w:tcW w:w="23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84"/>
        </w:trPr>
        <w:tc>
          <w:tcPr>
            <w:tcW w:w="91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STATEMENTS OF CHANGES IN SHAREHOLDERS’ EQUITY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w:t>
            </w:r>
          </w:p>
        </w:tc>
      </w:tr>
      <w:tr>
        <w:trPr>
          <w:trHeight w:val="384"/>
        </w:trPr>
        <w:tc>
          <w:tcPr>
            <w:tcW w:w="43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STATEMENTS OF CASH FLOWS</w:t>
            </w:r>
          </w:p>
        </w:tc>
        <w:tc>
          <w:tcPr>
            <w:tcW w:w="48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F-6 - F-7</w:t>
            </w:r>
          </w:p>
        </w:tc>
      </w:tr>
      <w:tr>
        <w:trPr>
          <w:trHeight w:val="20"/>
        </w:trPr>
        <w:tc>
          <w:tcPr>
            <w:tcW w:w="23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84"/>
        </w:trPr>
        <w:tc>
          <w:tcPr>
            <w:tcW w:w="91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NOTES TO FINANCIAL STATEMENTS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F-8</w:t>
            </w:r>
          </w:p>
        </w:tc>
      </w:tr>
      <w:tr>
        <w:trPr>
          <w:trHeight w:val="682"/>
        </w:trPr>
        <w:tc>
          <w:tcPr>
            <w:tcW w:w="140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64" w:right="319" w:bottom="1440" w:gutter="0" w:footer="0" w:header="0"/>
        </w:sectPr>
      </w:pPr>
    </w:p>
    <w:bookmarkStart w:id="5" w:name="page6"/>
    <w:bookmarkEnd w:id="5"/>
    <w:p>
      <w:pPr>
        <w:jc w:val="center"/>
        <w:ind w:right="18"/>
        <w:spacing w:after="0" w:line="291"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CONDENSED INTERIM CONSOLIDATED BALANCE SHEETS (UNAUDITED) (dollars in thousands)</w:t>
      </w:r>
    </w:p>
    <w:p>
      <w:pPr>
        <w:spacing w:after="0" w:line="175"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265,313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Short-term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903,401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790,823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Marketable securities (*)</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65,331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184,960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165,161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154,067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276,082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282,688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35,414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35,956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1,710,702</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1,709,158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INVESTMENTS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8,452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1,199,191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1,155,929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GOODWILL AND OTHER INTANGIBLE ASSETS,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 TAX AND OTHER LONG-TERM ASSETS,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32,863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top w:val="single" w:sz="8" w:color="CCEEFF"/>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2,962,167</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2,918,517</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Current maturities of long-term debt</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123,782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139,128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18,418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57,121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51,054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9,286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290,175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276,838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126,715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172,611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CUSTOMERS' ADVANCES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25,710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6,098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 TAX AND OTHER LONG-TERM LIABILITIES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10,221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449,454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491,478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2,512,713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2,962,167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2,918,517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 w:right="20" w:hanging="2"/>
        <w:spacing w:after="0" w:line="312" w:lineRule="auto"/>
        <w:tabs>
          <w:tab w:leader="none" w:pos="257"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 are available-for-sale securities; the amortized cost of such marketable securities of $66,934 and $188,826 as of June 30, 2024 and December 31, 2023, respectively, is net of an immaterial allowance for credit losses.</w:t>
      </w:r>
    </w:p>
    <w:p>
      <w:pPr>
        <w:spacing w:after="0" w:line="1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14502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62"/>
          </w:cols>
          <w:pgMar w:left="318" w:top="364" w:right="319" w:bottom="1440" w:gutter="0" w:footer="0" w:header="0"/>
        </w:sectPr>
      </w:pPr>
    </w:p>
    <w:bookmarkStart w:id="6" w:name="page7"/>
    <w:bookmarkEnd w:id="6"/>
    <w:p>
      <w:pPr>
        <w:jc w:val="center"/>
        <w:ind w:right="20"/>
        <w:spacing w:after="0" w:line="291"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CONDENSED INTERIM CONSOLIDATED STATEMENTS OF OPERATIONS (UNAUDITED) (dollars and shares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20"/>
                <w:szCs w:val="20"/>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678,419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712,802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351,181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518,891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530,568</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264,259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270,674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159,528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182,234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86,922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86,517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38,783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18,994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19,452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37,720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36,016</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19,050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17,387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(50,282)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(6,270)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17,776</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(6,270)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70,395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31,774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35,988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139,941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55,148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50,529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AND OTHER INCOME,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10,921</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7,710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3,924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100,827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150,862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(1,030)</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(20,788)</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(5,747)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99,797</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130,074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(1,718)</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(7,482)</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(3,305)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2,484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98,079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122,592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0.48</w:t>
            </w:r>
          </w:p>
        </w:tc>
        <w:tc>
          <w:tcPr>
            <w:tcW w:w="3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110,938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111,037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110,088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0.88</w:t>
            </w:r>
          </w:p>
        </w:tc>
        <w:tc>
          <w:tcPr>
            <w:tcW w:w="24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0.48</w:t>
            </w:r>
          </w:p>
        </w:tc>
        <w:tc>
          <w:tcPr>
            <w:tcW w:w="32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Net profit used for diluted earnings per share</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98,079</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122,592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53,445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51,190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ind w:left="420"/>
              <w:spacing w:after="0" w:line="177" w:lineRule="exact"/>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used for diluted earnings per share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111,964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111,153</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111,979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111,234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14502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7" w:name="page8"/>
    <w:bookmarkEnd w:id="7"/>
    <w:p>
      <w:pPr>
        <w:jc w:val="center"/>
        <w:ind w:right="20"/>
        <w:spacing w:after="0" w:line="308"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CONDENSED INTERIM CONSOLIDATED STATEMENTS OF COMPREHENSIVE INCOME (UNAUDITED) (dollars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Pr>
          <w:p>
            <w:pPr>
              <w:spacing w:after="0"/>
              <w:rPr>
                <w:sz w:val="20"/>
                <w:szCs w:val="20"/>
                <w:color w:val="auto"/>
              </w:rPr>
            </w:pPr>
          </w:p>
        </w:tc>
        <w:tc>
          <w:tcPr>
            <w:tcW w:w="242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r>
      <w:tr>
        <w:trPr>
          <w:trHeight w:val="212"/>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99,797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48,706</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(16,056)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(12,818)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(11,904)</w:t>
            </w:r>
          </w:p>
        </w:tc>
      </w:tr>
      <w:tr>
        <w:trPr>
          <w:trHeight w:val="196"/>
        </w:trPr>
        <w:tc>
          <w:tcPr>
            <w:tcW w:w="20" w:type="dxa"/>
            <w:vAlign w:val="bottom"/>
          </w:tcPr>
          <w:p>
            <w:pPr>
              <w:spacing w:after="0"/>
              <w:rPr>
                <w:sz w:val="17"/>
                <w:szCs w:val="17"/>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Unrealized loss on derivatives</w:t>
            </w:r>
          </w:p>
        </w:tc>
        <w:tc>
          <w:tcPr>
            <w:tcW w:w="2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(3,740)</w:t>
            </w:r>
          </w:p>
        </w:tc>
        <w:tc>
          <w:tcPr>
            <w:tcW w:w="2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(2,727)</w:t>
            </w:r>
          </w:p>
        </w:tc>
        <w:tc>
          <w:tcPr>
            <w:tcW w:w="1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(2,668)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(1,964)</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Change in employees plan assets and benefit obligations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120" w:type="dxa"/>
            <w:vAlign w:val="bottom"/>
            <w:shd w:val="clear" w:color="auto" w:fill="CCEEFF"/>
          </w:tcPr>
          <w:p>
            <w:pPr>
              <w:spacing w:after="0"/>
              <w:rPr>
                <w:sz w:val="18"/>
                <w:szCs w:val="18"/>
                <w:color w:val="auto"/>
              </w:rPr>
            </w:pPr>
          </w:p>
        </w:tc>
      </w:tr>
      <w:tr>
        <w:trPr>
          <w:trHeight w:val="24"/>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79,946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114,714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46,571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34,931</w:t>
            </w: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 loss (income) attributable to non-controlling interest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(1,718)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(7,482)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2,484</w:t>
            </w:r>
          </w:p>
        </w:tc>
      </w:tr>
      <w:tr>
        <w:trPr>
          <w:trHeight w:val="24"/>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the Company</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78,228</w:t>
            </w:r>
          </w:p>
        </w:tc>
        <w:tc>
          <w:tcPr>
            <w:tcW w:w="24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107,232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43,266</w:t>
            </w:r>
          </w:p>
        </w:tc>
        <w:tc>
          <w:tcPr>
            <w:tcW w:w="32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37,415</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14502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CONDENSED INTERIM CONSOLIDATED STATEMENT OF CHANGES IN SHAREHOLDERS' EQUITY (UNAUDITED)</w:t>
      </w:r>
    </w:p>
    <w:p>
      <w:pPr>
        <w:spacing w:after="0" w:line="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(dollars and share data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1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4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Treasury comprehensive</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20"/>
                <w:szCs w:val="20"/>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100" w:type="dxa"/>
            <w:vAlign w:val="bottom"/>
          </w:tcPr>
          <w:p>
            <w:pPr>
              <w:spacing w:after="0"/>
              <w:rPr>
                <w:sz w:val="20"/>
                <w:szCs w:val="20"/>
                <w:color w:val="auto"/>
              </w:rPr>
            </w:pPr>
          </w:p>
        </w:tc>
        <w:tc>
          <w:tcPr>
            <w:tcW w:w="8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w:t>
            </w:r>
          </w:p>
        </w:tc>
        <w:tc>
          <w:tcPr>
            <w:tcW w:w="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OF JANUARY 1,</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110,912</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$ 443,631</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$1,380,917</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202,343</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(55,442)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467,615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(5,460)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$2,427,039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period: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Exercise of RSUs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1,007</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14,711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14,711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98,079</w:t>
            </w: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98,079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1,718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99,797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(16,056)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(16,056)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(8,983)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Unrealized loss</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(3,740)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employees plan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assets and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78,228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240" w:type="dxa"/>
            <w:vAlign w:val="bottom"/>
            <w:shd w:val="clear" w:color="auto" w:fill="CCEEFF"/>
          </w:tcPr>
          <w:p>
            <w:pPr>
              <w:ind w:left="280"/>
              <w:spacing w:after="0" w:line="177" w:lineRule="exact"/>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AS OF JUNE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111,157</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$ 444,638</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$1,379,910</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217,054</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(71,498)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565,694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(9,072)</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(12,725)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$2,512,713</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Borders>
              <w:top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SHARES, NET</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OF TREASURY</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111,070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14502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340"/>
          </w:cols>
          <w:pgMar w:left="320" w:top="339" w:right="239" w:bottom="1440" w:gutter="0" w:footer="0" w:header="0"/>
        </w:sectPr>
      </w:pPr>
    </w:p>
    <w:bookmarkStart w:id="9" w:name="page10"/>
    <w:bookmarkEnd w:id="9"/>
    <w:p>
      <w:pPr>
        <w:jc w:val="center"/>
        <w:ind w:right="20"/>
        <w:spacing w:after="0" w:line="308"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CONDENSED INTERIM CONSOLIDATED STATEMENTS OF CASH FLOWS (UNAUDITED) (dollars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 for the period</w:t>
            </w:r>
          </w:p>
        </w:tc>
        <w:tc>
          <w:tcPr>
            <w:tcW w:w="32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99,797</w:t>
            </w:r>
          </w:p>
        </w:tc>
        <w:tc>
          <w:tcPr>
            <w:tcW w:w="120" w:type="dxa"/>
            <w:vAlign w:val="bottom"/>
          </w:tcPr>
          <w:p>
            <w:pPr>
              <w:spacing w:after="0"/>
              <w:rPr>
                <w:sz w:val="18"/>
                <w:szCs w:val="18"/>
                <w:color w:val="auto"/>
              </w:rPr>
            </w:pPr>
          </w:p>
        </w:tc>
        <w:tc>
          <w:tcPr>
            <w:tcW w:w="32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130,074</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Income and expense items not involving cash flows: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125,966</w:t>
            </w:r>
          </w:p>
        </w:tc>
      </w:tr>
      <w:tr>
        <w:trPr>
          <w:trHeight w:val="208"/>
        </w:trPr>
        <w:tc>
          <w:tcPr>
            <w:tcW w:w="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Effect of exchange rate differences and fair value adjustment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2,176</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Other expense,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666</w:t>
            </w:r>
          </w:p>
        </w:tc>
      </w:tr>
      <w:tr>
        <w:trPr>
          <w:trHeight w:val="208"/>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(13,943)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(13,828)</w:t>
            </w:r>
          </w:p>
        </w:tc>
      </w:tr>
      <w:tr>
        <w:trPr>
          <w:trHeight w:val="208"/>
        </w:trPr>
        <w:tc>
          <w:tcPr>
            <w:tcW w:w="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(10,313)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976</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(5,959)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(41,105)</w:t>
            </w:r>
          </w:p>
        </w:tc>
      </w:tr>
      <w:tr>
        <w:trPr>
          <w:trHeight w:val="208"/>
        </w:trPr>
        <w:tc>
          <w:tcPr>
            <w:tcW w:w="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19,830</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(26,193)</w:t>
            </w:r>
          </w:p>
        </w:tc>
      </w:tr>
      <w:tr>
        <w:trPr>
          <w:trHeight w:val="208"/>
        </w:trPr>
        <w:tc>
          <w:tcPr>
            <w:tcW w:w="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Employee related liabilities and other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(50,533)</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638</w:t>
            </w:r>
          </w:p>
        </w:tc>
      </w:tr>
      <w:tr>
        <w:trPr>
          <w:trHeight w:val="212"/>
        </w:trPr>
        <w:tc>
          <w:tcPr>
            <w:tcW w:w="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Deferred tax, net and other long-term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(446)</w:t>
            </w: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223,123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148,221</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 INVESTING ACTIVITIES</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(210,633)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(194,678)</w:t>
            </w:r>
          </w:p>
        </w:tc>
      </w:tr>
      <w:tr>
        <w:trPr>
          <w:trHeight w:val="212"/>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Deposits and marketable securities,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16,330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66,809</w:t>
            </w: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(194,303)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(127,869)</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 FINANCING ACTIVITIES</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 payments on account of capital lease obligation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(18,848)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(20,396)</w:t>
            </w:r>
          </w:p>
        </w:tc>
      </w:tr>
      <w:tr>
        <w:trPr>
          <w:trHeight w:val="208"/>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Debentures repayment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(18,493)</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 an investment in a subsidiary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1,932</w:t>
            </w:r>
          </w:p>
        </w:tc>
      </w:tr>
      <w:tr>
        <w:trPr>
          <w:trHeight w:val="24"/>
        </w:trPr>
        <w:tc>
          <w:tcPr>
            <w:tcW w:w="20" w:type="dxa"/>
            <w:vAlign w:val="bottom"/>
          </w:tcPr>
          <w:p>
            <w:pPr>
              <w:spacing w:after="0"/>
              <w:rPr>
                <w:sz w:val="2"/>
                <w:szCs w:val="2"/>
                <w:color w:val="auto"/>
              </w:rPr>
            </w:pPr>
          </w:p>
        </w:tc>
        <w:tc>
          <w:tcPr>
            <w:tcW w:w="8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854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(36,957)</w:t>
            </w:r>
          </w:p>
        </w:tc>
      </w:tr>
      <w:tr>
        <w:trPr>
          <w:trHeight w:val="248"/>
        </w:trPr>
        <w:tc>
          <w:tcPr>
            <w:tcW w:w="20" w:type="dxa"/>
            <w:vAlign w:val="bottom"/>
          </w:tcPr>
          <w:p>
            <w:pPr>
              <w:spacing w:after="0"/>
              <w:rPr>
                <w:sz w:val="21"/>
                <w:szCs w:val="21"/>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EXCHANGE RATE CHANGE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(5,959)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(22,564)</w:t>
            </w: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340,759</w:t>
            </w:r>
          </w:p>
        </w:tc>
      </w:tr>
      <w:tr>
        <w:trPr>
          <w:trHeight w:val="24"/>
        </w:trPr>
        <w:tc>
          <w:tcPr>
            <w:tcW w:w="20" w:type="dxa"/>
            <w:vAlign w:val="bottom"/>
          </w:tcPr>
          <w:p>
            <w:pPr>
              <w:spacing w:after="0"/>
              <w:rPr>
                <w:sz w:val="2"/>
                <w:szCs w:val="2"/>
                <w:color w:val="auto"/>
              </w:rPr>
            </w:pPr>
          </w:p>
        </w:tc>
        <w:tc>
          <w:tcPr>
            <w:tcW w:w="8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2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318,195</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14502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0" w:name="page11"/>
    <w:bookmarkEnd w:id="10"/>
    <w:p>
      <w:pPr>
        <w:jc w:val="center"/>
        <w:ind w:right="20"/>
        <w:spacing w:after="0" w:line="308"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CONDENSED INTERIM CONSOLIDATED STATEMENTS OF CASH FLOWS (UNAUDITED) (dollars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68,901</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67,967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received during the period from interest, net of interest paid</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14,166</w:t>
            </w:r>
          </w:p>
        </w:tc>
        <w:tc>
          <w:tcPr>
            <w:tcW w:w="4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Cash paid for income tax, net during the period</w:t>
            </w: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4,801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14502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260"/>
          </w:cols>
          <w:pgMar w:left="320" w:top="364" w:right="319" w:bottom="1440" w:gutter="0" w:footer="0" w:header="0"/>
        </w:sectPr>
      </w:pPr>
    </w:p>
    <w:bookmarkStart w:id="11" w:name="page12"/>
    <w:bookmarkEnd w:id="11"/>
    <w:p>
      <w:pPr>
        <w:ind w:left="356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NOTES TO UNAUDITED CONDENSED INTERIM CONSOLIDATED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STATEMENTS AS OF JUNE 30, 2024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(dollars in thousands, except per share data)</w:t>
      </w:r>
    </w:p>
    <w:p>
      <w:pPr>
        <w:spacing w:after="0" w:line="261" w:lineRule="exact"/>
        <w:rPr>
          <w:sz w:val="20"/>
          <w:szCs w:val="20"/>
          <w:color w:val="auto"/>
        </w:rPr>
      </w:pPr>
    </w:p>
    <w:p>
      <w:pPr>
        <w:spacing w:after="0"/>
        <w:tabs>
          <w:tab w:leader="none" w:pos="840" w:val="left"/>
          <w:tab w:leader="none" w:pos="118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5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Basis for Presentation</w:t>
      </w:r>
    </w:p>
    <w:p>
      <w:pPr>
        <w:spacing w:after="0" w:line="273" w:lineRule="exact"/>
        <w:rPr>
          <w:sz w:val="20"/>
          <w:szCs w:val="20"/>
          <w:color w:val="auto"/>
        </w:rPr>
      </w:pPr>
    </w:p>
    <w:p>
      <w:pPr>
        <w:jc w:val="both"/>
        <w:ind w:left="1180"/>
        <w:spacing w:after="0" w:line="276" w:lineRule="auto"/>
        <w:rPr>
          <w:sz w:val="20"/>
          <w:szCs w:val="20"/>
          <w:color w:val="auto"/>
        </w:rPr>
      </w:pPr>
      <w:r>
        <w:rPr>
          <w:rFonts w:ascii="Times New Roman" w:cs="Times New Roman" w:eastAsia="Times New Roman" w:hAnsi="Times New Roman"/>
          <w:sz w:val="16"/>
          <w:szCs w:val="16"/>
          <w:color w:val="auto"/>
        </w:rPr>
        <w:t>The unaudited condensed interim consolidated financial statements of Tower Semiconductor Ltd. (“Tower”) as of June 30, 2024 include the financial statements of Tower and (i) its wholly-owned subsidiary Tower US Holdings Inc., the sole owner of: (1) Tower Semiconductor NPB Holdings, Inc. and its wholly-owned subsidiary, Tower Semiconductor Newport Beach, Inc. (collectively referred to herein as “TSNB”), (2) Tower Semiconductor San Antonio, Inc. (“TSSA”), (ii) its 51% owned subsidiary, Tower Partners Semiconductor Co., Ltd. (“TPSCo”) and (iii) its wholly-owned subsidiary, Tower Semiconductor Italy S.r.l. (“TSIT”).</w:t>
      </w:r>
    </w:p>
    <w:p>
      <w:pPr>
        <w:spacing w:after="0" w:line="202" w:lineRule="exact"/>
        <w:rPr>
          <w:sz w:val="20"/>
          <w:szCs w:val="20"/>
          <w:color w:val="auto"/>
        </w:rPr>
      </w:pPr>
    </w:p>
    <w:p>
      <w:pPr>
        <w:jc w:val="both"/>
        <w:ind w:left="1180"/>
        <w:spacing w:after="0" w:line="306" w:lineRule="auto"/>
        <w:rPr>
          <w:sz w:val="20"/>
          <w:szCs w:val="20"/>
          <w:color w:val="auto"/>
        </w:rPr>
      </w:pPr>
      <w:r>
        <w:rPr>
          <w:rFonts w:ascii="Times New Roman" w:cs="Times New Roman" w:eastAsia="Times New Roman" w:hAnsi="Times New Roman"/>
          <w:sz w:val="16"/>
          <w:szCs w:val="16"/>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191" w:lineRule="exact"/>
        <w:rPr>
          <w:sz w:val="20"/>
          <w:szCs w:val="20"/>
          <w:color w:val="auto"/>
        </w:rPr>
      </w:pPr>
    </w:p>
    <w:p>
      <w:pPr>
        <w:jc w:val="both"/>
        <w:ind w:left="1180"/>
        <w:spacing w:after="0" w:line="290" w:lineRule="auto"/>
        <w:rPr>
          <w:sz w:val="20"/>
          <w:szCs w:val="20"/>
          <w:color w:val="auto"/>
        </w:rPr>
      </w:pPr>
      <w:r>
        <w:rPr>
          <w:rFonts w:ascii="Times New Roman" w:cs="Times New Roman" w:eastAsia="Times New Roman" w:hAnsi="Times New Roman"/>
          <w:sz w:val="16"/>
          <w:szCs w:val="16"/>
          <w:color w:val="auto"/>
        </w:rPr>
        <w:t>The unaudited condensed interim consolidated financial statements of the Company should be read in conjunction with the audited consolidated financial statements of the Company as of December 31, 2023 and for the year then ended, including the notes thereto.</w:t>
      </w:r>
    </w:p>
    <w:p>
      <w:pPr>
        <w:spacing w:after="0" w:line="204" w:lineRule="exact"/>
        <w:rPr>
          <w:sz w:val="20"/>
          <w:szCs w:val="20"/>
          <w:color w:val="auto"/>
        </w:rPr>
      </w:pPr>
    </w:p>
    <w:p>
      <w:pPr>
        <w:jc w:val="both"/>
        <w:ind w:left="1180"/>
        <w:spacing w:after="0" w:line="281" w:lineRule="auto"/>
        <w:rPr>
          <w:sz w:val="20"/>
          <w:szCs w:val="20"/>
          <w:color w:val="auto"/>
        </w:rPr>
      </w:pPr>
      <w:r>
        <w:rPr>
          <w:rFonts w:ascii="Times New Roman" w:cs="Times New Roman" w:eastAsia="Times New Roman" w:hAnsi="Times New Roman"/>
          <w:sz w:val="16"/>
          <w:szCs w:val="16"/>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1450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165735</wp:posOffset>
            </wp:positionV>
            <wp:extent cx="714502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020" cy="3111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502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5020" cy="3111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197485</wp:posOffset>
            </wp:positionV>
            <wp:extent cx="71450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020" cy="7620"/>
                    </a:xfrm>
                    <a:prstGeom prst="rect">
                      <a:avLst/>
                    </a:prstGeom>
                    <a:noFill/>
                  </pic:spPr>
                </pic:pic>
              </a:graphicData>
            </a:graphic>
          </wp:anchor>
        </w:drawing>
        <w:t>Exhibit 99.2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10"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(1) our unaudited condensed interim consolidated financial statements as of June 30, 2024 and for the six months then ended and related notes included in this report and (2) our audited consolidated financial statements and related notes included in our Annual Report on Form 20-F for the year ended December 31, 2023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as a percentage of total revenues for the six months ended June 30, 2024 and 2023:</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w:t>
            </w: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6"/>
                <w:szCs w:val="16"/>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16"/>
                <w:szCs w:val="16"/>
                <w:color w:val="auto"/>
              </w:rPr>
            </w:pPr>
          </w:p>
        </w:tc>
      </w:tr>
      <w:tr>
        <w:trPr>
          <w:trHeight w:val="33"/>
        </w:trPr>
        <w:tc>
          <w:tcPr>
            <w:tcW w:w="46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2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74.4</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shd w:val="clear" w:color="auto" w:fill="CCEEFF"/>
          </w:tcPr>
          <w:p>
            <w:pPr>
              <w:spacing w:after="0"/>
              <w:rPr>
                <w:sz w:val="18"/>
                <w:szCs w:val="18"/>
                <w:color w:val="auto"/>
              </w:rPr>
            </w:pP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gain from sale of machinery and equipment, net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 (income), net</w:t>
            </w: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(0.9)</w:t>
            </w: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w:t>
            </w:r>
          </w:p>
        </w:tc>
      </w:tr>
      <w:tr>
        <w:trPr>
          <w:trHeight w:val="24"/>
        </w:trPr>
        <w:tc>
          <w:tcPr>
            <w:tcW w:w="4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19.6</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and other income, net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r>
      <w:tr>
        <w:trPr>
          <w:trHeight w:val="24"/>
        </w:trPr>
        <w:tc>
          <w:tcPr>
            <w:tcW w:w="4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21.2</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r>
      <w:tr>
        <w:trPr>
          <w:trHeight w:val="24"/>
        </w:trPr>
        <w:tc>
          <w:tcPr>
            <w:tcW w:w="4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18.2</w:t>
            </w:r>
          </w:p>
        </w:tc>
      </w:tr>
      <w:tr>
        <w:trPr>
          <w:trHeight w:val="208"/>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10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r>
      <w:tr>
        <w:trPr>
          <w:trHeight w:val="24"/>
        </w:trPr>
        <w:tc>
          <w:tcPr>
            <w:tcW w:w="46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8"/>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11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14.5%</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4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for the six months ended June 30, 2024 and 2023 (dollars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Details</w:t>
            </w:r>
          </w:p>
        </w:tc>
        <w:tc>
          <w:tcPr>
            <w:tcW w:w="300" w:type="dxa"/>
            <w:vAlign w:val="bottom"/>
          </w:tcPr>
          <w:p>
            <w:pPr>
              <w:spacing w:after="0"/>
              <w:rPr>
                <w:sz w:val="16"/>
                <w:szCs w:val="16"/>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3"/>
              </w:rPr>
              <w:t>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3"/>
        </w:trPr>
        <w:tc>
          <w:tcPr>
            <w:tcW w:w="5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678,419</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712,802</w:t>
            </w:r>
          </w:p>
        </w:tc>
        <w:tc>
          <w:tcPr>
            <w:tcW w:w="8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518,891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530,568</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159,528</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182,234</w:t>
            </w:r>
          </w:p>
        </w:tc>
        <w:tc>
          <w:tcPr>
            <w:tcW w:w="80" w:type="dxa"/>
            <w:vAlign w:val="bottom"/>
            <w:shd w:val="clear" w:color="auto" w:fill="CCEEFF"/>
          </w:tcPr>
          <w:p>
            <w:pPr>
              <w:spacing w:after="0"/>
              <w:rPr>
                <w:sz w:val="18"/>
                <w:szCs w:val="18"/>
                <w:color w:val="auto"/>
              </w:rPr>
            </w:pP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38,945</w:t>
            </w:r>
          </w:p>
        </w:tc>
        <w:tc>
          <w:tcPr>
            <w:tcW w:w="2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38,783</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37,720</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36,016</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gain from sale of machinery and equipment, net</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(50,282)</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 (income), net</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(6,270)</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17,776</w:t>
            </w:r>
          </w:p>
        </w:tc>
        <w:tc>
          <w:tcPr>
            <w:tcW w:w="1620" w:type="dxa"/>
            <w:vAlign w:val="bottom"/>
          </w:tcPr>
          <w:p>
            <w:pPr>
              <w:spacing w:after="0"/>
              <w:rPr>
                <w:sz w:val="18"/>
                <w:szCs w:val="18"/>
                <w:color w:val="auto"/>
              </w:rPr>
            </w:pPr>
          </w:p>
        </w:tc>
      </w:tr>
      <w:tr>
        <w:trPr>
          <w:trHeight w:val="24"/>
        </w:trPr>
        <w:tc>
          <w:tcPr>
            <w:tcW w:w="58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Pr>
          <w:p>
            <w:pPr>
              <w:spacing w:after="0"/>
              <w:rPr>
                <w:sz w:val="2"/>
                <w:szCs w:val="2"/>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89,133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139,941</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and other income, net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11,694</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10,921</w:t>
            </w:r>
          </w:p>
        </w:tc>
        <w:tc>
          <w:tcPr>
            <w:tcW w:w="1620" w:type="dxa"/>
            <w:vAlign w:val="bottom"/>
          </w:tcPr>
          <w:p>
            <w:pPr>
              <w:spacing w:after="0"/>
              <w:rPr>
                <w:sz w:val="18"/>
                <w:szCs w:val="18"/>
                <w:color w:val="auto"/>
              </w:rPr>
            </w:pPr>
          </w:p>
        </w:tc>
      </w:tr>
      <w:tr>
        <w:trPr>
          <w:trHeight w:val="24"/>
        </w:trPr>
        <w:tc>
          <w:tcPr>
            <w:tcW w:w="58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Pr>
          <w:p>
            <w:pPr>
              <w:spacing w:after="0"/>
              <w:rPr>
                <w:sz w:val="2"/>
                <w:szCs w:val="2"/>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100,827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150,862</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(20,788)</w:t>
            </w:r>
          </w:p>
        </w:tc>
        <w:tc>
          <w:tcPr>
            <w:tcW w:w="1620" w:type="dxa"/>
            <w:vAlign w:val="bottom"/>
          </w:tcPr>
          <w:p>
            <w:pPr>
              <w:spacing w:after="0"/>
              <w:rPr>
                <w:sz w:val="18"/>
                <w:szCs w:val="18"/>
                <w:color w:val="auto"/>
              </w:rPr>
            </w:pPr>
          </w:p>
        </w:tc>
      </w:tr>
      <w:tr>
        <w:trPr>
          <w:trHeight w:val="24"/>
        </w:trPr>
        <w:tc>
          <w:tcPr>
            <w:tcW w:w="58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Pr>
          <w:p>
            <w:pPr>
              <w:spacing w:after="0"/>
              <w:rPr>
                <w:sz w:val="2"/>
                <w:szCs w:val="2"/>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99,797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130,074</w:t>
            </w:r>
          </w:p>
        </w:tc>
        <w:tc>
          <w:tcPr>
            <w:tcW w:w="1620" w:type="dxa"/>
            <w:vAlign w:val="bottom"/>
          </w:tcPr>
          <w:p>
            <w:pPr>
              <w:spacing w:after="0"/>
              <w:rPr>
                <w:sz w:val="18"/>
                <w:szCs w:val="18"/>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(1,718)</w:t>
            </w: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(7,482)</w:t>
            </w:r>
          </w:p>
        </w:tc>
        <w:tc>
          <w:tcPr>
            <w:tcW w:w="1620" w:type="dxa"/>
            <w:vAlign w:val="bottom"/>
          </w:tcPr>
          <w:p>
            <w:pPr>
              <w:spacing w:after="0"/>
              <w:rPr>
                <w:sz w:val="18"/>
                <w:szCs w:val="18"/>
                <w:color w:val="auto"/>
              </w:rPr>
            </w:pPr>
          </w:p>
        </w:tc>
      </w:tr>
      <w:tr>
        <w:trPr>
          <w:trHeight w:val="24"/>
        </w:trPr>
        <w:tc>
          <w:tcPr>
            <w:tcW w:w="580" w:type="dxa"/>
            <w:vAlign w:val="bottom"/>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tcPr>
          <w:p>
            <w:pPr>
              <w:spacing w:after="0"/>
              <w:rPr>
                <w:sz w:val="2"/>
                <w:szCs w:val="2"/>
                <w:color w:val="auto"/>
              </w:rPr>
            </w:pPr>
          </w:p>
        </w:tc>
      </w:tr>
      <w:tr>
        <w:trPr>
          <w:trHeight w:val="208"/>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98,079</w:t>
            </w:r>
          </w:p>
        </w:tc>
        <w:tc>
          <w:tcPr>
            <w:tcW w:w="16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122,592</w:t>
            </w:r>
          </w:p>
        </w:tc>
        <w:tc>
          <w:tcPr>
            <w:tcW w:w="1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60"/>
        </w:trPr>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88" w:right="319" w:bottom="1440" w:gutter="0" w:footer="0" w:header="0"/>
        </w:sectPr>
      </w:pPr>
    </w:p>
    <w:bookmarkStart w:id="13" w:name="page14"/>
    <w:bookmarkEnd w:id="13"/>
    <w:p>
      <w:pPr>
        <w:ind w:left="2440"/>
        <w:spacing w:after="0"/>
        <w:rPr>
          <w:sz w:val="20"/>
          <w:szCs w:val="20"/>
          <w:color w:val="auto"/>
        </w:rPr>
      </w:pPr>
      <w:r>
        <w:rPr>
          <w:rFonts w:ascii="Times New Roman" w:cs="Times New Roman" w:eastAsia="Times New Roman" w:hAnsi="Times New Roman"/>
          <w:sz w:val="16"/>
          <w:szCs w:val="16"/>
          <w:b w:val="1"/>
          <w:bCs w:val="1"/>
          <w:color w:val="auto"/>
        </w:rPr>
        <w:t>Six months ended June 30, 2024 compared to six months ended June 30,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Revenues for the six months ended June 30, 2024 amounted to $678.4 million, as compared to $712.8 million for the six months ended June 30, 2023. The $34.4 million revenues decrease is attributed mainly to a decrease in the quantity of silicon wafers shipped to our foundry customers from our facilities during the six months ended June 30, 2024 as compared to the six months ended June 30,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Cost of revenues for the six months ended June 30, 2024 amounted to $518.9 million as compared to $530.6 million for the six months ended June 30, 2023. The $11.7 million decrease in cost of revenues is mainly due to the decreased quantity of wafers shipped to our foundry customers from our facilities as described above, resulting in lower variable and other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22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color w:val="auto"/>
        </w:rPr>
        <w:t>Gross profit for the six months ended June 30, 2024 amounted to $159.5 million as compared to $182.2 million for the six months ended June 30, 2023. The $22.7 million decrease in gross profit resulted from the $34.4 million revenues decrease, net of the $11.7 million decrease in cost of revenues, as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2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color w:val="auto"/>
        </w:rPr>
        <w:t>Research and development expense for the six months ended June 30, 2024, amounted to $38.9 million, as compared to $38.8 million in the six months ended June 30,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p>
      <w:pPr>
        <w:spacing w:after="0" w:line="2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color w:val="auto"/>
        </w:rPr>
        <w:t>Marketing, general and administrative expense for the six months ended June 30, 2024 amounted to $37.7 million, as compared to $36.0 million in the six months ended June 30,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Restructuring gain from sale of machinery and equipment, net, for the six months ended June 30, 2023 amounted to $50.3 million and resulted from the gain on sale of machinery and equipment, net to third parties following the reorganization and restructuring of our Japan operations executed during 2022 as described in Note 14B(2) to our financial statements for the year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Restructuring income, net, for the six months ended June 30, 2024 amounted to $6.3 million as compared to $17.8 million restructuring expense, net, for the six months ended June 30, 2023, and resulted from the reorganization and restructuring of our Japan operations executed during 2022, as described in Note 14B(2) to our financial statements for the year ended December 31, 2023.</w:t>
      </w:r>
    </w:p>
    <w:p>
      <w:pPr>
        <w:spacing w:after="0" w:line="173"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color w:val="auto"/>
        </w:rPr>
        <w:t>Page</w:t>
      </w:r>
    </w:p>
    <w:p>
      <w:pPr>
        <w:spacing w:after="0" w:line="27" w:lineRule="exact"/>
        <w:rPr>
          <w:sz w:val="20"/>
          <w:szCs w:val="20"/>
          <w:color w:val="auto"/>
        </w:rPr>
      </w:pPr>
    </w:p>
    <w:p>
      <w:pPr>
        <w:ind w:left="9860"/>
        <w:spacing w:after="0"/>
        <w:rPr>
          <w:sz w:val="20"/>
          <w:szCs w:val="20"/>
          <w:color w:val="auto"/>
        </w:rPr>
      </w:pPr>
      <w:r>
        <w:rPr>
          <w:rFonts w:ascii="Arial" w:cs="Arial" w:eastAsia="Arial" w:hAnsi="Arial"/>
          <w:sz w:val="13"/>
          <w:szCs w:val="13"/>
          <w:color w:val="auto"/>
        </w:rPr>
        <w:t xml:space="preserve">2 </w:t>
      </w:r>
      <w:r>
        <w:rPr>
          <w:rFonts w:ascii="Times New Roman" w:cs="Times New Roman" w:eastAsia="Times New Roman" w:hAnsi="Times New Roman"/>
          <w:sz w:val="16"/>
          <w:szCs w:val="16"/>
          <w:color w:val="auto"/>
        </w:rPr>
        <w:t>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255905</wp:posOffset>
            </wp:positionV>
            <wp:extent cx="714502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0660"/>
          </w:cols>
          <w:pgMar w:left="900" w:top="3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Operating Profit</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Operating profit for the six months ended June 30, 2024 amounted to $89.1 million as compared to $139.9 million for the six months ended June 30, 2023. The $50.8 million decrease in operating profit resulted mainly from the $50.3 million restructuring gain from the sale of machinery and equipment, net during the six months ended June 30, 2023 and the $22.7 million decrease in gross profit described above, offset by the $24.1 million increase in restructuring income, net,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and Other Income, net</w:t>
      </w:r>
    </w:p>
    <w:p>
      <w:pPr>
        <w:spacing w:after="0" w:line="23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Financing and other income, net, for the six months ended June 30, 2024 amounted to $11.7 million as compared to $10.9 million for the six months ended June 30, 2023. The $0.8 million increase in financing and other income, net, is mainly due to higher interest income on higher amount of bank deposits.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Income tax expense, net, for the six months ended June 30, 2024 amounted to $1.0 million as compared to $20.8 million for the six months ended June 30, 2023. The $19.8 million decrease in income tax expense, net, is mainly a result of $50.0 million decrease in profit before income tax for the six months ended June 30, 2024 as compared to the six months ended June 30, 2023, resulting mainly from the decrease in operating profit, as described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Profit</w:t>
      </w:r>
    </w:p>
    <w:p>
      <w:pPr>
        <w:spacing w:after="0" w:line="23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Net profit for the six months ended June 30, 2024 amounted to $99.8 million as compared to $130.1 million for the six months ended June 30, 2023. The $30.3 million decrease in net profit is mainly due to the decrease in operating profit described above, offset by the decrease in income tax expense, net, described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Attributable to Non-Controlling Interest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Net income attributable to non-controlling interest for the six months ended June 30, 2024 amounted to $1.7 million as compared to $7.5 million for the six months ended June 30, 2023. The $5.8 million decrease resulted from the decrease of $11.8 million in TPSCo’s net profit (in which we hold 51%), which reduction is mainly due to the restructuring gain recorded in 2023 from the sale of machinery and equipment in relation with the reorganization and restructuring of our Japan operations executed during 2022, as described in Note 14B(2) to our financial statements for the year ended December 31, 2023.</w:t>
      </w:r>
    </w:p>
    <w:p>
      <w:pPr>
        <w:spacing w:after="0" w:line="166"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color w:val="auto"/>
        </w:rPr>
        <w:t>Page</w:t>
      </w:r>
    </w:p>
    <w:p>
      <w:pPr>
        <w:spacing w:after="0" w:line="27" w:lineRule="exact"/>
        <w:rPr>
          <w:sz w:val="20"/>
          <w:szCs w:val="20"/>
          <w:color w:val="auto"/>
        </w:rPr>
      </w:pPr>
    </w:p>
    <w:p>
      <w:pPr>
        <w:ind w:left="9860"/>
        <w:spacing w:after="0"/>
        <w:rPr>
          <w:sz w:val="20"/>
          <w:szCs w:val="20"/>
          <w:color w:val="auto"/>
        </w:rPr>
      </w:pPr>
      <w:r>
        <w:rPr>
          <w:rFonts w:ascii="Arial" w:cs="Arial" w:eastAsia="Arial" w:hAnsi="Arial"/>
          <w:sz w:val="13"/>
          <w:szCs w:val="13"/>
          <w:color w:val="auto"/>
        </w:rPr>
        <w:t xml:space="preserve">3 </w:t>
      </w:r>
      <w:r>
        <w:rPr>
          <w:rFonts w:ascii="Times New Roman" w:cs="Times New Roman" w:eastAsia="Times New Roman" w:hAnsi="Times New Roman"/>
          <w:sz w:val="16"/>
          <w:szCs w:val="16"/>
          <w:color w:val="auto"/>
        </w:rPr>
        <w:t>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255905</wp:posOffset>
            </wp:positionV>
            <wp:extent cx="714502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0680"/>
          </w:cols>
          <w:pgMar w:left="900" w:top="32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p>
      <w:pPr>
        <w:spacing w:after="0" w:line="22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Net profit attributable to the company for the six months ended June 30, 2024 amounted to $98.1 million as compared to $122.6 million for the six months ended June 30, 2023. The $24.5 million decrease in net profit attributable to the company is mainly due to the decrease in net profit of $30.3 million as described above, offset by the decrease in net income attributable to non-controlling interest of $5.8 million, as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Currency Fluctuations</w:t>
      </w:r>
    </w:p>
    <w:p>
      <w:pPr>
        <w:spacing w:after="0" w:line="22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Company currently operates in three different regions: the United States, Japan and Israel. In addition, the Company has activities in Italy related to the ST facility in Agrate, Italy. The functional currency of the Company’s entities in the United States, Israel and Italy is the US dollar (“USD”). The functional currency of the Company’s operations in Japan is the Japanese Yen (“JPY”). The Company’s expenses and costs are denominated mainly in USD, JPY and New Israeli Shekels (“NIS”), revenues are denominated mainly in USD and JPY, and the cash from operations, investing and financing activities is denominated mainly in USD, JPY and NIS. Therefore, the Company is exposed to the risk of currency exchange rate fluctuations in Israel and Japan. Once the facility in Italy will reach its production phase, the Company’s results would also be exposed to the Euro exchange rate fluctuations in relation to the USD regarding any costs denominated in Euro, and this exposure would be partially mitigated and contained within a pre-defined fixed range through foreign currency cylinder and forward transactions which the Company is engaging with.</w:t>
      </w:r>
    </w:p>
    <w:p>
      <w:pPr>
        <w:spacing w:after="0" w:line="17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USD cost of the Company’s operations in Israel is influenced by changes in the USD-to-NIS exchange rate, with respect to costs that are denominated in NIS. During the six months ended June 30, 2024, the USD appreciated against the NIS by 3.6%, as compared to 4.9% appreciation during the six months ended June 30, 2023.</w:t>
      </w:r>
    </w:p>
    <w:p>
      <w:pPr>
        <w:spacing w:after="0" w:line="1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6"/>
          <w:szCs w:val="16"/>
          <w:color w:val="auto"/>
        </w:rPr>
        <w:t>The fluctuation of the USD against the NIS may affect the Company’s results of operations as it relates to the entity in Israel. Appreciation of the NIS may increase cost, in USD terms, of some of the Israeli facilities, as well as utilities and labor costs that are denominated in NIS, which may lead to erosion of profit margins. The Company uses foreign currency cylinder and forward transactions to hedge a portion of this currency exposure to be contained within a pre-defined fixed range.</w:t>
      </w:r>
    </w:p>
    <w:p>
      <w:pPr>
        <w:spacing w:after="0" w:line="37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majority of TPSCo’s revenues are denominated in JPY and the majority of TPSCo’s expenses are in JPY, which limits the exposure to fluctuations of the USD/JPY exchange rate on TPSCo’s results of operations. In order to mitigate a portion of the net exposure to the USD/JPY exchange rate, the Company has engaged in cylinder hedging transactions to contain the currency’s fluctuation within a pre-defined, fixed range.</w:t>
      </w:r>
    </w:p>
    <w:p>
      <w:pPr>
        <w:spacing w:after="0" w:line="1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During the six months ended June 30, 2024, the USD appreciated against the JPY by 13.7%, as compared to 9.3% appreciation during the six months ended June 30, 2023. The net effect of USD appreciation against the JPY on TPSCo’s assets and liabilities denominated in JPY is presented in the Cumulative Translation Adjustment (“CTA”) as part of Other Comprehensive Income (“OCI”) on the balance sheet.</w:t>
      </w:r>
    </w:p>
    <w:p>
      <w:pPr>
        <w:spacing w:after="0" w:line="15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color w:val="auto"/>
        </w:rPr>
        <w:t>Page</w:t>
      </w:r>
    </w:p>
    <w:p>
      <w:pPr>
        <w:spacing w:after="0" w:line="27" w:lineRule="exact"/>
        <w:rPr>
          <w:sz w:val="20"/>
          <w:szCs w:val="20"/>
          <w:color w:val="auto"/>
        </w:rPr>
      </w:pPr>
    </w:p>
    <w:p>
      <w:pPr>
        <w:ind w:left="9860"/>
        <w:spacing w:after="0"/>
        <w:rPr>
          <w:sz w:val="20"/>
          <w:szCs w:val="20"/>
          <w:color w:val="auto"/>
        </w:rPr>
      </w:pPr>
      <w:r>
        <w:rPr>
          <w:rFonts w:ascii="Arial" w:cs="Arial" w:eastAsia="Arial" w:hAnsi="Arial"/>
          <w:sz w:val="13"/>
          <w:szCs w:val="13"/>
          <w:color w:val="auto"/>
        </w:rPr>
        <w:t xml:space="preserve">4 </w:t>
      </w:r>
      <w:r>
        <w:rPr>
          <w:rFonts w:ascii="Times New Roman" w:cs="Times New Roman" w:eastAsia="Times New Roman" w:hAnsi="Times New Roman"/>
          <w:sz w:val="16"/>
          <w:szCs w:val="16"/>
          <w:color w:val="auto"/>
        </w:rPr>
        <w:t>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255905</wp:posOffset>
            </wp:positionV>
            <wp:extent cx="714502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0680"/>
          </w:cols>
          <w:pgMar w:left="900" w:top="327"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As of June 30, 2024, the Company had an aggregate amount of $265.3 million in cash and cash equivalents, as compared to $260.7 million as of December 31, 2023. The main cash items during the six months ended June 30, 2024 were as follows: $223.1 million net cash provided by operating activities; $210.6 million invested in property and equipment, net; $16.3 million received from proceeds from sales of short-term deposits and marketable securities, net; and $18.8 million debt repaid.</w:t>
      </w:r>
    </w:p>
    <w:p>
      <w:pPr>
        <w:spacing w:after="0" w:line="367"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6"/>
          <w:szCs w:val="16"/>
          <w:color w:val="auto"/>
        </w:rPr>
        <w:t>Short-term and long-term debt presented in the balance sheet as of June 30, 2024 amounted to $61.4 million and $126.7 million, respectively, and included loans, operating leases and capital leases.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6"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6"/>
          <w:szCs w:val="16"/>
          <w:color w:val="auto"/>
        </w:rPr>
        <w:t>The hostilities described in Item 1D “Risk Factors” of our annual report on Form 20-F under the caption “Risks Affecting Our Operations in Israel” continue. As of the date of this report, these hostilities have not had a material effect on the Company’s business and operations.</w:t>
      </w:r>
    </w:p>
    <w:p>
      <w:pPr>
        <w:spacing w:after="0" w:line="16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6"/>
          <w:szCs w:val="16"/>
          <w:color w:val="auto"/>
        </w:rPr>
        <w:t>Page</w:t>
      </w:r>
    </w:p>
    <w:p>
      <w:pPr>
        <w:spacing w:after="0" w:line="27" w:lineRule="exact"/>
        <w:rPr>
          <w:sz w:val="20"/>
          <w:szCs w:val="20"/>
          <w:color w:val="auto"/>
        </w:rPr>
      </w:pPr>
    </w:p>
    <w:p>
      <w:pPr>
        <w:ind w:left="9860"/>
        <w:spacing w:after="0"/>
        <w:rPr>
          <w:sz w:val="20"/>
          <w:szCs w:val="20"/>
          <w:color w:val="auto"/>
        </w:rPr>
      </w:pPr>
      <w:r>
        <w:rPr>
          <w:rFonts w:ascii="Arial" w:cs="Arial" w:eastAsia="Arial" w:hAnsi="Arial"/>
          <w:sz w:val="13"/>
          <w:szCs w:val="13"/>
          <w:color w:val="auto"/>
        </w:rPr>
        <w:t xml:space="preserve">5 </w:t>
      </w:r>
      <w:r>
        <w:rPr>
          <w:rFonts w:ascii="Times New Roman" w:cs="Times New Roman" w:eastAsia="Times New Roman" w:hAnsi="Times New Roman"/>
          <w:sz w:val="16"/>
          <w:szCs w:val="16"/>
          <w:color w:val="auto"/>
        </w:rPr>
        <w:t>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201930</wp:posOffset>
            </wp:positionV>
            <wp:extent cx="714502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020" cy="7620"/>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287020</wp:posOffset>
            </wp:positionV>
            <wp:extent cx="714502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5020" cy="31115"/>
                    </a:xfrm>
                    <a:prstGeom prst="rect">
                      <a:avLst/>
                    </a:prstGeom>
                    <a:noFill/>
                  </pic:spPr>
                </pic:pic>
              </a:graphicData>
            </a:graphic>
          </wp:anchor>
        </w:drawing>
      </w:r>
    </w:p>
    <w:sectPr>
      <w:pgSz w:w="11900" w:h="16838" w:orient="portrait"/>
      <w:cols w:equalWidth="0" w:num="1">
        <w:col w:w="10680"/>
      </w:cols>
      <w:pgMar w:left="900" w:top="3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2024-07-29T11:13:48Z</dcterms:created>
  <dcterms:modified xsi:type="dcterms:W3CDTF">2024-07-29T11:13:48Z</dcterms:modified>
</cp:coreProperties>
</file>