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7392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3925" cy="37465"/>
                    </a:xfrm>
                    <a:prstGeom prst="rect">
                      <a:avLst/>
                    </a:prstGeom>
                    <a:noFill/>
                  </pic:spPr>
                </pic:pic>
              </a:graphicData>
            </a:graphic>
          </wp:anchor>
        </w:drawing>
        <w:t>Filed by Tower Semiconductor Ltd.</w:t>
      </w:r>
    </w:p>
    <w:p>
      <w:pPr>
        <w:spacing w:after="0" w:line="18"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Pursuant to Rule 425 under the Securities Act of 1933</w:t>
      </w:r>
    </w:p>
    <w:p>
      <w:pPr>
        <w:spacing w:after="0" w:line="11"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And Deemed Filed Pursuant to Rule 14a-12</w:t>
      </w:r>
    </w:p>
    <w:p>
      <w:pPr>
        <w:spacing w:after="0" w:line="11"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Under the Securities Exchange Act of 1934</w:t>
      </w:r>
    </w:p>
    <w:p>
      <w:pPr>
        <w:spacing w:after="0" w:line="11"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Filer's Commission File No. 000-24790</w:t>
      </w:r>
    </w:p>
    <w:p>
      <w:pPr>
        <w:spacing w:after="0" w:line="209"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Subject Company: Jazz Technologies, Inc.</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7"/>
          <w:szCs w:val="17"/>
          <w:color w:val="auto"/>
        </w:rPr>
        <w:t>Commission File No. 001-32832</w:t>
      </w:r>
    </w:p>
    <w:p>
      <w:pPr>
        <w:spacing w:after="0" w:line="209" w:lineRule="exact"/>
        <w:rPr>
          <w:sz w:val="24"/>
          <w:szCs w:val="24"/>
          <w:color w:val="auto"/>
        </w:rPr>
      </w:pPr>
    </w:p>
    <w:p>
      <w:pPr>
        <w:ind w:left="340"/>
        <w:spacing w:after="0"/>
        <w:rPr>
          <w:sz w:val="20"/>
          <w:szCs w:val="20"/>
          <w:color w:val="auto"/>
        </w:rPr>
      </w:pPr>
      <w:r>
        <w:rPr>
          <w:rFonts w:ascii="Arial" w:cs="Arial" w:eastAsia="Arial" w:hAnsi="Arial"/>
          <w:sz w:val="15"/>
          <w:szCs w:val="15"/>
          <w:color w:val="auto"/>
        </w:rPr>
        <w:t>The slides contained in this filing were presented to analysts on May 20, 2008, by Russell C. Ellwanger, the Chief Executive Officer of Tower Semiconductor Ltd.</w:t>
      </w:r>
    </w:p>
    <w:p>
      <w:pPr>
        <w:spacing w:after="0" w:line="41" w:lineRule="exact"/>
        <w:rPr>
          <w:sz w:val="24"/>
          <w:szCs w:val="24"/>
          <w:color w:val="auto"/>
        </w:rPr>
      </w:pPr>
    </w:p>
    <w:p>
      <w:pPr>
        <w:spacing w:after="0"/>
        <w:rPr>
          <w:sz w:val="20"/>
          <w:szCs w:val="20"/>
          <w:color w:val="auto"/>
        </w:rPr>
      </w:pPr>
      <w:r>
        <w:rPr>
          <w:rFonts w:ascii="Arial" w:cs="Arial" w:eastAsia="Arial" w:hAnsi="Arial"/>
          <w:sz w:val="15"/>
          <w:szCs w:val="15"/>
          <w:color w:val="auto"/>
        </w:rPr>
        <w:t>(“Tower”), Oren Shirazi, the Chief Financial Officer of Tower, and other executives of Tower, and Paul Pittman the Chief Financial Officer of Jazz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257415" cy="4646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4646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2120"/>
        <w:spacing w:after="0"/>
        <w:rPr>
          <w:sz w:val="20"/>
          <w:szCs w:val="20"/>
          <w:color w:val="auto"/>
        </w:rPr>
      </w:pPr>
      <w:r>
        <w:rPr>
          <w:rFonts w:ascii="Arial" w:cs="Arial" w:eastAsia="Arial" w:hAnsi="Arial"/>
          <w:sz w:val="29"/>
          <w:szCs w:val="29"/>
          <w:b w:val="1"/>
          <w:bCs w:val="1"/>
          <w:color w:val="065B94"/>
        </w:rPr>
        <w:t>Tower Semiconductor</w:t>
      </w:r>
    </w:p>
    <w:p>
      <w:pPr>
        <w:spacing w:after="0" w:line="37" w:lineRule="exact"/>
        <w:rPr>
          <w:sz w:val="24"/>
          <w:szCs w:val="24"/>
          <w:color w:val="auto"/>
        </w:rPr>
      </w:pPr>
    </w:p>
    <w:p>
      <w:pPr>
        <w:jc w:val="center"/>
        <w:ind w:right="2120"/>
        <w:spacing w:after="0"/>
        <w:rPr>
          <w:sz w:val="20"/>
          <w:szCs w:val="20"/>
          <w:color w:val="auto"/>
        </w:rPr>
      </w:pPr>
      <w:r>
        <w:rPr>
          <w:rFonts w:ascii="Arial" w:cs="Arial" w:eastAsia="Arial" w:hAnsi="Arial"/>
          <w:sz w:val="29"/>
          <w:szCs w:val="29"/>
          <w:b w:val="1"/>
          <w:bCs w:val="1"/>
          <w:color w:val="065B94"/>
        </w:rPr>
        <w:t>and</w:t>
      </w:r>
    </w:p>
    <w:p>
      <w:pPr>
        <w:spacing w:after="0" w:line="1" w:lineRule="exact"/>
        <w:rPr>
          <w:sz w:val="24"/>
          <w:szCs w:val="24"/>
          <w:color w:val="auto"/>
        </w:rPr>
      </w:pPr>
    </w:p>
    <w:p>
      <w:pPr>
        <w:jc w:val="center"/>
        <w:ind w:right="2120"/>
        <w:spacing w:after="0"/>
        <w:rPr>
          <w:sz w:val="20"/>
          <w:szCs w:val="20"/>
          <w:color w:val="auto"/>
        </w:rPr>
      </w:pPr>
      <w:r>
        <w:rPr>
          <w:rFonts w:ascii="Arial" w:cs="Arial" w:eastAsia="Arial" w:hAnsi="Arial"/>
          <w:sz w:val="29"/>
          <w:szCs w:val="29"/>
          <w:b w:val="1"/>
          <w:bCs w:val="1"/>
          <w:color w:val="065B94"/>
        </w:rPr>
        <w:t>Jazz Technologies</w:t>
      </w:r>
    </w:p>
    <w:p>
      <w:pPr>
        <w:spacing w:after="0" w:line="390" w:lineRule="exact"/>
        <w:rPr>
          <w:sz w:val="24"/>
          <w:szCs w:val="24"/>
          <w:color w:val="auto"/>
        </w:rPr>
      </w:pPr>
    </w:p>
    <w:p>
      <w:pPr>
        <w:ind w:left="1900"/>
        <w:spacing w:after="0"/>
        <w:rPr>
          <w:sz w:val="20"/>
          <w:szCs w:val="20"/>
          <w:color w:val="auto"/>
        </w:rPr>
      </w:pPr>
      <w:r>
        <w:rPr>
          <w:rFonts w:ascii="Arial" w:cs="Arial" w:eastAsia="Arial" w:hAnsi="Arial"/>
          <w:sz w:val="29"/>
          <w:szCs w:val="29"/>
          <w:b w:val="1"/>
          <w:bCs w:val="1"/>
          <w:color w:val="054C7D"/>
        </w:rPr>
        <w:t>Creating the Leading Specialty Foundry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653415</wp:posOffset>
            </wp:positionV>
            <wp:extent cx="7257415" cy="37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ind w:left="1680"/>
        <w:spacing w:after="0"/>
        <w:rPr>
          <w:sz w:val="20"/>
          <w:szCs w:val="20"/>
          <w:color w:val="auto"/>
        </w:rPr>
      </w:pPr>
      <w:r>
        <w:rPr>
          <w:rFonts w:ascii="Arial" w:cs="Arial" w:eastAsia="Arial" w:hAnsi="Arial"/>
          <w:sz w:val="29"/>
          <w:szCs w:val="29"/>
          <w:b w:val="1"/>
          <w:bCs w:val="1"/>
          <w:color w:val="FFFFFF"/>
        </w:rPr>
        <w:t>Forward Looking Statements</w:t>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1680" w:right="2320"/>
        <w:spacing w:after="0" w:line="243" w:lineRule="auto"/>
        <w:rPr>
          <w:sz w:val="20"/>
          <w:szCs w:val="20"/>
          <w:color w:val="auto"/>
        </w:rPr>
      </w:pPr>
      <w:r>
        <w:rPr>
          <w:rFonts w:ascii="Arial" w:cs="Arial" w:eastAsia="Arial" w:hAnsi="Arial"/>
          <w:sz w:val="19"/>
          <w:szCs w:val="19"/>
          <w:color w:val="auto"/>
        </w:rPr>
        <w:t>The information presented today contains forward-looking statements that relate to anticipated future operating results. Those statements are based on management’s current expectations and assumptions, which may be affected by subsequent developments and business conditions, and necessarily involve risks and uncertainties. Therefore, there can be no assurance that actual future results will not differ materially from anticipated results.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1680" w:right="2160"/>
        <w:spacing w:after="0" w:line="244" w:lineRule="auto"/>
        <w:rPr>
          <w:sz w:val="20"/>
          <w:szCs w:val="20"/>
          <w:color w:val="auto"/>
        </w:rPr>
      </w:pPr>
      <w:r>
        <w:rPr>
          <w:rFonts w:ascii="Arial" w:cs="Arial" w:eastAsia="Arial" w:hAnsi="Arial"/>
          <w:sz w:val="19"/>
          <w:szCs w:val="19"/>
          <w:color w:val="auto"/>
        </w:rPr>
        <w:t>For a discussion of risks and uncertainties that may affect the accuracy of forward-looking statements or which may otherwise affect our business, please see the information included under the heading "Risk Factors" in our most recent filings on Forms 20-F, F-1, F-3 and 6-K, as were filed with the Securities and Exchange Commission and the Israel Securities Authority</w:t>
      </w:r>
    </w:p>
    <w:p>
      <w:pPr>
        <w:sectPr>
          <w:pgSz w:w="11900" w:h="16838" w:orient="portrait"/>
          <w:cols w:equalWidth="0" w:num="1">
            <w:col w:w="11420"/>
          </w:cols>
          <w:pgMar w:left="240" w:top="414" w:right="239" w:bottom="492" w:gutter="0" w:footer="0" w:header="0"/>
        </w:sectPr>
      </w:pPr>
    </w:p>
    <w:bookmarkStart w:id="1" w:name="page2"/>
    <w:bookmarkEnd w:id="1"/>
    <w:p>
      <w:pPr>
        <w:jc w:val="right"/>
        <w:ind w:right="19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57415" cy="5658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5658485"/>
                    </a:xfrm>
                    <a:prstGeom prst="rect">
                      <a:avLst/>
                    </a:prstGeom>
                    <a:noFill/>
                  </pic:spPr>
                </pic:pic>
              </a:graphicData>
            </a:graphic>
          </wp:anchor>
        </w:drawing>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0"/>
        <w:spacing w:after="0"/>
        <w:rPr>
          <w:sz w:val="20"/>
          <w:szCs w:val="20"/>
          <w:color w:val="auto"/>
        </w:rPr>
      </w:pPr>
      <w:r>
        <w:rPr>
          <w:rFonts w:ascii="Arial" w:cs="Arial" w:eastAsia="Arial" w:hAnsi="Arial"/>
          <w:sz w:val="29"/>
          <w:szCs w:val="29"/>
          <w:b w:val="1"/>
          <w:bCs w:val="1"/>
          <w:color w:val="FFFFFF"/>
        </w:rPr>
        <w:t>Transaction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1620" w:right="500"/>
        <w:spacing w:after="0" w:line="284" w:lineRule="auto"/>
        <w:rPr>
          <w:sz w:val="20"/>
          <w:szCs w:val="20"/>
          <w:color w:val="auto"/>
        </w:rPr>
      </w:pPr>
      <w:r>
        <w:rPr>
          <w:rFonts w:ascii="Arial" w:cs="Arial" w:eastAsia="Arial" w:hAnsi="Arial"/>
          <w:sz w:val="24"/>
          <w:szCs w:val="24"/>
          <w:b w:val="1"/>
          <w:bCs w:val="1"/>
          <w:color w:val="065B94"/>
        </w:rPr>
        <w:t>Tower Semiconductor has signed a definitive agreement to acquire Jazz Technologies in a stock-for-stock transaction</w:t>
      </w:r>
    </w:p>
    <w:p>
      <w:pPr>
        <w:spacing w:after="0" w:line="200" w:lineRule="exact"/>
        <w:rPr>
          <w:sz w:val="20"/>
          <w:szCs w:val="20"/>
          <w:color w:val="auto"/>
        </w:rPr>
      </w:pPr>
    </w:p>
    <w:p>
      <w:pPr>
        <w:spacing w:after="0" w:line="345" w:lineRule="exact"/>
        <w:rPr>
          <w:sz w:val="20"/>
          <w:szCs w:val="20"/>
          <w:color w:val="auto"/>
        </w:rPr>
      </w:pPr>
    </w:p>
    <w:p>
      <w:pPr>
        <w:ind w:left="780"/>
        <w:spacing w:after="0"/>
        <w:rPr>
          <w:sz w:val="20"/>
          <w:szCs w:val="20"/>
          <w:color w:val="auto"/>
        </w:rPr>
      </w:pPr>
      <w:r>
        <w:rPr>
          <w:rFonts w:ascii="Arial" w:cs="Arial" w:eastAsia="Arial" w:hAnsi="Arial"/>
          <w:sz w:val="22"/>
          <w:szCs w:val="22"/>
          <w:color w:val="065B94"/>
        </w:rPr>
        <w:t>Jazz shareholders to receive 1.8 shares of Tower for each Jazz share</w:t>
      </w:r>
    </w:p>
    <w:p>
      <w:pPr>
        <w:spacing w:after="0" w:line="301" w:lineRule="exact"/>
        <w:rPr>
          <w:sz w:val="20"/>
          <w:szCs w:val="20"/>
          <w:color w:val="auto"/>
        </w:rPr>
      </w:pPr>
    </w:p>
    <w:p>
      <w:pPr>
        <w:ind w:left="780"/>
        <w:spacing w:after="0"/>
        <w:rPr>
          <w:sz w:val="20"/>
          <w:szCs w:val="20"/>
          <w:color w:val="auto"/>
        </w:rPr>
      </w:pPr>
      <w:r>
        <w:rPr>
          <w:rFonts w:ascii="Arial" w:cs="Arial" w:eastAsia="Arial" w:hAnsi="Arial"/>
          <w:sz w:val="22"/>
          <w:szCs w:val="22"/>
          <w:color w:val="065B94"/>
        </w:rPr>
        <w:t>Implies $40 million in value based on Tower’s closing price of $1.16</w:t>
      </w:r>
    </w:p>
    <w:p>
      <w:pPr>
        <w:spacing w:after="0" w:line="314" w:lineRule="exact"/>
        <w:rPr>
          <w:sz w:val="20"/>
          <w:szCs w:val="20"/>
          <w:color w:val="auto"/>
        </w:rPr>
      </w:pPr>
    </w:p>
    <w:p>
      <w:pPr>
        <w:ind w:left="780"/>
        <w:spacing w:after="0"/>
        <w:rPr>
          <w:sz w:val="20"/>
          <w:szCs w:val="20"/>
          <w:color w:val="auto"/>
        </w:rPr>
      </w:pPr>
      <w:r>
        <w:rPr>
          <w:rFonts w:ascii="Arial" w:cs="Arial" w:eastAsia="Arial" w:hAnsi="Arial"/>
          <w:sz w:val="22"/>
          <w:szCs w:val="22"/>
          <w:color w:val="065B94"/>
        </w:rPr>
        <w:t>Customary closing conditions including Jazz shareholder approval</w:t>
      </w:r>
    </w:p>
    <w:p>
      <w:pPr>
        <w:spacing w:after="0" w:line="321" w:lineRule="exact"/>
        <w:rPr>
          <w:sz w:val="20"/>
          <w:szCs w:val="20"/>
          <w:color w:val="auto"/>
        </w:rPr>
      </w:pPr>
    </w:p>
    <w:p>
      <w:pPr>
        <w:ind w:left="780"/>
        <w:spacing w:after="0"/>
        <w:rPr>
          <w:sz w:val="20"/>
          <w:szCs w:val="20"/>
          <w:color w:val="auto"/>
        </w:rPr>
      </w:pPr>
      <w:r>
        <w:rPr>
          <w:rFonts w:ascii="Arial" w:cs="Arial" w:eastAsia="Arial" w:hAnsi="Arial"/>
          <w:sz w:val="22"/>
          <w:szCs w:val="22"/>
          <w:color w:val="065B94"/>
        </w:rPr>
        <w:t>Expected to close in 2</w:t>
      </w:r>
      <w:r>
        <w:rPr>
          <w:rFonts w:ascii="Arial" w:cs="Arial" w:eastAsia="Arial" w:hAnsi="Arial"/>
          <w:sz w:val="36"/>
          <w:szCs w:val="36"/>
          <w:color w:val="065B94"/>
          <w:vertAlign w:val="superscript"/>
        </w:rPr>
        <w:t>nd</w:t>
      </w:r>
      <w:r>
        <w:rPr>
          <w:rFonts w:ascii="Arial" w:cs="Arial" w:eastAsia="Arial" w:hAnsi="Arial"/>
          <w:sz w:val="22"/>
          <w:szCs w:val="22"/>
          <w:color w:val="065B94"/>
        </w:rPr>
        <w:t xml:space="preserve"> half 2008</w:t>
      </w:r>
    </w:p>
    <w:p>
      <w:pPr>
        <w:spacing w:after="0" w:line="200" w:lineRule="exact"/>
        <w:rPr>
          <w:sz w:val="20"/>
          <w:szCs w:val="20"/>
          <w:color w:val="auto"/>
        </w:rPr>
      </w:pPr>
    </w:p>
    <w:p>
      <w:pPr>
        <w:spacing w:after="0" w:line="256" w:lineRule="exact"/>
        <w:rPr>
          <w:sz w:val="20"/>
          <w:szCs w:val="20"/>
          <w:color w:val="auto"/>
        </w:rPr>
      </w:pPr>
    </w:p>
    <w:p>
      <w:pPr>
        <w:ind w:left="1080" w:right="1019" w:hanging="15"/>
        <w:spacing w:after="0" w:line="295" w:lineRule="auto"/>
        <w:rPr>
          <w:sz w:val="20"/>
          <w:szCs w:val="20"/>
          <w:color w:val="auto"/>
        </w:rPr>
      </w:pPr>
      <w:r>
        <w:rPr>
          <w:rFonts w:ascii="Arial" w:cs="Arial" w:eastAsia="Arial" w:hAnsi="Arial"/>
          <w:sz w:val="28"/>
          <w:szCs w:val="28"/>
          <w:b w:val="1"/>
          <w:bCs w:val="1"/>
          <w:color w:val="065B94"/>
        </w:rPr>
        <w:t>Merger is expected to create the leading pure-play specialty foundry and #7 overall pure-play foundry</w:t>
      </w:r>
    </w:p>
    <w:p>
      <w:pPr>
        <w:spacing w:after="0" w:line="229" w:lineRule="exact"/>
        <w:rPr>
          <w:sz w:val="20"/>
          <w:szCs w:val="20"/>
          <w:color w:val="auto"/>
        </w:rPr>
      </w:pPr>
    </w:p>
    <w:p>
      <w:pPr>
        <w:jc w:val="right"/>
        <w:ind w:right="1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493395</wp:posOffset>
            </wp:positionV>
            <wp:extent cx="7257415" cy="3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29"/>
          <w:szCs w:val="29"/>
          <w:b w:val="1"/>
          <w:bCs w:val="1"/>
          <w:color w:val="FFFFFF"/>
        </w:rPr>
        <w:t>Creating the Leading Specialty Foundry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0"/>
        <w:spacing w:after="0"/>
        <w:rPr>
          <w:sz w:val="20"/>
          <w:szCs w:val="20"/>
          <w:color w:val="auto"/>
        </w:rPr>
      </w:pPr>
      <w:r>
        <w:rPr>
          <w:rFonts w:ascii="Arial" w:cs="Arial" w:eastAsia="Arial" w:hAnsi="Arial"/>
          <w:sz w:val="19"/>
          <w:szCs w:val="19"/>
          <w:b w:val="1"/>
          <w:bCs w:val="1"/>
          <w:color w:val="053658"/>
        </w:rPr>
        <w:t>Increased Capacity and Scale to Attract Larger Customers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053658"/>
        </w:rPr>
        <w:t>Global Presence Improves Geographic Reach and Distribution</w:t>
      </w:r>
    </w:p>
    <w:p>
      <w:pPr>
        <w:spacing w:after="0" w:line="200" w:lineRule="exact"/>
        <w:rPr>
          <w:sz w:val="20"/>
          <w:szCs w:val="20"/>
          <w:color w:val="auto"/>
        </w:rPr>
      </w:pPr>
    </w:p>
    <w:p>
      <w:pPr>
        <w:spacing w:after="0" w:line="316" w:lineRule="exact"/>
        <w:rPr>
          <w:sz w:val="20"/>
          <w:szCs w:val="20"/>
          <w:color w:val="auto"/>
        </w:rPr>
      </w:pPr>
    </w:p>
    <w:p>
      <w:pPr>
        <w:jc w:val="center"/>
        <w:ind w:right="-300"/>
        <w:spacing w:after="0"/>
        <w:rPr>
          <w:sz w:val="20"/>
          <w:szCs w:val="20"/>
          <w:color w:val="auto"/>
        </w:rPr>
      </w:pPr>
      <w:r>
        <w:rPr>
          <w:rFonts w:ascii="Arial" w:cs="Arial" w:eastAsia="Arial" w:hAnsi="Arial"/>
          <w:sz w:val="19"/>
          <w:szCs w:val="19"/>
          <w:b w:val="1"/>
          <w:bCs w:val="1"/>
          <w:color w:val="053658"/>
        </w:rPr>
        <w:t>Leadership In Specialty Process Technologies:</w:t>
      </w:r>
    </w:p>
    <w:p>
      <w:pPr>
        <w:spacing w:after="0" w:line="103"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053658"/>
        </w:rPr>
        <w:t>CMOS Image Sensor, SiGe, Power Mgmt, NVM, RF-CMOS, BCD</w:t>
      </w:r>
    </w:p>
    <w:p>
      <w:pPr>
        <w:spacing w:after="0" w:line="200" w:lineRule="exact"/>
        <w:rPr>
          <w:sz w:val="20"/>
          <w:szCs w:val="20"/>
          <w:color w:val="auto"/>
        </w:rPr>
      </w:pPr>
    </w:p>
    <w:p>
      <w:pPr>
        <w:spacing w:after="0" w:line="238" w:lineRule="exact"/>
        <w:rPr>
          <w:sz w:val="20"/>
          <w:szCs w:val="20"/>
          <w:color w:val="auto"/>
        </w:rPr>
      </w:pPr>
    </w:p>
    <w:p>
      <w:pPr>
        <w:ind w:left="1820"/>
        <w:spacing w:after="0"/>
        <w:rPr>
          <w:sz w:val="20"/>
          <w:szCs w:val="20"/>
          <w:color w:val="auto"/>
        </w:rPr>
      </w:pPr>
      <w:r>
        <w:rPr>
          <w:rFonts w:ascii="Arial" w:cs="Arial" w:eastAsia="Arial" w:hAnsi="Arial"/>
          <w:sz w:val="19"/>
          <w:szCs w:val="19"/>
          <w:b w:val="1"/>
          <w:bCs w:val="1"/>
          <w:color w:val="053658"/>
        </w:rPr>
        <w:t>Synergies of Value Add Technologies Enables Higher Margins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80"/>
        <w:spacing w:after="0"/>
        <w:rPr>
          <w:sz w:val="20"/>
          <w:szCs w:val="20"/>
          <w:color w:val="auto"/>
        </w:rPr>
      </w:pPr>
      <w:r>
        <w:rPr>
          <w:rFonts w:ascii="Arial" w:cs="Arial" w:eastAsia="Arial" w:hAnsi="Arial"/>
          <w:sz w:val="19"/>
          <w:szCs w:val="19"/>
          <w:b w:val="1"/>
          <w:bCs w:val="1"/>
          <w:color w:val="053658"/>
        </w:rPr>
        <w:t>Diverse Customer Base in High Growth Markets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053658"/>
        </w:rPr>
        <w:t>Significant Synergy Potential Both on Revenues and Expenses</w:t>
      </w:r>
    </w:p>
    <w:p>
      <w:pPr>
        <w:sectPr>
          <w:pgSz w:w="11900" w:h="16838" w:orient="portrait"/>
          <w:cols w:equalWidth="0" w:num="1">
            <w:col w:w="9019"/>
          </w:cols>
          <w:pgMar w:left="1440" w:top="760" w:right="1440" w:bottom="0" w:gutter="0" w:footer="0" w:header="0"/>
        </w:sectPr>
      </w:pPr>
    </w:p>
    <w:p>
      <w:pPr>
        <w:spacing w:after="0" w:line="200" w:lineRule="exact"/>
        <w:rPr>
          <w:sz w:val="20"/>
          <w:szCs w:val="20"/>
          <w:color w:val="auto"/>
        </w:rPr>
      </w:pPr>
    </w:p>
    <w:p>
      <w:pPr>
        <w:spacing w:after="0" w:line="220"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760" w:right="1440" w:bottom="0" w:gutter="0" w:footer="0" w:header="0"/>
          <w:type w:val="continuous"/>
        </w:sectPr>
      </w:pPr>
    </w:p>
    <w:bookmarkStart w:id="2" w:name="page3"/>
    <w:bookmarkEnd w:id="2"/>
    <w:p>
      <w:pPr>
        <w:ind w:left="8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151765</wp:posOffset>
            </wp:positionH>
            <wp:positionV relativeFrom="page">
              <wp:posOffset>88900</wp:posOffset>
            </wp:positionV>
            <wp:extent cx="7257415" cy="4947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4947285"/>
                    </a:xfrm>
                    <a:prstGeom prst="rect">
                      <a:avLst/>
                    </a:prstGeom>
                    <a:noFill/>
                  </pic:spPr>
                </pic:pic>
              </a:graphicData>
            </a:graphic>
          </wp:anchor>
        </w:drawing>
        <w:t>Creating the Leading Specialty Foundry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0"/>
        <w:spacing w:after="0"/>
        <w:rPr>
          <w:sz w:val="20"/>
          <w:szCs w:val="20"/>
          <w:color w:val="auto"/>
        </w:rPr>
      </w:pPr>
      <w:r>
        <w:rPr>
          <w:rFonts w:ascii="Arial" w:cs="Arial" w:eastAsia="Arial" w:hAnsi="Arial"/>
          <w:sz w:val="19"/>
          <w:szCs w:val="19"/>
          <w:b w:val="1"/>
          <w:bCs w:val="1"/>
          <w:color w:val="053658"/>
        </w:rPr>
        <w:t>Increased Capacity and Scale to Attract Larger Customers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053658"/>
        </w:rPr>
        <w:t>Global Presence Improves Geographic Reach and Distribution</w:t>
      </w:r>
    </w:p>
    <w:p>
      <w:pPr>
        <w:spacing w:after="0" w:line="200" w:lineRule="exact"/>
        <w:rPr>
          <w:sz w:val="20"/>
          <w:szCs w:val="20"/>
          <w:color w:val="auto"/>
        </w:rPr>
      </w:pPr>
    </w:p>
    <w:p>
      <w:pPr>
        <w:spacing w:after="0" w:line="316" w:lineRule="exact"/>
        <w:rPr>
          <w:sz w:val="20"/>
          <w:szCs w:val="20"/>
          <w:color w:val="auto"/>
        </w:rPr>
      </w:pPr>
    </w:p>
    <w:p>
      <w:pPr>
        <w:jc w:val="center"/>
        <w:ind w:right="-300"/>
        <w:spacing w:after="0"/>
        <w:rPr>
          <w:sz w:val="20"/>
          <w:szCs w:val="20"/>
          <w:color w:val="auto"/>
        </w:rPr>
      </w:pPr>
      <w:r>
        <w:rPr>
          <w:rFonts w:ascii="Arial" w:cs="Arial" w:eastAsia="Arial" w:hAnsi="Arial"/>
          <w:sz w:val="19"/>
          <w:szCs w:val="19"/>
          <w:b w:val="1"/>
          <w:bCs w:val="1"/>
          <w:color w:val="C0C0C0"/>
        </w:rPr>
        <w:t>Leadership In Specialty Process Technologies:</w:t>
      </w:r>
    </w:p>
    <w:p>
      <w:pPr>
        <w:spacing w:after="0" w:line="103"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C0C0C0"/>
        </w:rPr>
        <w:t>CMOS Image Sensor, SiGe, Power Mgmt, NVM, RF-CMOS, BCD</w:t>
      </w:r>
    </w:p>
    <w:p>
      <w:pPr>
        <w:spacing w:after="0" w:line="200" w:lineRule="exact"/>
        <w:rPr>
          <w:sz w:val="20"/>
          <w:szCs w:val="20"/>
          <w:color w:val="auto"/>
        </w:rPr>
      </w:pPr>
    </w:p>
    <w:p>
      <w:pPr>
        <w:spacing w:after="0" w:line="238" w:lineRule="exact"/>
        <w:rPr>
          <w:sz w:val="20"/>
          <w:szCs w:val="20"/>
          <w:color w:val="auto"/>
        </w:rPr>
      </w:pPr>
    </w:p>
    <w:p>
      <w:pPr>
        <w:ind w:left="1820"/>
        <w:spacing w:after="0"/>
        <w:rPr>
          <w:sz w:val="20"/>
          <w:szCs w:val="20"/>
          <w:color w:val="auto"/>
        </w:rPr>
      </w:pPr>
      <w:r>
        <w:rPr>
          <w:rFonts w:ascii="Arial" w:cs="Arial" w:eastAsia="Arial" w:hAnsi="Arial"/>
          <w:sz w:val="19"/>
          <w:szCs w:val="19"/>
          <w:b w:val="1"/>
          <w:bCs w:val="1"/>
          <w:color w:val="C0C0C0"/>
        </w:rPr>
        <w:t>Synergies of Value Add Technologies Enables Higher Margins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80"/>
        <w:spacing w:after="0"/>
        <w:rPr>
          <w:sz w:val="20"/>
          <w:szCs w:val="20"/>
          <w:color w:val="auto"/>
        </w:rPr>
      </w:pPr>
      <w:r>
        <w:rPr>
          <w:rFonts w:ascii="Arial" w:cs="Arial" w:eastAsia="Arial" w:hAnsi="Arial"/>
          <w:sz w:val="19"/>
          <w:szCs w:val="19"/>
          <w:b w:val="1"/>
          <w:bCs w:val="1"/>
          <w:color w:val="C0C0C0"/>
        </w:rPr>
        <w:t>Diverse Customer Base in High Growth Markets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C0C0C0"/>
        </w:rPr>
        <w:t>Significant Synergy Potential Both on Revenues and Expenses</w:t>
      </w:r>
    </w:p>
    <w:p>
      <w:pPr>
        <w:spacing w:after="0" w:line="200" w:lineRule="exact"/>
        <w:rPr>
          <w:sz w:val="20"/>
          <w:szCs w:val="20"/>
          <w:color w:val="auto"/>
        </w:rPr>
      </w:pPr>
    </w:p>
    <w:p>
      <w:pPr>
        <w:spacing w:after="0" w:line="220" w:lineRule="exact"/>
        <w:rPr>
          <w:sz w:val="20"/>
          <w:szCs w:val="20"/>
          <w:color w:val="auto"/>
        </w:rPr>
      </w:pPr>
    </w:p>
    <w:p>
      <w:pPr>
        <w:jc w:val="right"/>
        <w:ind w:right="1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493395</wp:posOffset>
            </wp:positionV>
            <wp:extent cx="7257415" cy="4646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4646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FFFFFF"/>
        </w:rPr>
        <w:t>Global Infrastructure</w:t>
      </w:r>
    </w:p>
    <w:p>
      <w:pPr>
        <w:sectPr>
          <w:pgSz w:w="11900" w:h="16838" w:orient="portrait"/>
          <w:cols w:equalWidth="0" w:num="1">
            <w:col w:w="9019"/>
          </w:cols>
          <w:pgMar w:left="1440" w:top="1182" w:right="1440" w:bottom="9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159"/>
        </w:trPr>
        <w:tc>
          <w:tcPr>
            <w:tcW w:w="1840" w:type="dxa"/>
            <w:vAlign w:val="bottom"/>
          </w:tcPr>
          <w:p>
            <w:pPr>
              <w:spacing w:after="0"/>
              <w:rPr>
                <w:sz w:val="13"/>
                <w:szCs w:val="13"/>
                <w:color w:val="auto"/>
              </w:rPr>
            </w:pPr>
          </w:p>
        </w:tc>
        <w:tc>
          <w:tcPr>
            <w:tcW w:w="1680" w:type="dxa"/>
            <w:vAlign w:val="bottom"/>
          </w:tcPr>
          <w:p>
            <w:pPr>
              <w:jc w:val="center"/>
              <w:ind w:left="860"/>
              <w:spacing w:after="0"/>
              <w:rPr>
                <w:sz w:val="20"/>
                <w:szCs w:val="20"/>
                <w:color w:val="auto"/>
              </w:rPr>
            </w:pPr>
            <w:r>
              <w:rPr>
                <w:rFonts w:ascii="Arial" w:cs="Arial" w:eastAsia="Arial" w:hAnsi="Arial"/>
                <w:sz w:val="12"/>
                <w:szCs w:val="12"/>
                <w:b w:val="1"/>
                <w:bCs w:val="1"/>
                <w:color w:val="auto"/>
                <w:w w:val="99"/>
              </w:rPr>
              <w:t>UK &amp; Holland</w:t>
            </w:r>
          </w:p>
        </w:tc>
        <w:tc>
          <w:tcPr>
            <w:tcW w:w="0" w:type="dxa"/>
            <w:vAlign w:val="bottom"/>
          </w:tcPr>
          <w:p>
            <w:pPr>
              <w:spacing w:after="0"/>
              <w:rPr>
                <w:sz w:val="1"/>
                <w:szCs w:val="1"/>
                <w:color w:val="auto"/>
              </w:rPr>
            </w:pPr>
          </w:p>
        </w:tc>
      </w:tr>
      <w:tr>
        <w:trPr>
          <w:trHeight w:val="193"/>
        </w:trPr>
        <w:tc>
          <w:tcPr>
            <w:tcW w:w="1840" w:type="dxa"/>
            <w:vAlign w:val="bottom"/>
            <w:vMerge w:val="restart"/>
          </w:tcPr>
          <w:p>
            <w:pPr>
              <w:spacing w:after="0"/>
              <w:rPr>
                <w:sz w:val="20"/>
                <w:szCs w:val="20"/>
                <w:color w:val="auto"/>
              </w:rPr>
            </w:pPr>
            <w:r>
              <w:rPr>
                <w:rFonts w:ascii="Arial" w:cs="Arial" w:eastAsia="Arial" w:hAnsi="Arial"/>
                <w:sz w:val="12"/>
                <w:szCs w:val="12"/>
                <w:b w:val="1"/>
                <w:bCs w:val="1"/>
                <w:color w:val="auto"/>
              </w:rPr>
              <w:t>Santa Clara, CA</w:t>
            </w:r>
          </w:p>
        </w:tc>
        <w:tc>
          <w:tcPr>
            <w:tcW w:w="1680" w:type="dxa"/>
            <w:vAlign w:val="bottom"/>
          </w:tcPr>
          <w:p>
            <w:pPr>
              <w:jc w:val="center"/>
              <w:ind w:left="860"/>
              <w:spacing w:after="0"/>
              <w:rPr>
                <w:sz w:val="20"/>
                <w:szCs w:val="20"/>
                <w:color w:val="auto"/>
              </w:rPr>
            </w:pPr>
            <w:r>
              <w:rPr>
                <w:rFonts w:ascii="Arial" w:cs="Arial" w:eastAsia="Arial" w:hAnsi="Arial"/>
                <w:sz w:val="12"/>
                <w:szCs w:val="12"/>
                <w:color w:val="auto"/>
                <w:w w:val="98"/>
              </w:rPr>
              <w:t>Sales reps</w:t>
            </w: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759"/>
        <w:spacing w:after="0"/>
        <w:rPr>
          <w:sz w:val="20"/>
          <w:szCs w:val="20"/>
          <w:color w:val="auto"/>
        </w:rPr>
      </w:pPr>
      <w:r>
        <w:rPr>
          <w:rFonts w:ascii="Arial" w:cs="Arial" w:eastAsia="Arial" w:hAnsi="Arial"/>
          <w:sz w:val="21"/>
          <w:szCs w:val="21"/>
          <w:b w:val="1"/>
          <w:bCs w:val="1"/>
          <w:color w:val="F40101"/>
        </w:rPr>
        <w:t>~70K WPY</w:t>
      </w:r>
    </w:p>
    <w:p>
      <w:pPr>
        <w:spacing w:after="0" w:line="334" w:lineRule="exact"/>
        <w:rPr>
          <w:sz w:val="20"/>
          <w:szCs w:val="20"/>
          <w:color w:val="auto"/>
        </w:rPr>
      </w:pPr>
    </w:p>
    <w:p>
      <w:pPr>
        <w:sectPr>
          <w:pgSz w:w="11900" w:h="16838" w:orient="portrait"/>
          <w:cols w:equalWidth="0" w:num="2">
            <w:col w:w="5460" w:space="720"/>
            <w:col w:w="2839"/>
          </w:cols>
          <w:pgMar w:left="1440" w:top="1182" w:right="1440" w:bottom="986" w:gutter="0" w:footer="0" w:header="0"/>
          <w:type w:val="continuous"/>
        </w:sectPr>
      </w:pPr>
    </w:p>
    <w:tbl>
      <w:tblPr>
        <w:tblLayout w:type="fixed"/>
        <w:tblInd w:w="420" w:type="dxa"/>
        <w:tblCellMar>
          <w:top w:w="0" w:type="dxa"/>
          <w:left w:w="0" w:type="dxa"/>
          <w:bottom w:w="0" w:type="dxa"/>
          <w:right w:w="0" w:type="dxa"/>
        </w:tblCellMar>
      </w:tblPr>
      <w:tr>
        <w:trPr>
          <w:trHeight w:val="191"/>
        </w:trPr>
        <w:tc>
          <w:tcPr>
            <w:tcW w:w="4620" w:type="dxa"/>
            <w:vAlign w:val="bottom"/>
          </w:tcPr>
          <w:p>
            <w:pPr>
              <w:jc w:val="center"/>
              <w:ind w:right="2887"/>
              <w:spacing w:after="0"/>
              <w:rPr>
                <w:sz w:val="20"/>
                <w:szCs w:val="20"/>
                <w:color w:val="auto"/>
              </w:rPr>
            </w:pPr>
            <w:r>
              <w:rPr>
                <w:rFonts w:ascii="Arial" w:cs="Arial" w:eastAsia="Arial" w:hAnsi="Arial"/>
                <w:sz w:val="12"/>
                <w:szCs w:val="12"/>
                <w:color w:val="auto"/>
                <w:w w:val="99"/>
              </w:rPr>
              <w:t>Sales office</w:t>
            </w:r>
          </w:p>
        </w:tc>
        <w:tc>
          <w:tcPr>
            <w:tcW w:w="3740" w:type="dxa"/>
            <w:vAlign w:val="bottom"/>
          </w:tcPr>
          <w:p>
            <w:pPr>
              <w:ind w:left="2240"/>
              <w:spacing w:after="0"/>
              <w:rPr>
                <w:sz w:val="20"/>
                <w:szCs w:val="20"/>
                <w:color w:val="auto"/>
              </w:rPr>
            </w:pPr>
            <w:r>
              <w:rPr>
                <w:rFonts w:ascii="Arial" w:cs="Arial" w:eastAsia="Arial" w:hAnsi="Arial"/>
                <w:sz w:val="14"/>
                <w:szCs w:val="14"/>
                <w:b w:val="1"/>
                <w:bCs w:val="1"/>
                <w:color w:val="auto"/>
              </w:rPr>
              <w:t>Shanghai, China</w:t>
            </w:r>
          </w:p>
        </w:tc>
      </w:tr>
      <w:tr>
        <w:trPr>
          <w:trHeight w:val="174"/>
        </w:trPr>
        <w:tc>
          <w:tcPr>
            <w:tcW w:w="4620" w:type="dxa"/>
            <w:vAlign w:val="bottom"/>
          </w:tcPr>
          <w:p>
            <w:pPr>
              <w:spacing w:after="0"/>
              <w:rPr>
                <w:sz w:val="15"/>
                <w:szCs w:val="15"/>
                <w:color w:val="auto"/>
              </w:rPr>
            </w:pPr>
          </w:p>
        </w:tc>
        <w:tc>
          <w:tcPr>
            <w:tcW w:w="3740" w:type="dxa"/>
            <w:vAlign w:val="bottom"/>
          </w:tcPr>
          <w:p>
            <w:pPr>
              <w:ind w:left="2340"/>
              <w:spacing w:after="0"/>
              <w:rPr>
                <w:sz w:val="20"/>
                <w:szCs w:val="20"/>
                <w:color w:val="auto"/>
              </w:rPr>
            </w:pPr>
            <w:r>
              <w:rPr>
                <w:rFonts w:ascii="Arial" w:cs="Arial" w:eastAsia="Arial" w:hAnsi="Arial"/>
                <w:sz w:val="12"/>
                <w:szCs w:val="12"/>
                <w:b w:val="1"/>
                <w:bCs w:val="1"/>
                <w:color w:val="auto"/>
              </w:rPr>
              <w:t>HHNEC</w:t>
            </w:r>
            <w:r>
              <w:rPr>
                <w:rFonts w:ascii="Arial" w:cs="Arial" w:eastAsia="Arial" w:hAnsi="Arial"/>
                <w:sz w:val="12"/>
                <w:szCs w:val="12"/>
                <w:color w:val="auto"/>
              </w:rPr>
              <w:t>: 10% ownership</w:t>
            </w:r>
          </w:p>
        </w:tc>
      </w:tr>
      <w:tr>
        <w:trPr>
          <w:trHeight w:val="206"/>
        </w:trPr>
        <w:tc>
          <w:tcPr>
            <w:tcW w:w="4620" w:type="dxa"/>
            <w:vAlign w:val="bottom"/>
          </w:tcPr>
          <w:p>
            <w:pPr>
              <w:spacing w:after="0"/>
              <w:rPr>
                <w:sz w:val="17"/>
                <w:szCs w:val="17"/>
                <w:color w:val="auto"/>
              </w:rPr>
            </w:pPr>
          </w:p>
        </w:tc>
        <w:tc>
          <w:tcPr>
            <w:tcW w:w="3740" w:type="dxa"/>
            <w:vAlign w:val="bottom"/>
          </w:tcPr>
          <w:p>
            <w:pPr>
              <w:ind w:left="2340"/>
              <w:spacing w:after="0"/>
              <w:rPr>
                <w:sz w:val="20"/>
                <w:szCs w:val="20"/>
                <w:color w:val="auto"/>
              </w:rPr>
            </w:pPr>
            <w:r>
              <w:rPr>
                <w:rFonts w:ascii="Arial" w:cs="Arial" w:eastAsia="Arial" w:hAnsi="Arial"/>
                <w:sz w:val="12"/>
                <w:szCs w:val="12"/>
                <w:b w:val="1"/>
                <w:bCs w:val="1"/>
                <w:color w:val="auto"/>
              </w:rPr>
              <w:t>ASMC</w:t>
            </w:r>
            <w:r>
              <w:rPr>
                <w:rFonts w:ascii="Arial" w:cs="Arial" w:eastAsia="Arial" w:hAnsi="Arial"/>
                <w:sz w:val="12"/>
                <w:szCs w:val="12"/>
                <w:color w:val="auto"/>
              </w:rPr>
              <w:t>: supply agreement</w:t>
            </w:r>
          </w:p>
        </w:tc>
      </w:tr>
      <w:tr>
        <w:trPr>
          <w:trHeight w:val="373"/>
        </w:trPr>
        <w:tc>
          <w:tcPr>
            <w:tcW w:w="4620" w:type="dxa"/>
            <w:vAlign w:val="bottom"/>
          </w:tcPr>
          <w:p>
            <w:pPr>
              <w:ind w:left="2540"/>
              <w:spacing w:after="0"/>
              <w:rPr>
                <w:sz w:val="20"/>
                <w:szCs w:val="20"/>
                <w:color w:val="auto"/>
              </w:rPr>
            </w:pPr>
            <w:r>
              <w:rPr>
                <w:rFonts w:ascii="Arial" w:cs="Arial" w:eastAsia="Arial" w:hAnsi="Arial"/>
                <w:sz w:val="12"/>
                <w:szCs w:val="12"/>
                <w:b w:val="1"/>
                <w:bCs w:val="1"/>
                <w:color w:val="auto"/>
              </w:rPr>
              <w:t>UK</w:t>
            </w:r>
          </w:p>
        </w:tc>
        <w:tc>
          <w:tcPr>
            <w:tcW w:w="3740" w:type="dxa"/>
            <w:vAlign w:val="bottom"/>
          </w:tcPr>
          <w:p>
            <w:pPr>
              <w:spacing w:after="0"/>
              <w:rPr>
                <w:sz w:val="24"/>
                <w:szCs w:val="24"/>
                <w:color w:val="auto"/>
              </w:rPr>
            </w:pPr>
          </w:p>
        </w:tc>
      </w:tr>
      <w:tr>
        <w:trPr>
          <w:trHeight w:val="193"/>
        </w:trPr>
        <w:tc>
          <w:tcPr>
            <w:tcW w:w="4620" w:type="dxa"/>
            <w:vAlign w:val="bottom"/>
          </w:tcPr>
          <w:p>
            <w:pPr>
              <w:ind w:left="2640"/>
              <w:spacing w:after="0"/>
              <w:rPr>
                <w:sz w:val="20"/>
                <w:szCs w:val="20"/>
                <w:color w:val="auto"/>
              </w:rPr>
            </w:pPr>
            <w:r>
              <w:rPr>
                <w:rFonts w:ascii="Arial" w:cs="Arial" w:eastAsia="Arial" w:hAnsi="Arial"/>
                <w:sz w:val="12"/>
                <w:szCs w:val="12"/>
                <w:color w:val="auto"/>
              </w:rPr>
              <w:t>Sales office</w:t>
            </w:r>
          </w:p>
        </w:tc>
        <w:tc>
          <w:tcPr>
            <w:tcW w:w="3740" w:type="dxa"/>
            <w:vAlign w:val="bottom"/>
          </w:tcPr>
          <w:p>
            <w:pPr>
              <w:spacing w:after="0"/>
              <w:rPr>
                <w:sz w:val="16"/>
                <w:szCs w:val="16"/>
                <w:color w:val="auto"/>
              </w:rPr>
            </w:pPr>
          </w:p>
        </w:tc>
      </w:tr>
      <w:tr>
        <w:trPr>
          <w:trHeight w:val="753"/>
        </w:trPr>
        <w:tc>
          <w:tcPr>
            <w:tcW w:w="4620" w:type="dxa"/>
            <w:vAlign w:val="bottom"/>
          </w:tcPr>
          <w:p>
            <w:pPr>
              <w:spacing w:after="0"/>
              <w:rPr>
                <w:sz w:val="20"/>
                <w:szCs w:val="20"/>
                <w:color w:val="auto"/>
              </w:rPr>
            </w:pPr>
            <w:r>
              <w:rPr>
                <w:rFonts w:ascii="Arial" w:cs="Arial" w:eastAsia="Arial" w:hAnsi="Arial"/>
                <w:sz w:val="14"/>
                <w:szCs w:val="14"/>
                <w:b w:val="1"/>
                <w:bCs w:val="1"/>
                <w:color w:val="auto"/>
              </w:rPr>
              <w:t>Newport Beach, CA</w:t>
            </w:r>
          </w:p>
        </w:tc>
        <w:tc>
          <w:tcPr>
            <w:tcW w:w="3740" w:type="dxa"/>
            <w:vAlign w:val="bottom"/>
          </w:tcPr>
          <w:p>
            <w:pPr>
              <w:spacing w:after="0"/>
              <w:rPr>
                <w:sz w:val="24"/>
                <w:szCs w:val="24"/>
                <w:color w:val="auto"/>
              </w:rPr>
            </w:pPr>
          </w:p>
        </w:tc>
      </w:tr>
      <w:tr>
        <w:trPr>
          <w:trHeight w:val="174"/>
        </w:trPr>
        <w:tc>
          <w:tcPr>
            <w:tcW w:w="4620" w:type="dxa"/>
            <w:vAlign w:val="bottom"/>
          </w:tcPr>
          <w:p>
            <w:pPr>
              <w:ind w:left="100"/>
              <w:spacing w:after="0"/>
              <w:rPr>
                <w:sz w:val="20"/>
                <w:szCs w:val="20"/>
                <w:color w:val="auto"/>
              </w:rPr>
            </w:pPr>
            <w:r>
              <w:rPr>
                <w:rFonts w:ascii="Arial" w:cs="Arial" w:eastAsia="Arial" w:hAnsi="Arial"/>
                <w:sz w:val="12"/>
                <w:szCs w:val="12"/>
                <w:color w:val="auto"/>
              </w:rPr>
              <w:t>8” Fab</w:t>
            </w:r>
          </w:p>
        </w:tc>
        <w:tc>
          <w:tcPr>
            <w:tcW w:w="3740" w:type="dxa"/>
            <w:vAlign w:val="bottom"/>
          </w:tcPr>
          <w:p>
            <w:pPr>
              <w:ind w:left="680"/>
              <w:spacing w:after="0"/>
              <w:rPr>
                <w:sz w:val="20"/>
                <w:szCs w:val="20"/>
                <w:color w:val="auto"/>
              </w:rPr>
            </w:pPr>
            <w:r>
              <w:rPr>
                <w:rFonts w:ascii="Arial" w:cs="Arial" w:eastAsia="Arial" w:hAnsi="Arial"/>
                <w:sz w:val="12"/>
                <w:szCs w:val="12"/>
                <w:b w:val="1"/>
                <w:bCs w:val="1"/>
                <w:color w:val="auto"/>
              </w:rPr>
              <w:t>Hsinchu, Taiwan</w:t>
            </w:r>
          </w:p>
        </w:tc>
      </w:tr>
      <w:tr>
        <w:trPr>
          <w:trHeight w:val="180"/>
        </w:trPr>
        <w:tc>
          <w:tcPr>
            <w:tcW w:w="4620" w:type="dxa"/>
            <w:vAlign w:val="bottom"/>
          </w:tcPr>
          <w:p>
            <w:pPr>
              <w:spacing w:after="0"/>
              <w:rPr>
                <w:sz w:val="15"/>
                <w:szCs w:val="15"/>
                <w:color w:val="auto"/>
              </w:rPr>
            </w:pPr>
          </w:p>
        </w:tc>
        <w:tc>
          <w:tcPr>
            <w:tcW w:w="3740" w:type="dxa"/>
            <w:vAlign w:val="bottom"/>
          </w:tcPr>
          <w:p>
            <w:pPr>
              <w:ind w:left="800"/>
              <w:spacing w:after="0"/>
              <w:rPr>
                <w:sz w:val="20"/>
                <w:szCs w:val="20"/>
                <w:color w:val="auto"/>
              </w:rPr>
            </w:pPr>
            <w:r>
              <w:rPr>
                <w:rFonts w:ascii="Arial" w:cs="Arial" w:eastAsia="Arial" w:hAnsi="Arial"/>
                <w:sz w:val="12"/>
                <w:szCs w:val="12"/>
                <w:color w:val="auto"/>
              </w:rPr>
              <w:t>Rep. office</w:t>
            </w:r>
          </w:p>
        </w:tc>
      </w:tr>
      <w:tr>
        <w:trPr>
          <w:trHeight w:val="199"/>
        </w:trPr>
        <w:tc>
          <w:tcPr>
            <w:tcW w:w="4620" w:type="dxa"/>
            <w:vAlign w:val="bottom"/>
          </w:tcPr>
          <w:p>
            <w:pPr>
              <w:ind w:left="2700"/>
              <w:spacing w:after="0"/>
              <w:rPr>
                <w:sz w:val="20"/>
                <w:szCs w:val="20"/>
                <w:color w:val="auto"/>
              </w:rPr>
            </w:pPr>
            <w:r>
              <w:rPr>
                <w:rFonts w:ascii="Arial" w:cs="Arial" w:eastAsia="Arial" w:hAnsi="Arial"/>
                <w:sz w:val="14"/>
                <w:szCs w:val="14"/>
                <w:b w:val="1"/>
                <w:bCs w:val="1"/>
                <w:color w:val="auto"/>
              </w:rPr>
              <w:t>Migdal HaEmek, Israel</w:t>
            </w:r>
          </w:p>
        </w:tc>
        <w:tc>
          <w:tcPr>
            <w:tcW w:w="3740" w:type="dxa"/>
            <w:vAlign w:val="bottom"/>
          </w:tcPr>
          <w:p>
            <w:pPr>
              <w:spacing w:after="0"/>
              <w:rPr>
                <w:sz w:val="17"/>
                <w:szCs w:val="17"/>
                <w:color w:val="auto"/>
              </w:rPr>
            </w:pPr>
          </w:p>
        </w:tc>
      </w:tr>
      <w:tr>
        <w:trPr>
          <w:trHeight w:val="187"/>
        </w:trPr>
        <w:tc>
          <w:tcPr>
            <w:tcW w:w="4620" w:type="dxa"/>
            <w:vAlign w:val="bottom"/>
          </w:tcPr>
          <w:p>
            <w:pPr>
              <w:ind w:left="2800"/>
              <w:spacing w:after="0"/>
              <w:rPr>
                <w:sz w:val="20"/>
                <w:szCs w:val="20"/>
                <w:color w:val="auto"/>
              </w:rPr>
            </w:pPr>
            <w:r>
              <w:rPr>
                <w:rFonts w:ascii="Arial" w:cs="Arial" w:eastAsia="Arial" w:hAnsi="Arial"/>
                <w:sz w:val="12"/>
                <w:szCs w:val="12"/>
                <w:color w:val="auto"/>
              </w:rPr>
              <w:t>8” Fab &amp; 6” Fab</w:t>
            </w:r>
          </w:p>
        </w:tc>
        <w:tc>
          <w:tcPr>
            <w:tcW w:w="3740" w:type="dxa"/>
            <w:vAlign w:val="bottom"/>
          </w:tcPr>
          <w:p>
            <w:pPr>
              <w:jc w:val="center"/>
              <w:ind w:left="2744"/>
              <w:spacing w:after="0"/>
              <w:rPr>
                <w:sz w:val="20"/>
                <w:szCs w:val="20"/>
                <w:color w:val="auto"/>
              </w:rPr>
            </w:pPr>
            <w:r>
              <w:rPr>
                <w:rFonts w:ascii="Arial" w:cs="Arial" w:eastAsia="Arial" w:hAnsi="Arial"/>
                <w:sz w:val="12"/>
                <w:szCs w:val="12"/>
                <w:b w:val="1"/>
                <w:bCs w:val="1"/>
                <w:color w:val="auto"/>
                <w:w w:val="98"/>
              </w:rPr>
              <w:t>Tokyo,Japan</w:t>
            </w:r>
          </w:p>
        </w:tc>
      </w:tr>
      <w:tr>
        <w:trPr>
          <w:trHeight w:val="193"/>
        </w:trPr>
        <w:tc>
          <w:tcPr>
            <w:tcW w:w="4620" w:type="dxa"/>
            <w:vAlign w:val="bottom"/>
          </w:tcPr>
          <w:p>
            <w:pPr>
              <w:spacing w:after="0"/>
              <w:rPr>
                <w:sz w:val="16"/>
                <w:szCs w:val="16"/>
                <w:color w:val="auto"/>
              </w:rPr>
            </w:pPr>
          </w:p>
        </w:tc>
        <w:tc>
          <w:tcPr>
            <w:tcW w:w="3740" w:type="dxa"/>
            <w:vAlign w:val="bottom"/>
          </w:tcPr>
          <w:p>
            <w:pPr>
              <w:jc w:val="center"/>
              <w:ind w:left="2804"/>
              <w:spacing w:after="0"/>
              <w:rPr>
                <w:sz w:val="20"/>
                <w:szCs w:val="20"/>
                <w:color w:val="auto"/>
              </w:rPr>
            </w:pPr>
            <w:r>
              <w:rPr>
                <w:rFonts w:ascii="Arial" w:cs="Arial" w:eastAsia="Arial" w:hAnsi="Arial"/>
                <w:sz w:val="12"/>
                <w:szCs w:val="12"/>
                <w:color w:val="auto"/>
              </w:rPr>
              <w:t>Rep. office</w:t>
            </w:r>
          </w:p>
        </w:tc>
      </w:tr>
      <w:tr>
        <w:trPr>
          <w:trHeight w:val="530"/>
        </w:trPr>
        <w:tc>
          <w:tcPr>
            <w:tcW w:w="4620" w:type="dxa"/>
            <w:vAlign w:val="bottom"/>
          </w:tcPr>
          <w:p>
            <w:pPr>
              <w:jc w:val="center"/>
              <w:ind w:right="2927"/>
              <w:spacing w:after="0"/>
              <w:rPr>
                <w:sz w:val="20"/>
                <w:szCs w:val="20"/>
                <w:color w:val="auto"/>
              </w:rPr>
            </w:pPr>
            <w:r>
              <w:rPr>
                <w:rFonts w:ascii="Arial" w:cs="Arial" w:eastAsia="Arial" w:hAnsi="Arial"/>
                <w:sz w:val="22"/>
                <w:szCs w:val="22"/>
                <w:b w:val="1"/>
                <w:bCs w:val="1"/>
                <w:color w:val="F40101"/>
                <w:w w:val="97"/>
              </w:rPr>
              <w:t>200K WPY</w:t>
            </w:r>
          </w:p>
        </w:tc>
        <w:tc>
          <w:tcPr>
            <w:tcW w:w="3740" w:type="dxa"/>
            <w:vAlign w:val="bottom"/>
          </w:tcPr>
          <w:p>
            <w:pPr>
              <w:spacing w:after="0"/>
              <w:rPr>
                <w:sz w:val="24"/>
                <w:szCs w:val="24"/>
                <w:color w:val="auto"/>
              </w:rPr>
            </w:pPr>
          </w:p>
        </w:tc>
      </w:tr>
      <w:tr>
        <w:trPr>
          <w:trHeight w:val="334"/>
        </w:trPr>
        <w:tc>
          <w:tcPr>
            <w:tcW w:w="4620" w:type="dxa"/>
            <w:vAlign w:val="bottom"/>
          </w:tcPr>
          <w:p>
            <w:pPr>
              <w:spacing w:after="0"/>
              <w:rPr>
                <w:sz w:val="24"/>
                <w:szCs w:val="24"/>
                <w:color w:val="auto"/>
              </w:rPr>
            </w:pPr>
          </w:p>
        </w:tc>
        <w:tc>
          <w:tcPr>
            <w:tcW w:w="3740" w:type="dxa"/>
            <w:vAlign w:val="bottom"/>
          </w:tcPr>
          <w:p>
            <w:pPr>
              <w:jc w:val="center"/>
              <w:ind w:left="124"/>
              <w:spacing w:after="0"/>
              <w:rPr>
                <w:sz w:val="20"/>
                <w:szCs w:val="20"/>
                <w:color w:val="auto"/>
              </w:rPr>
            </w:pPr>
            <w:r>
              <w:rPr>
                <w:rFonts w:ascii="Arial" w:cs="Arial" w:eastAsia="Arial" w:hAnsi="Arial"/>
                <w:sz w:val="22"/>
                <w:szCs w:val="22"/>
                <w:b w:val="1"/>
                <w:bCs w:val="1"/>
                <w:color w:val="065B94"/>
                <w:w w:val="97"/>
              </w:rPr>
              <w:t>Total 8” equivalent capacity of</w:t>
            </w:r>
          </w:p>
        </w:tc>
      </w:tr>
      <w:tr>
        <w:trPr>
          <w:trHeight w:val="383"/>
        </w:trPr>
        <w:tc>
          <w:tcPr>
            <w:tcW w:w="4620" w:type="dxa"/>
            <w:vAlign w:val="bottom"/>
          </w:tcPr>
          <w:p>
            <w:pPr>
              <w:spacing w:after="0"/>
              <w:rPr>
                <w:sz w:val="24"/>
                <w:szCs w:val="24"/>
                <w:color w:val="auto"/>
              </w:rPr>
            </w:pPr>
          </w:p>
        </w:tc>
        <w:tc>
          <w:tcPr>
            <w:tcW w:w="3740" w:type="dxa"/>
            <w:vAlign w:val="bottom"/>
          </w:tcPr>
          <w:p>
            <w:pPr>
              <w:jc w:val="center"/>
              <w:ind w:left="104"/>
              <w:spacing w:after="0"/>
              <w:rPr>
                <w:sz w:val="20"/>
                <w:szCs w:val="20"/>
                <w:color w:val="auto"/>
              </w:rPr>
            </w:pPr>
            <w:r>
              <w:rPr>
                <w:rFonts w:ascii="Arial" w:cs="Arial" w:eastAsia="Arial" w:hAnsi="Arial"/>
                <w:sz w:val="29"/>
                <w:szCs w:val="29"/>
                <w:b w:val="1"/>
                <w:bCs w:val="1"/>
                <w:color w:val="065B94"/>
                <w:w w:val="99"/>
              </w:rPr>
              <w:t>~750K WPY</w:t>
            </w:r>
          </w:p>
        </w:tc>
      </w:tr>
      <w:tr>
        <w:trPr>
          <w:trHeight w:val="522"/>
        </w:trPr>
        <w:tc>
          <w:tcPr>
            <w:tcW w:w="4620" w:type="dxa"/>
            <w:vAlign w:val="bottom"/>
          </w:tcPr>
          <w:p>
            <w:pPr>
              <w:ind w:left="3080"/>
              <w:spacing w:after="0"/>
              <w:rPr>
                <w:sz w:val="20"/>
                <w:szCs w:val="20"/>
                <w:color w:val="auto"/>
              </w:rPr>
            </w:pPr>
            <w:r>
              <w:rPr>
                <w:rFonts w:ascii="Arial" w:cs="Arial" w:eastAsia="Arial" w:hAnsi="Arial"/>
                <w:sz w:val="22"/>
                <w:szCs w:val="22"/>
                <w:b w:val="1"/>
                <w:bCs w:val="1"/>
                <w:color w:val="065B94"/>
              </w:rPr>
              <w:t>480K WPY</w:t>
            </w:r>
          </w:p>
        </w:tc>
        <w:tc>
          <w:tcPr>
            <w:tcW w:w="374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9019"/>
          </w:cols>
          <w:pgMar w:left="1440" w:top="1182" w:right="1440" w:bottom="986" w:gutter="0" w:footer="0" w:header="0"/>
          <w:type w:val="continuous"/>
        </w:sectPr>
      </w:pPr>
    </w:p>
    <w:p>
      <w:pPr>
        <w:ind w:left="87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493395</wp:posOffset>
            </wp:positionV>
            <wp:extent cx="7257415"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sectPr>
          <w:pgSz w:w="11900" w:h="16838" w:orient="portrait"/>
          <w:cols w:equalWidth="0" w:num="1">
            <w:col w:w="9019"/>
          </w:cols>
          <w:pgMar w:left="1440" w:top="1182" w:right="1440" w:bottom="986" w:gutter="0" w:footer="0" w:header="0"/>
          <w:type w:val="continuous"/>
        </w:sectPr>
      </w:pPr>
    </w:p>
    <w:bookmarkStart w:id="3" w:name="page4"/>
    <w:bookmarkEnd w:id="3"/>
    <w:p>
      <w:pPr>
        <w:ind w:left="20"/>
        <w:spacing w:after="0"/>
        <w:rPr>
          <w:sz w:val="20"/>
          <w:szCs w:val="20"/>
          <w:color w:val="auto"/>
        </w:rPr>
      </w:pPr>
      <w:r>
        <w:rPr>
          <w:rFonts w:ascii="Arial" w:cs="Arial" w:eastAsia="Arial" w:hAnsi="Arial"/>
          <w:sz w:val="29"/>
          <w:szCs w:val="29"/>
          <w:b w:val="1"/>
          <w:bCs w:val="1"/>
          <w:color w:val="FFFFFF"/>
        </w:rPr>
        <w:t>3rd Largest Pure Play Specialty Foundry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-185420</wp:posOffset>
            </wp:positionV>
            <wp:extent cx="5887085" cy="4415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7085" cy="44157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2200" w:type="dxa"/>
        <w:tblCellMar>
          <w:top w:w="0" w:type="dxa"/>
          <w:left w:w="0" w:type="dxa"/>
          <w:bottom w:w="0" w:type="dxa"/>
          <w:right w:w="0" w:type="dxa"/>
        </w:tblCellMar>
      </w:tblPr>
      <w:tr>
        <w:trPr>
          <w:trHeight w:val="256"/>
        </w:trPr>
        <w:tc>
          <w:tcPr>
            <w:tcW w:w="1820" w:type="dxa"/>
            <w:vAlign w:val="bottom"/>
          </w:tcPr>
          <w:p>
            <w:pPr>
              <w:spacing w:after="0"/>
              <w:rPr>
                <w:sz w:val="20"/>
                <w:szCs w:val="20"/>
                <w:color w:val="auto"/>
              </w:rPr>
            </w:pPr>
            <w:r>
              <w:rPr>
                <w:rFonts w:ascii="Arial" w:cs="Arial" w:eastAsia="Arial" w:hAnsi="Arial"/>
                <w:sz w:val="19"/>
                <w:szCs w:val="19"/>
                <w:b w:val="1"/>
                <w:bCs w:val="1"/>
                <w:color w:val="FFFFFF"/>
              </w:rPr>
              <w:t>Company</w:t>
            </w:r>
          </w:p>
        </w:tc>
        <w:tc>
          <w:tcPr>
            <w:tcW w:w="2100" w:type="dxa"/>
            <w:vAlign w:val="bottom"/>
          </w:tcPr>
          <w:p>
            <w:pPr>
              <w:jc w:val="right"/>
              <w:ind w:right="364"/>
              <w:spacing w:after="0"/>
              <w:rPr>
                <w:sz w:val="20"/>
                <w:szCs w:val="20"/>
                <w:color w:val="auto"/>
              </w:rPr>
            </w:pPr>
            <w:r>
              <w:rPr>
                <w:rFonts w:ascii="Arial" w:cs="Arial" w:eastAsia="Arial" w:hAnsi="Arial"/>
                <w:sz w:val="19"/>
                <w:szCs w:val="19"/>
                <w:b w:val="1"/>
                <w:bCs w:val="1"/>
                <w:color w:val="FFFFFF"/>
              </w:rPr>
              <w:t>2007 Sales ($M)</w:t>
            </w:r>
          </w:p>
        </w:tc>
        <w:tc>
          <w:tcPr>
            <w:tcW w:w="2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1820" w:type="dxa"/>
            <w:vAlign w:val="bottom"/>
          </w:tcPr>
          <w:p>
            <w:pPr>
              <w:jc w:val="center"/>
              <w:ind w:left="104"/>
              <w:spacing w:after="0"/>
              <w:rPr>
                <w:sz w:val="20"/>
                <w:szCs w:val="20"/>
                <w:color w:val="auto"/>
              </w:rPr>
            </w:pPr>
            <w:r>
              <w:rPr>
                <w:rFonts w:ascii="Arial" w:cs="Arial" w:eastAsia="Arial" w:hAnsi="Arial"/>
                <w:sz w:val="19"/>
                <w:szCs w:val="19"/>
                <w:color w:val="auto"/>
                <w:w w:val="99"/>
              </w:rPr>
              <w:t>Dongbu</w:t>
            </w:r>
          </w:p>
        </w:tc>
        <w:tc>
          <w:tcPr>
            <w:tcW w:w="2100" w:type="dxa"/>
            <w:vAlign w:val="bottom"/>
          </w:tcPr>
          <w:p>
            <w:pPr>
              <w:jc w:val="right"/>
              <w:ind w:right="444"/>
              <w:spacing w:after="0"/>
              <w:rPr>
                <w:sz w:val="20"/>
                <w:szCs w:val="20"/>
                <w:color w:val="auto"/>
              </w:rPr>
            </w:pPr>
            <w:r>
              <w:rPr>
                <w:rFonts w:ascii="Arial" w:cs="Arial" w:eastAsia="Arial" w:hAnsi="Arial"/>
                <w:sz w:val="19"/>
                <w:szCs w:val="19"/>
                <w:color w:val="auto"/>
              </w:rPr>
              <w:t>$510</w:t>
            </w: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20" w:type="dxa"/>
            <w:vAlign w:val="bottom"/>
          </w:tcPr>
          <w:p>
            <w:pPr>
              <w:jc w:val="center"/>
              <w:ind w:left="104"/>
              <w:spacing w:after="0"/>
              <w:rPr>
                <w:sz w:val="20"/>
                <w:szCs w:val="20"/>
                <w:color w:val="auto"/>
              </w:rPr>
            </w:pPr>
            <w:r>
              <w:rPr>
                <w:rFonts w:ascii="Arial" w:cs="Arial" w:eastAsia="Arial" w:hAnsi="Arial"/>
                <w:sz w:val="19"/>
                <w:szCs w:val="19"/>
                <w:color w:val="auto"/>
                <w:w w:val="99"/>
              </w:rPr>
              <w:t>Vanguard</w:t>
            </w:r>
          </w:p>
        </w:tc>
        <w:tc>
          <w:tcPr>
            <w:tcW w:w="2100" w:type="dxa"/>
            <w:vAlign w:val="bottom"/>
          </w:tcPr>
          <w:p>
            <w:pPr>
              <w:jc w:val="right"/>
              <w:ind w:right="444"/>
              <w:spacing w:after="0"/>
              <w:rPr>
                <w:sz w:val="20"/>
                <w:szCs w:val="20"/>
                <w:color w:val="auto"/>
              </w:rPr>
            </w:pPr>
            <w:r>
              <w:rPr>
                <w:rFonts w:ascii="Arial" w:cs="Arial" w:eastAsia="Arial" w:hAnsi="Arial"/>
                <w:sz w:val="19"/>
                <w:szCs w:val="19"/>
                <w:color w:val="auto"/>
              </w:rPr>
              <w:t>$486</w:t>
            </w: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820" w:type="dxa"/>
            <w:vAlign w:val="bottom"/>
          </w:tcPr>
          <w:p>
            <w:pPr>
              <w:spacing w:after="0"/>
              <w:rPr>
                <w:sz w:val="24"/>
                <w:szCs w:val="24"/>
                <w:color w:val="auto"/>
              </w:rPr>
            </w:pPr>
          </w:p>
        </w:tc>
        <w:tc>
          <w:tcPr>
            <w:tcW w:w="2100" w:type="dxa"/>
            <w:vAlign w:val="bottom"/>
          </w:tcPr>
          <w:p>
            <w:pPr>
              <w:jc w:val="right"/>
              <w:ind w:right="444"/>
              <w:spacing w:after="0"/>
              <w:rPr>
                <w:sz w:val="20"/>
                <w:szCs w:val="20"/>
                <w:color w:val="auto"/>
              </w:rPr>
            </w:pPr>
            <w:r>
              <w:rPr>
                <w:rFonts w:ascii="Arial" w:cs="Arial" w:eastAsia="Arial" w:hAnsi="Arial"/>
                <w:sz w:val="19"/>
                <w:szCs w:val="19"/>
                <w:b w:val="1"/>
                <w:bCs w:val="1"/>
                <w:color w:val="auto"/>
              </w:rPr>
              <w:t>$438</w:t>
            </w: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20" w:type="dxa"/>
            <w:vAlign w:val="bottom"/>
          </w:tcPr>
          <w:p>
            <w:pPr>
              <w:jc w:val="center"/>
              <w:ind w:left="104"/>
              <w:spacing w:after="0"/>
              <w:rPr>
                <w:sz w:val="20"/>
                <w:szCs w:val="20"/>
                <w:color w:val="auto"/>
              </w:rPr>
            </w:pPr>
            <w:r>
              <w:rPr>
                <w:rFonts w:ascii="Arial" w:cs="Arial" w:eastAsia="Arial" w:hAnsi="Arial"/>
                <w:sz w:val="19"/>
                <w:szCs w:val="19"/>
                <w:color w:val="auto"/>
              </w:rPr>
              <w:t>X-Fab</w:t>
            </w:r>
          </w:p>
        </w:tc>
        <w:tc>
          <w:tcPr>
            <w:tcW w:w="2100" w:type="dxa"/>
            <w:vAlign w:val="bottom"/>
          </w:tcPr>
          <w:p>
            <w:pPr>
              <w:jc w:val="right"/>
              <w:ind w:right="444"/>
              <w:spacing w:after="0"/>
              <w:rPr>
                <w:sz w:val="20"/>
                <w:szCs w:val="20"/>
                <w:color w:val="auto"/>
              </w:rPr>
            </w:pPr>
            <w:r>
              <w:rPr>
                <w:rFonts w:ascii="Arial" w:cs="Arial" w:eastAsia="Arial" w:hAnsi="Arial"/>
                <w:sz w:val="19"/>
                <w:szCs w:val="19"/>
                <w:color w:val="auto"/>
              </w:rPr>
              <w:t>$410</w:t>
            </w: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20" w:type="dxa"/>
            <w:vAlign w:val="bottom"/>
          </w:tcPr>
          <w:p>
            <w:pPr>
              <w:jc w:val="center"/>
              <w:ind w:left="104"/>
              <w:spacing w:after="0"/>
              <w:rPr>
                <w:sz w:val="20"/>
                <w:szCs w:val="20"/>
                <w:color w:val="auto"/>
              </w:rPr>
            </w:pPr>
            <w:r>
              <w:rPr>
                <w:rFonts w:ascii="Arial" w:cs="Arial" w:eastAsia="Arial" w:hAnsi="Arial"/>
                <w:sz w:val="19"/>
                <w:szCs w:val="19"/>
                <w:color w:val="auto"/>
                <w:w w:val="98"/>
              </w:rPr>
              <w:t>SSMC</w:t>
            </w:r>
          </w:p>
        </w:tc>
        <w:tc>
          <w:tcPr>
            <w:tcW w:w="2100" w:type="dxa"/>
            <w:vAlign w:val="bottom"/>
          </w:tcPr>
          <w:p>
            <w:pPr>
              <w:jc w:val="right"/>
              <w:ind w:right="444"/>
              <w:spacing w:after="0"/>
              <w:rPr>
                <w:sz w:val="20"/>
                <w:szCs w:val="20"/>
                <w:color w:val="auto"/>
              </w:rPr>
            </w:pPr>
            <w:r>
              <w:rPr>
                <w:rFonts w:ascii="Arial" w:cs="Arial" w:eastAsia="Arial" w:hAnsi="Arial"/>
                <w:sz w:val="19"/>
                <w:szCs w:val="19"/>
                <w:color w:val="auto"/>
              </w:rPr>
              <w:t>$350</w:t>
            </w: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20" w:type="dxa"/>
            <w:vAlign w:val="bottom"/>
          </w:tcPr>
          <w:p>
            <w:pPr>
              <w:jc w:val="center"/>
              <w:ind w:left="104"/>
              <w:spacing w:after="0"/>
              <w:rPr>
                <w:sz w:val="20"/>
                <w:szCs w:val="20"/>
                <w:color w:val="auto"/>
              </w:rPr>
            </w:pPr>
            <w:r>
              <w:rPr>
                <w:rFonts w:ascii="Arial" w:cs="Arial" w:eastAsia="Arial" w:hAnsi="Arial"/>
                <w:sz w:val="19"/>
                <w:szCs w:val="19"/>
                <w:color w:val="auto"/>
              </w:rPr>
              <w:t>HHNEC</w:t>
            </w:r>
          </w:p>
        </w:tc>
        <w:tc>
          <w:tcPr>
            <w:tcW w:w="2100" w:type="dxa"/>
            <w:vAlign w:val="bottom"/>
          </w:tcPr>
          <w:p>
            <w:pPr>
              <w:jc w:val="right"/>
              <w:ind w:right="444"/>
              <w:spacing w:after="0"/>
              <w:rPr>
                <w:sz w:val="20"/>
                <w:szCs w:val="20"/>
                <w:color w:val="auto"/>
              </w:rPr>
            </w:pPr>
            <w:r>
              <w:rPr>
                <w:rFonts w:ascii="Arial" w:cs="Arial" w:eastAsia="Arial" w:hAnsi="Arial"/>
                <w:sz w:val="19"/>
                <w:szCs w:val="19"/>
                <w:color w:val="auto"/>
              </w:rPr>
              <w:t>$335</w:t>
            </w: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20" w:type="dxa"/>
            <w:vAlign w:val="bottom"/>
          </w:tcPr>
          <w:p>
            <w:pPr>
              <w:jc w:val="center"/>
              <w:ind w:left="104"/>
              <w:spacing w:after="0"/>
              <w:rPr>
                <w:sz w:val="20"/>
                <w:szCs w:val="20"/>
                <w:color w:val="auto"/>
              </w:rPr>
            </w:pPr>
            <w:r>
              <w:rPr>
                <w:rFonts w:ascii="Arial" w:cs="Arial" w:eastAsia="Arial" w:hAnsi="Arial"/>
                <w:sz w:val="19"/>
                <w:szCs w:val="19"/>
                <w:color w:val="auto"/>
              </w:rPr>
              <w:t>He Jian</w:t>
            </w:r>
          </w:p>
        </w:tc>
        <w:tc>
          <w:tcPr>
            <w:tcW w:w="2100" w:type="dxa"/>
            <w:vAlign w:val="bottom"/>
          </w:tcPr>
          <w:p>
            <w:pPr>
              <w:jc w:val="right"/>
              <w:ind w:right="444"/>
              <w:spacing w:after="0"/>
              <w:rPr>
                <w:sz w:val="20"/>
                <w:szCs w:val="20"/>
                <w:color w:val="auto"/>
              </w:rPr>
            </w:pPr>
            <w:r>
              <w:rPr>
                <w:rFonts w:ascii="Arial" w:cs="Arial" w:eastAsia="Arial" w:hAnsi="Arial"/>
                <w:sz w:val="19"/>
                <w:szCs w:val="19"/>
                <w:color w:val="auto"/>
              </w:rPr>
              <w:t>$330</w:t>
            </w: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20" w:type="dxa"/>
            <w:vAlign w:val="bottom"/>
          </w:tcPr>
          <w:p>
            <w:pPr>
              <w:jc w:val="center"/>
              <w:ind w:left="104"/>
              <w:spacing w:after="0"/>
              <w:rPr>
                <w:sz w:val="20"/>
                <w:szCs w:val="20"/>
                <w:color w:val="auto"/>
              </w:rPr>
            </w:pPr>
            <w:r>
              <w:rPr>
                <w:rFonts w:ascii="Arial" w:cs="Arial" w:eastAsia="Arial" w:hAnsi="Arial"/>
                <w:sz w:val="19"/>
                <w:szCs w:val="19"/>
                <w:color w:val="auto"/>
              </w:rPr>
              <w:t>Grace</w:t>
            </w:r>
          </w:p>
        </w:tc>
        <w:tc>
          <w:tcPr>
            <w:tcW w:w="2100" w:type="dxa"/>
            <w:vAlign w:val="bottom"/>
          </w:tcPr>
          <w:p>
            <w:pPr>
              <w:jc w:val="right"/>
              <w:ind w:right="444"/>
              <w:spacing w:after="0"/>
              <w:rPr>
                <w:sz w:val="20"/>
                <w:szCs w:val="20"/>
                <w:color w:val="auto"/>
              </w:rPr>
            </w:pPr>
            <w:r>
              <w:rPr>
                <w:rFonts w:ascii="Arial" w:cs="Arial" w:eastAsia="Arial" w:hAnsi="Arial"/>
                <w:sz w:val="19"/>
                <w:szCs w:val="19"/>
                <w:color w:val="auto"/>
              </w:rPr>
              <w:t>$214</w:t>
            </w: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20" w:type="dxa"/>
            <w:vAlign w:val="bottom"/>
          </w:tcPr>
          <w:p>
            <w:pPr>
              <w:jc w:val="center"/>
              <w:ind w:left="104"/>
              <w:spacing w:after="0"/>
              <w:rPr>
                <w:sz w:val="20"/>
                <w:szCs w:val="20"/>
                <w:color w:val="auto"/>
              </w:rPr>
            </w:pPr>
            <w:r>
              <w:rPr>
                <w:rFonts w:ascii="Arial" w:cs="Arial" w:eastAsia="Arial" w:hAnsi="Arial"/>
                <w:sz w:val="19"/>
                <w:szCs w:val="19"/>
                <w:color w:val="auto"/>
              </w:rPr>
              <w:t>Silterra</w:t>
            </w:r>
          </w:p>
        </w:tc>
        <w:tc>
          <w:tcPr>
            <w:tcW w:w="2100" w:type="dxa"/>
            <w:vAlign w:val="bottom"/>
          </w:tcPr>
          <w:p>
            <w:pPr>
              <w:jc w:val="right"/>
              <w:ind w:right="444"/>
              <w:spacing w:after="0"/>
              <w:rPr>
                <w:sz w:val="20"/>
                <w:szCs w:val="20"/>
                <w:color w:val="auto"/>
              </w:rPr>
            </w:pPr>
            <w:r>
              <w:rPr>
                <w:rFonts w:ascii="Arial" w:cs="Arial" w:eastAsia="Arial" w:hAnsi="Arial"/>
                <w:sz w:val="19"/>
                <w:szCs w:val="19"/>
                <w:color w:val="auto"/>
              </w:rPr>
              <w:t>$185</w:t>
            </w: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20" w:type="dxa"/>
            <w:vAlign w:val="bottom"/>
          </w:tcPr>
          <w:p>
            <w:pPr>
              <w:jc w:val="center"/>
              <w:ind w:left="104"/>
              <w:spacing w:after="0"/>
              <w:rPr>
                <w:sz w:val="20"/>
                <w:szCs w:val="20"/>
                <w:color w:val="auto"/>
              </w:rPr>
            </w:pPr>
            <w:r>
              <w:rPr>
                <w:rFonts w:ascii="Arial" w:cs="Arial" w:eastAsia="Arial" w:hAnsi="Arial"/>
                <w:sz w:val="19"/>
                <w:szCs w:val="19"/>
                <w:color w:val="auto"/>
                <w:w w:val="98"/>
              </w:rPr>
              <w:t>ASMC</w:t>
            </w:r>
          </w:p>
        </w:tc>
        <w:tc>
          <w:tcPr>
            <w:tcW w:w="2100" w:type="dxa"/>
            <w:vAlign w:val="bottom"/>
          </w:tcPr>
          <w:p>
            <w:pPr>
              <w:jc w:val="right"/>
              <w:ind w:right="444"/>
              <w:spacing w:after="0"/>
              <w:rPr>
                <w:sz w:val="20"/>
                <w:szCs w:val="20"/>
                <w:color w:val="auto"/>
              </w:rPr>
            </w:pPr>
            <w:r>
              <w:rPr>
                <w:rFonts w:ascii="Arial" w:cs="Arial" w:eastAsia="Arial" w:hAnsi="Arial"/>
                <w:sz w:val="19"/>
                <w:szCs w:val="19"/>
                <w:color w:val="auto"/>
              </w:rPr>
              <w:t>$170</w:t>
            </w: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820" w:type="dxa"/>
            <w:vAlign w:val="bottom"/>
          </w:tcPr>
          <w:p>
            <w:pPr>
              <w:jc w:val="center"/>
              <w:ind w:left="104"/>
              <w:spacing w:after="0"/>
              <w:rPr>
                <w:sz w:val="20"/>
                <w:szCs w:val="20"/>
                <w:color w:val="auto"/>
              </w:rPr>
            </w:pPr>
            <w:r>
              <w:rPr>
                <w:rFonts w:ascii="Arial" w:cs="Arial" w:eastAsia="Arial" w:hAnsi="Arial"/>
                <w:sz w:val="19"/>
                <w:szCs w:val="19"/>
                <w:color w:val="auto"/>
              </w:rPr>
              <w:t>Mosel Vitelics</w:t>
            </w:r>
          </w:p>
        </w:tc>
        <w:tc>
          <w:tcPr>
            <w:tcW w:w="2100" w:type="dxa"/>
            <w:vAlign w:val="bottom"/>
          </w:tcPr>
          <w:p>
            <w:pPr>
              <w:jc w:val="right"/>
              <w:ind w:right="444"/>
              <w:spacing w:after="0"/>
              <w:rPr>
                <w:sz w:val="20"/>
                <w:szCs w:val="20"/>
                <w:color w:val="auto"/>
              </w:rPr>
            </w:pPr>
            <w:r>
              <w:rPr>
                <w:rFonts w:ascii="Arial" w:cs="Arial" w:eastAsia="Arial" w:hAnsi="Arial"/>
                <w:sz w:val="19"/>
                <w:szCs w:val="19"/>
                <w:color w:val="auto"/>
              </w:rPr>
              <w:t>$157</w:t>
            </w: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20" w:type="dxa"/>
            <w:vAlign w:val="bottom"/>
          </w:tcPr>
          <w:p>
            <w:pPr>
              <w:jc w:val="center"/>
              <w:ind w:left="104"/>
              <w:spacing w:after="0"/>
              <w:rPr>
                <w:sz w:val="20"/>
                <w:szCs w:val="20"/>
                <w:color w:val="auto"/>
              </w:rPr>
            </w:pPr>
            <w:r>
              <w:rPr>
                <w:rFonts w:ascii="Arial" w:cs="Arial" w:eastAsia="Arial" w:hAnsi="Arial"/>
                <w:sz w:val="19"/>
                <w:szCs w:val="19"/>
                <w:color w:val="auto"/>
              </w:rPr>
              <w:t>CSMC</w:t>
            </w:r>
          </w:p>
        </w:tc>
        <w:tc>
          <w:tcPr>
            <w:tcW w:w="2100" w:type="dxa"/>
            <w:vAlign w:val="bottom"/>
          </w:tcPr>
          <w:p>
            <w:pPr>
              <w:jc w:val="right"/>
              <w:ind w:right="444"/>
              <w:spacing w:after="0"/>
              <w:rPr>
                <w:sz w:val="20"/>
                <w:szCs w:val="20"/>
                <w:color w:val="auto"/>
              </w:rPr>
            </w:pPr>
            <w:r>
              <w:rPr>
                <w:rFonts w:ascii="Arial" w:cs="Arial" w:eastAsia="Arial" w:hAnsi="Arial"/>
                <w:sz w:val="19"/>
                <w:szCs w:val="19"/>
                <w:color w:val="auto"/>
              </w:rPr>
              <w:t>$155</w:t>
            </w:r>
          </w:p>
        </w:tc>
        <w:tc>
          <w:tcPr>
            <w:tcW w:w="2400" w:type="dxa"/>
            <w:vAlign w:val="bottom"/>
            <w:vMerge w:val="restart"/>
          </w:tcPr>
          <w:p>
            <w:pPr>
              <w:ind w:left="460"/>
              <w:spacing w:after="0"/>
              <w:rPr>
                <w:sz w:val="20"/>
                <w:szCs w:val="20"/>
                <w:color w:val="auto"/>
              </w:rPr>
            </w:pPr>
            <w:r>
              <w:rPr>
                <w:rFonts w:ascii="Arial" w:cs="Arial" w:eastAsia="Arial" w:hAnsi="Arial"/>
                <w:sz w:val="14"/>
                <w:szCs w:val="14"/>
                <w:color w:val="auto"/>
              </w:rPr>
              <w:t>Tower / Jazz is Pro Forma</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8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40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11"/>
        </w:trPr>
        <w:tc>
          <w:tcPr>
            <w:tcW w:w="18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400" w:type="dxa"/>
            <w:vAlign w:val="bottom"/>
            <w:vMerge w:val="restart"/>
          </w:tcPr>
          <w:p>
            <w:pPr>
              <w:ind w:left="460"/>
              <w:spacing w:after="0"/>
              <w:rPr>
                <w:sz w:val="20"/>
                <w:szCs w:val="20"/>
                <w:color w:val="auto"/>
              </w:rPr>
            </w:pPr>
            <w:r>
              <w:rPr>
                <w:rFonts w:ascii="Arial" w:cs="Arial" w:eastAsia="Arial" w:hAnsi="Arial"/>
                <w:sz w:val="14"/>
                <w:szCs w:val="14"/>
                <w:color w:val="auto"/>
              </w:rPr>
              <w:t>Source: IC Insights 5/2008</w:t>
            </w:r>
          </w:p>
        </w:tc>
        <w:tc>
          <w:tcPr>
            <w:tcW w:w="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8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436880</wp:posOffset>
            </wp:positionV>
            <wp:extent cx="7257415" cy="4646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4646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
        <w:spacing w:after="0"/>
        <w:rPr>
          <w:sz w:val="20"/>
          <w:szCs w:val="20"/>
          <w:color w:val="auto"/>
        </w:rPr>
      </w:pPr>
      <w:r>
        <w:rPr>
          <w:rFonts w:ascii="Arial" w:cs="Arial" w:eastAsia="Arial" w:hAnsi="Arial"/>
          <w:sz w:val="29"/>
          <w:szCs w:val="29"/>
          <w:b w:val="1"/>
          <w:bCs w:val="1"/>
          <w:color w:val="FFFFFF"/>
        </w:rPr>
        <w:t>Creating the Leading Specialty Foundry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0"/>
        <w:spacing w:after="0"/>
        <w:rPr>
          <w:sz w:val="20"/>
          <w:szCs w:val="20"/>
          <w:color w:val="auto"/>
        </w:rPr>
      </w:pPr>
      <w:r>
        <w:rPr>
          <w:rFonts w:ascii="Arial" w:cs="Arial" w:eastAsia="Arial" w:hAnsi="Arial"/>
          <w:sz w:val="19"/>
          <w:szCs w:val="19"/>
          <w:b w:val="1"/>
          <w:bCs w:val="1"/>
          <w:color w:val="C0C0C0"/>
        </w:rPr>
        <w:t>Increased Capacity and Scale to Attract Larger Customers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C0C0C0"/>
        </w:rPr>
        <w:t>Global Presence Improves Geographic Reach and Distribution</w:t>
      </w:r>
    </w:p>
    <w:p>
      <w:pPr>
        <w:spacing w:after="0" w:line="200" w:lineRule="exact"/>
        <w:rPr>
          <w:sz w:val="20"/>
          <w:szCs w:val="20"/>
          <w:color w:val="auto"/>
        </w:rPr>
      </w:pPr>
    </w:p>
    <w:p>
      <w:pPr>
        <w:spacing w:after="0" w:line="316" w:lineRule="exact"/>
        <w:rPr>
          <w:sz w:val="20"/>
          <w:szCs w:val="20"/>
          <w:color w:val="auto"/>
        </w:rPr>
      </w:pPr>
    </w:p>
    <w:p>
      <w:pPr>
        <w:jc w:val="center"/>
        <w:ind w:right="-300"/>
        <w:spacing w:after="0"/>
        <w:rPr>
          <w:sz w:val="20"/>
          <w:szCs w:val="20"/>
          <w:color w:val="auto"/>
        </w:rPr>
      </w:pPr>
      <w:r>
        <w:rPr>
          <w:rFonts w:ascii="Arial" w:cs="Arial" w:eastAsia="Arial" w:hAnsi="Arial"/>
          <w:sz w:val="19"/>
          <w:szCs w:val="19"/>
          <w:b w:val="1"/>
          <w:bCs w:val="1"/>
          <w:color w:val="053658"/>
        </w:rPr>
        <w:t>Leadership In Specialty Process Technologies:</w:t>
      </w:r>
    </w:p>
    <w:p>
      <w:pPr>
        <w:spacing w:after="0" w:line="103"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053658"/>
        </w:rPr>
        <w:t>CMOS Image Sensor, SiGe, Power Mgmt, NVM, RF-CMOS, BCD</w:t>
      </w:r>
    </w:p>
    <w:p>
      <w:pPr>
        <w:spacing w:after="0" w:line="200" w:lineRule="exact"/>
        <w:rPr>
          <w:sz w:val="20"/>
          <w:szCs w:val="20"/>
          <w:color w:val="auto"/>
        </w:rPr>
      </w:pPr>
    </w:p>
    <w:p>
      <w:pPr>
        <w:spacing w:after="0" w:line="238" w:lineRule="exact"/>
        <w:rPr>
          <w:sz w:val="20"/>
          <w:szCs w:val="20"/>
          <w:color w:val="auto"/>
        </w:rPr>
      </w:pPr>
    </w:p>
    <w:p>
      <w:pPr>
        <w:ind w:left="1820"/>
        <w:spacing w:after="0"/>
        <w:rPr>
          <w:sz w:val="20"/>
          <w:szCs w:val="20"/>
          <w:color w:val="auto"/>
        </w:rPr>
      </w:pPr>
      <w:r>
        <w:rPr>
          <w:rFonts w:ascii="Arial" w:cs="Arial" w:eastAsia="Arial" w:hAnsi="Arial"/>
          <w:sz w:val="19"/>
          <w:szCs w:val="19"/>
          <w:b w:val="1"/>
          <w:bCs w:val="1"/>
          <w:color w:val="053658"/>
        </w:rPr>
        <w:t>Synergies of Value Add Technologies Enables Higher Margins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480"/>
        <w:spacing w:after="0"/>
        <w:rPr>
          <w:sz w:val="20"/>
          <w:szCs w:val="20"/>
          <w:color w:val="auto"/>
        </w:rPr>
      </w:pPr>
      <w:r>
        <w:rPr>
          <w:rFonts w:ascii="Arial" w:cs="Arial" w:eastAsia="Arial" w:hAnsi="Arial"/>
          <w:sz w:val="19"/>
          <w:szCs w:val="19"/>
          <w:b w:val="1"/>
          <w:bCs w:val="1"/>
          <w:color w:val="C0C0C0"/>
        </w:rPr>
        <w:t>Diverse Customer Base in High Growth Markets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C0C0C0"/>
        </w:rPr>
        <w:t>Significant Synergy Potential Both on Revenues and Expenses</w:t>
      </w:r>
    </w:p>
    <w:p>
      <w:pPr>
        <w:spacing w:after="0" w:line="394" w:lineRule="exact"/>
        <w:rPr>
          <w:sz w:val="20"/>
          <w:szCs w:val="20"/>
          <w:color w:val="auto"/>
        </w:rPr>
      </w:pPr>
    </w:p>
    <w:p>
      <w:pPr>
        <w:jc w:val="right"/>
        <w:ind w:right="1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493395</wp:posOffset>
            </wp:positionV>
            <wp:extent cx="725741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sectPr>
          <w:pgSz w:w="11900" w:h="16838" w:orient="portrait"/>
          <w:cols w:equalWidth="0" w:num="1">
            <w:col w:w="9019"/>
          </w:cols>
          <w:pgMar w:left="1440" w:top="100" w:right="1440" w:bottom="4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60"/>
        <w:spacing w:after="0"/>
        <w:rPr>
          <w:sz w:val="20"/>
          <w:szCs w:val="20"/>
          <w:color w:val="auto"/>
        </w:rPr>
      </w:pPr>
      <w:r>
        <w:rPr>
          <w:rFonts w:ascii="Arial" w:cs="Arial" w:eastAsia="Arial" w:hAnsi="Arial"/>
          <w:sz w:val="28"/>
          <w:szCs w:val="28"/>
          <w:b w:val="1"/>
          <w:bCs w:val="1"/>
          <w:color w:val="FFFFFF"/>
        </w:rPr>
        <w:t>Post Merger Process Portfolio Lineup</w:t>
      </w:r>
    </w:p>
    <w:p>
      <w:pPr>
        <w:sectPr>
          <w:pgSz w:w="11900" w:h="16838" w:orient="portrait"/>
          <w:cols w:equalWidth="0" w:num="1">
            <w:col w:w="9019"/>
          </w:cols>
          <w:pgMar w:left="1440" w:top="100" w:right="1440" w:bottom="438" w:gutter="0" w:footer="0" w:header="0"/>
          <w:type w:val="continuous"/>
        </w:sectPr>
      </w:pPr>
    </w:p>
    <w:bookmarkStart w:id="4" w:name="page5"/>
    <w:bookmarkEnd w:id="4"/>
    <w:tbl>
      <w:tblPr>
        <w:tblLayout w:type="fixed"/>
        <w:tblInd w:w="400" w:type="dxa"/>
        <w:tblCellMar>
          <w:top w:w="0" w:type="dxa"/>
          <w:left w:w="0" w:type="dxa"/>
          <w:bottom w:w="0" w:type="dxa"/>
          <w:right w:w="0" w:type="dxa"/>
        </w:tblCellMar>
      </w:tblPr>
      <w:tr>
        <w:trPr>
          <w:trHeight w:val="287"/>
        </w:trPr>
        <w:tc>
          <w:tcPr>
            <w:tcW w:w="16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22"/>
                <w:szCs w:val="22"/>
                <w:b w:val="1"/>
                <w:bCs w:val="1"/>
                <w:color w:val="auto"/>
                <w:w w:val="98"/>
              </w:rPr>
              <w:t>From Jazz</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w w:val="96"/>
              </w:rPr>
              <w:t>From Tower</w:t>
            </w: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w w:val="97"/>
              </w:rPr>
              <w:t>Tower/Jazz</w:t>
            </w:r>
          </w:p>
        </w:tc>
        <w:tc>
          <w:tcPr>
            <w:tcW w:w="1600" w:type="dxa"/>
            <w:vAlign w:val="bottom"/>
          </w:tcPr>
          <w:p>
            <w:pPr>
              <w:spacing w:after="0"/>
              <w:rPr>
                <w:sz w:val="24"/>
                <w:szCs w:val="24"/>
                <w:color w:val="auto"/>
              </w:rPr>
            </w:pPr>
          </w:p>
        </w:tc>
      </w:tr>
      <w:tr>
        <w:trPr>
          <w:trHeight w:val="383"/>
        </w:trPr>
        <w:tc>
          <w:tcPr>
            <w:tcW w:w="1620" w:type="dxa"/>
            <w:vAlign w:val="bottom"/>
          </w:tcPr>
          <w:p>
            <w:pPr>
              <w:spacing w:after="0"/>
              <w:rPr>
                <w:sz w:val="24"/>
                <w:szCs w:val="24"/>
                <w:color w:val="auto"/>
              </w:rPr>
            </w:pPr>
          </w:p>
        </w:tc>
        <w:tc>
          <w:tcPr>
            <w:tcW w:w="5200" w:type="dxa"/>
            <w:vAlign w:val="bottom"/>
            <w:gridSpan w:val="3"/>
          </w:tcPr>
          <w:p>
            <w:pPr>
              <w:ind w:left="1340"/>
              <w:spacing w:after="0"/>
              <w:rPr>
                <w:sz w:val="20"/>
                <w:szCs w:val="20"/>
                <w:color w:val="auto"/>
              </w:rPr>
            </w:pPr>
            <w:r>
              <w:rPr>
                <w:rFonts w:ascii="Arial" w:cs="Arial" w:eastAsia="Arial" w:hAnsi="Arial"/>
                <w:sz w:val="29"/>
                <w:szCs w:val="29"/>
                <w:b w:val="1"/>
                <w:bCs w:val="1"/>
                <w:color w:val="F40101"/>
              </w:rPr>
              <w:t>Technology Node</w:t>
            </w:r>
          </w:p>
        </w:tc>
        <w:tc>
          <w:tcPr>
            <w:tcW w:w="1600" w:type="dxa"/>
            <w:vAlign w:val="bottom"/>
          </w:tcPr>
          <w:p>
            <w:pPr>
              <w:spacing w:after="0"/>
              <w:rPr>
                <w:sz w:val="24"/>
                <w:szCs w:val="24"/>
                <w:color w:val="auto"/>
              </w:rPr>
            </w:pPr>
          </w:p>
        </w:tc>
      </w:tr>
      <w:tr>
        <w:trPr>
          <w:trHeight w:val="545"/>
        </w:trPr>
        <w:tc>
          <w:tcPr>
            <w:tcW w:w="1620" w:type="dxa"/>
            <w:vAlign w:val="bottom"/>
          </w:tcPr>
          <w:p>
            <w:pPr>
              <w:jc w:val="center"/>
              <w:spacing w:after="0"/>
              <w:rPr>
                <w:sz w:val="20"/>
                <w:szCs w:val="20"/>
                <w:color w:val="auto"/>
              </w:rPr>
            </w:pPr>
            <w:r>
              <w:rPr>
                <w:rFonts w:ascii="Arial" w:cs="Arial" w:eastAsia="Arial" w:hAnsi="Arial"/>
                <w:sz w:val="22"/>
                <w:szCs w:val="22"/>
                <w:b w:val="1"/>
                <w:bCs w:val="1"/>
                <w:color w:val="FFFFFF"/>
                <w:w w:val="98"/>
              </w:rPr>
              <w:t>0.50µm</w:t>
            </w:r>
          </w:p>
        </w:tc>
        <w:tc>
          <w:tcPr>
            <w:tcW w:w="1780" w:type="dxa"/>
            <w:vAlign w:val="bottom"/>
          </w:tcPr>
          <w:p>
            <w:pPr>
              <w:jc w:val="center"/>
              <w:spacing w:after="0"/>
              <w:rPr>
                <w:sz w:val="20"/>
                <w:szCs w:val="20"/>
                <w:color w:val="auto"/>
              </w:rPr>
            </w:pPr>
            <w:r>
              <w:rPr>
                <w:rFonts w:ascii="Arial" w:cs="Arial" w:eastAsia="Arial" w:hAnsi="Arial"/>
                <w:sz w:val="22"/>
                <w:szCs w:val="22"/>
                <w:b w:val="1"/>
                <w:bCs w:val="1"/>
                <w:color w:val="FFFFFF"/>
                <w:w w:val="98"/>
              </w:rPr>
              <w:t>0.35µm</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FFFFFF"/>
                <w:w w:val="98"/>
              </w:rPr>
              <w:t>0.25µm</w:t>
            </w:r>
          </w:p>
        </w:tc>
        <w:tc>
          <w:tcPr>
            <w:tcW w:w="1760" w:type="dxa"/>
            <w:vAlign w:val="bottom"/>
          </w:tcPr>
          <w:p>
            <w:pPr>
              <w:jc w:val="center"/>
              <w:spacing w:after="0"/>
              <w:rPr>
                <w:sz w:val="20"/>
                <w:szCs w:val="20"/>
                <w:color w:val="auto"/>
              </w:rPr>
            </w:pPr>
            <w:r>
              <w:rPr>
                <w:rFonts w:ascii="Arial" w:cs="Arial" w:eastAsia="Arial" w:hAnsi="Arial"/>
                <w:sz w:val="22"/>
                <w:szCs w:val="22"/>
                <w:b w:val="1"/>
                <w:bCs w:val="1"/>
                <w:color w:val="FFFFFF"/>
                <w:w w:val="98"/>
              </w:rPr>
              <w:t>0.18µm</w:t>
            </w:r>
          </w:p>
        </w:tc>
        <w:tc>
          <w:tcPr>
            <w:tcW w:w="1600" w:type="dxa"/>
            <w:vAlign w:val="bottom"/>
          </w:tcPr>
          <w:p>
            <w:pPr>
              <w:jc w:val="right"/>
              <w:spacing w:after="0"/>
              <w:rPr>
                <w:sz w:val="20"/>
                <w:szCs w:val="20"/>
                <w:color w:val="auto"/>
              </w:rPr>
            </w:pPr>
            <w:r>
              <w:rPr>
                <w:rFonts w:ascii="Arial" w:cs="Arial" w:eastAsia="Arial" w:hAnsi="Arial"/>
                <w:sz w:val="22"/>
                <w:szCs w:val="22"/>
                <w:b w:val="1"/>
                <w:bCs w:val="1"/>
                <w:color w:val="FFFFFF"/>
              </w:rPr>
              <w:t>0.16 / 0.13µm</w:t>
            </w:r>
          </w:p>
        </w:tc>
      </w:tr>
      <w:tr>
        <w:trPr>
          <w:trHeight w:val="567"/>
        </w:trPr>
        <w:tc>
          <w:tcPr>
            <w:tcW w:w="16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22"/>
                <w:szCs w:val="22"/>
                <w:b w:val="1"/>
                <w:bCs w:val="1"/>
                <w:color w:val="auto"/>
                <w:w w:val="98"/>
              </w:rPr>
              <w:t>BiCMOS, SiGe</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w w:val="99"/>
              </w:rPr>
              <w:t>SiGe</w:t>
            </w: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w w:val="99"/>
              </w:rPr>
              <w:t>SiGe</w:t>
            </w:r>
          </w:p>
        </w:tc>
        <w:tc>
          <w:tcPr>
            <w:tcW w:w="1600" w:type="dxa"/>
            <w:vAlign w:val="bottom"/>
          </w:tcPr>
          <w:p>
            <w:pPr>
              <w:jc w:val="center"/>
              <w:ind w:left="18"/>
              <w:spacing w:after="0"/>
              <w:rPr>
                <w:sz w:val="20"/>
                <w:szCs w:val="20"/>
                <w:color w:val="auto"/>
              </w:rPr>
            </w:pPr>
            <w:r>
              <w:rPr>
                <w:rFonts w:ascii="Arial" w:cs="Arial" w:eastAsia="Arial" w:hAnsi="Arial"/>
                <w:sz w:val="22"/>
                <w:szCs w:val="22"/>
                <w:b w:val="1"/>
                <w:bCs w:val="1"/>
                <w:color w:val="auto"/>
                <w:w w:val="95"/>
              </w:rPr>
              <w:t>SiGe</w:t>
            </w:r>
          </w:p>
        </w:tc>
      </w:tr>
      <w:tr>
        <w:trPr>
          <w:trHeight w:val="527"/>
        </w:trPr>
        <w:tc>
          <w:tcPr>
            <w:tcW w:w="1620" w:type="dxa"/>
            <w:vAlign w:val="bottom"/>
          </w:tcPr>
          <w:p>
            <w:pPr>
              <w:spacing w:after="0"/>
              <w:rPr>
                <w:sz w:val="20"/>
                <w:szCs w:val="20"/>
                <w:color w:val="auto"/>
              </w:rPr>
            </w:pPr>
            <w:r>
              <w:rPr>
                <w:rFonts w:ascii="Arial" w:cs="Arial" w:eastAsia="Arial" w:hAnsi="Arial"/>
                <w:sz w:val="17"/>
                <w:szCs w:val="17"/>
                <w:b w:val="1"/>
                <w:bCs w:val="1"/>
                <w:color w:val="auto"/>
              </w:rPr>
              <w:t>Power/ BCD (40V)</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BCD (40V)</w:t>
            </w:r>
          </w:p>
        </w:tc>
        <w:tc>
          <w:tcPr>
            <w:tcW w:w="1660" w:type="dxa"/>
            <w:vAlign w:val="bottom"/>
          </w:tcPr>
          <w:p>
            <w:pPr>
              <w:jc w:val="center"/>
              <w:spacing w:after="0"/>
              <w:rPr>
                <w:sz w:val="20"/>
                <w:szCs w:val="20"/>
                <w:color w:val="auto"/>
              </w:rPr>
            </w:pPr>
            <w:r>
              <w:rPr>
                <w:rFonts w:ascii="Arial" w:cs="Arial" w:eastAsia="Arial" w:hAnsi="Arial"/>
                <w:sz w:val="17"/>
                <w:szCs w:val="17"/>
                <w:b w:val="1"/>
                <w:bCs w:val="1"/>
                <w:color w:val="auto"/>
                <w:w w:val="98"/>
              </w:rPr>
              <w:t>BCD (40V)</w:t>
            </w: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w w:val="97"/>
              </w:rPr>
              <w:t>Power/BCD (40V)</w:t>
            </w:r>
          </w:p>
        </w:tc>
        <w:tc>
          <w:tcPr>
            <w:tcW w:w="1600" w:type="dxa"/>
            <w:vAlign w:val="bottom"/>
          </w:tcPr>
          <w:p>
            <w:pPr>
              <w:spacing w:after="0"/>
              <w:rPr>
                <w:sz w:val="24"/>
                <w:szCs w:val="24"/>
                <w:color w:val="auto"/>
              </w:rPr>
            </w:pPr>
          </w:p>
        </w:tc>
      </w:tr>
      <w:tr>
        <w:trPr>
          <w:trHeight w:val="639"/>
        </w:trPr>
        <w:tc>
          <w:tcPr>
            <w:tcW w:w="1620" w:type="dxa"/>
            <w:vAlign w:val="bottom"/>
          </w:tcPr>
          <w:p>
            <w:pPr>
              <w:spacing w:after="0"/>
              <w:rPr>
                <w:sz w:val="24"/>
                <w:szCs w:val="24"/>
                <w:color w:val="auto"/>
              </w:rPr>
            </w:pPr>
          </w:p>
        </w:tc>
        <w:tc>
          <w:tcPr>
            <w:tcW w:w="1780" w:type="dxa"/>
            <w:vAlign w:val="bottom"/>
          </w:tcPr>
          <w:p>
            <w:pPr>
              <w:ind w:left="460"/>
              <w:spacing w:after="0"/>
              <w:rPr>
                <w:sz w:val="20"/>
                <w:szCs w:val="20"/>
                <w:color w:val="auto"/>
              </w:rPr>
            </w:pPr>
            <w:r>
              <w:rPr>
                <w:rFonts w:ascii="Arial" w:cs="Arial" w:eastAsia="Arial" w:hAnsi="Arial"/>
                <w:sz w:val="17"/>
                <w:szCs w:val="17"/>
                <w:b w:val="1"/>
                <w:bCs w:val="1"/>
                <w:color w:val="auto"/>
              </w:rPr>
              <w:t>RF CMOS</w:t>
            </w:r>
          </w:p>
        </w:tc>
        <w:tc>
          <w:tcPr>
            <w:tcW w:w="1660" w:type="dxa"/>
            <w:vAlign w:val="bottom"/>
          </w:tcPr>
          <w:p>
            <w:pPr>
              <w:ind w:left="480"/>
              <w:spacing w:after="0"/>
              <w:rPr>
                <w:sz w:val="20"/>
                <w:szCs w:val="20"/>
                <w:color w:val="auto"/>
              </w:rPr>
            </w:pPr>
            <w:r>
              <w:rPr>
                <w:rFonts w:ascii="Arial" w:cs="Arial" w:eastAsia="Arial" w:hAnsi="Arial"/>
                <w:sz w:val="17"/>
                <w:szCs w:val="17"/>
                <w:b w:val="1"/>
                <w:bCs w:val="1"/>
                <w:color w:val="auto"/>
              </w:rPr>
              <w:t>RF CMOS</w:t>
            </w:r>
          </w:p>
        </w:tc>
        <w:tc>
          <w:tcPr>
            <w:tcW w:w="1760" w:type="dxa"/>
            <w:vAlign w:val="bottom"/>
          </w:tcPr>
          <w:p>
            <w:pPr>
              <w:jc w:val="center"/>
              <w:spacing w:after="0"/>
              <w:rPr>
                <w:sz w:val="20"/>
                <w:szCs w:val="20"/>
                <w:color w:val="auto"/>
              </w:rPr>
            </w:pPr>
            <w:r>
              <w:rPr>
                <w:rFonts w:ascii="Arial" w:cs="Arial" w:eastAsia="Arial" w:hAnsi="Arial"/>
                <w:sz w:val="19"/>
                <w:szCs w:val="19"/>
                <w:b w:val="1"/>
                <w:bCs w:val="1"/>
                <w:color w:val="auto"/>
                <w:w w:val="99"/>
              </w:rPr>
              <w:t>RFCMOS</w:t>
            </w:r>
          </w:p>
        </w:tc>
        <w:tc>
          <w:tcPr>
            <w:tcW w:w="1600" w:type="dxa"/>
            <w:vAlign w:val="bottom"/>
          </w:tcPr>
          <w:p>
            <w:pPr>
              <w:jc w:val="center"/>
              <w:ind w:left="58"/>
              <w:spacing w:after="0"/>
              <w:rPr>
                <w:sz w:val="20"/>
                <w:szCs w:val="20"/>
                <w:color w:val="auto"/>
              </w:rPr>
            </w:pPr>
            <w:r>
              <w:rPr>
                <w:rFonts w:ascii="Arial" w:cs="Arial" w:eastAsia="Arial" w:hAnsi="Arial"/>
                <w:sz w:val="19"/>
                <w:szCs w:val="19"/>
                <w:b w:val="1"/>
                <w:bCs w:val="1"/>
                <w:color w:val="auto"/>
              </w:rPr>
              <w:t>RF CMOS</w:t>
            </w:r>
          </w:p>
        </w:tc>
      </w:tr>
      <w:tr>
        <w:trPr>
          <w:trHeight w:val="414"/>
        </w:trPr>
        <w:tc>
          <w:tcPr>
            <w:tcW w:w="1620" w:type="dxa"/>
            <w:vAlign w:val="bottom"/>
          </w:tcPr>
          <w:p>
            <w:pPr>
              <w:jc w:val="center"/>
              <w:spacing w:after="0"/>
              <w:rPr>
                <w:sz w:val="20"/>
                <w:szCs w:val="20"/>
                <w:color w:val="auto"/>
              </w:rPr>
            </w:pPr>
            <w:r>
              <w:rPr>
                <w:rFonts w:ascii="Arial" w:cs="Arial" w:eastAsia="Arial" w:hAnsi="Arial"/>
                <w:sz w:val="22"/>
                <w:szCs w:val="22"/>
                <w:b w:val="1"/>
                <w:bCs w:val="1"/>
                <w:color w:val="auto"/>
                <w:w w:val="98"/>
              </w:rPr>
              <w:t>Image Sensor</w:t>
            </w:r>
          </w:p>
        </w:tc>
        <w:tc>
          <w:tcPr>
            <w:tcW w:w="1780" w:type="dxa"/>
            <w:vAlign w:val="bottom"/>
          </w:tcPr>
          <w:p>
            <w:pPr>
              <w:jc w:val="center"/>
              <w:spacing w:after="0"/>
              <w:rPr>
                <w:sz w:val="20"/>
                <w:szCs w:val="20"/>
                <w:color w:val="auto"/>
              </w:rPr>
            </w:pPr>
            <w:r>
              <w:rPr>
                <w:rFonts w:ascii="Arial" w:cs="Arial" w:eastAsia="Arial" w:hAnsi="Arial"/>
                <w:sz w:val="22"/>
                <w:szCs w:val="22"/>
                <w:b w:val="1"/>
                <w:bCs w:val="1"/>
                <w:color w:val="auto"/>
                <w:w w:val="97"/>
              </w:rPr>
              <w:t>Image Sensor</w:t>
            </w:r>
          </w:p>
        </w:tc>
        <w:tc>
          <w:tcPr>
            <w:tcW w:w="16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w w:val="98"/>
              </w:rPr>
              <w:t>Image Sensor</w:t>
            </w:r>
          </w:p>
        </w:tc>
        <w:tc>
          <w:tcPr>
            <w:tcW w:w="1600" w:type="dxa"/>
            <w:vAlign w:val="bottom"/>
          </w:tcPr>
          <w:p>
            <w:pPr>
              <w:spacing w:after="0"/>
              <w:rPr>
                <w:sz w:val="24"/>
                <w:szCs w:val="24"/>
                <w:color w:val="auto"/>
              </w:rPr>
            </w:pPr>
          </w:p>
        </w:tc>
      </w:tr>
      <w:tr>
        <w:trPr>
          <w:trHeight w:val="235"/>
        </w:trPr>
        <w:tc>
          <w:tcPr>
            <w:tcW w:w="1620" w:type="dxa"/>
            <w:vAlign w:val="bottom"/>
          </w:tcPr>
          <w:p>
            <w:pPr>
              <w:jc w:val="center"/>
              <w:spacing w:after="0"/>
              <w:rPr>
                <w:sz w:val="20"/>
                <w:szCs w:val="20"/>
                <w:color w:val="auto"/>
              </w:rPr>
            </w:pPr>
            <w:r>
              <w:rPr>
                <w:rFonts w:ascii="Arial" w:cs="Arial" w:eastAsia="Arial" w:hAnsi="Arial"/>
                <w:sz w:val="17"/>
                <w:szCs w:val="17"/>
                <w:b w:val="1"/>
                <w:bCs w:val="1"/>
                <w:color w:val="auto"/>
                <w:w w:val="98"/>
              </w:rPr>
              <w:t>( X-Ray&amp; Visible)</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(X-Ray &amp; Visible)</w:t>
            </w:r>
          </w:p>
        </w:tc>
        <w:tc>
          <w:tcPr>
            <w:tcW w:w="16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w w:val="98"/>
              </w:rPr>
              <w:t>(X-Ray &amp; Visible)</w:t>
            </w:r>
          </w:p>
        </w:tc>
        <w:tc>
          <w:tcPr>
            <w:tcW w:w="1600" w:type="dxa"/>
            <w:vAlign w:val="bottom"/>
          </w:tcPr>
          <w:p>
            <w:pPr>
              <w:spacing w:after="0"/>
              <w:rPr>
                <w:sz w:val="20"/>
                <w:szCs w:val="20"/>
                <w:color w:val="auto"/>
              </w:rPr>
            </w:pPr>
          </w:p>
        </w:tc>
      </w:tr>
      <w:tr>
        <w:trPr>
          <w:trHeight w:val="426"/>
        </w:trPr>
        <w:tc>
          <w:tcPr>
            <w:tcW w:w="1620" w:type="dxa"/>
            <w:vAlign w:val="bottom"/>
          </w:tcPr>
          <w:p>
            <w:pPr>
              <w:jc w:val="center"/>
              <w:spacing w:after="0"/>
              <w:rPr>
                <w:sz w:val="20"/>
                <w:szCs w:val="20"/>
                <w:color w:val="auto"/>
              </w:rPr>
            </w:pPr>
            <w:r>
              <w:rPr>
                <w:rFonts w:ascii="Arial" w:cs="Arial" w:eastAsia="Arial" w:hAnsi="Arial"/>
                <w:sz w:val="22"/>
                <w:szCs w:val="22"/>
                <w:b w:val="1"/>
                <w:bCs w:val="1"/>
                <w:color w:val="auto"/>
                <w:w w:val="98"/>
              </w:rPr>
              <w:t>eNVM</w:t>
            </w: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w w:val="98"/>
              </w:rPr>
              <w:t>eNVM</w:t>
            </w:r>
          </w:p>
        </w:tc>
        <w:tc>
          <w:tcPr>
            <w:tcW w:w="1600" w:type="dxa"/>
            <w:vAlign w:val="bottom"/>
          </w:tcPr>
          <w:p>
            <w:pPr>
              <w:spacing w:after="0"/>
              <w:rPr>
                <w:sz w:val="24"/>
                <w:szCs w:val="24"/>
                <w:color w:val="auto"/>
              </w:rPr>
            </w:pPr>
          </w:p>
        </w:tc>
      </w:tr>
      <w:tr>
        <w:trPr>
          <w:trHeight w:val="490"/>
        </w:trPr>
        <w:tc>
          <w:tcPr>
            <w:tcW w:w="1620" w:type="dxa"/>
            <w:vAlign w:val="bottom"/>
          </w:tcPr>
          <w:p>
            <w:pPr>
              <w:jc w:val="center"/>
              <w:spacing w:after="0"/>
              <w:rPr>
                <w:sz w:val="20"/>
                <w:szCs w:val="20"/>
                <w:color w:val="auto"/>
              </w:rPr>
            </w:pPr>
            <w:r>
              <w:rPr>
                <w:rFonts w:ascii="Arial" w:cs="Arial" w:eastAsia="Arial" w:hAnsi="Arial"/>
                <w:sz w:val="22"/>
                <w:szCs w:val="22"/>
                <w:b w:val="1"/>
                <w:bCs w:val="1"/>
                <w:color w:val="auto"/>
                <w:w w:val="98"/>
              </w:rPr>
              <w:t>Mixed Signal</w:t>
            </w:r>
          </w:p>
        </w:tc>
        <w:tc>
          <w:tcPr>
            <w:tcW w:w="1780" w:type="dxa"/>
            <w:vAlign w:val="bottom"/>
          </w:tcPr>
          <w:p>
            <w:pPr>
              <w:jc w:val="center"/>
              <w:spacing w:after="0"/>
              <w:rPr>
                <w:sz w:val="20"/>
                <w:szCs w:val="20"/>
                <w:color w:val="auto"/>
              </w:rPr>
            </w:pPr>
            <w:r>
              <w:rPr>
                <w:rFonts w:ascii="Arial" w:cs="Arial" w:eastAsia="Arial" w:hAnsi="Arial"/>
                <w:sz w:val="22"/>
                <w:szCs w:val="22"/>
                <w:b w:val="1"/>
                <w:bCs w:val="1"/>
                <w:color w:val="auto"/>
                <w:w w:val="98"/>
              </w:rPr>
              <w:t>Mixed Signal</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w w:val="98"/>
              </w:rPr>
              <w:t>Mixed Signal</w:t>
            </w: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w w:val="99"/>
              </w:rPr>
              <w:t>Mixed Signal</w:t>
            </w:r>
          </w:p>
        </w:tc>
        <w:tc>
          <w:tcPr>
            <w:tcW w:w="1600" w:type="dxa"/>
            <w:vAlign w:val="bottom"/>
          </w:tcPr>
          <w:p>
            <w:pPr>
              <w:jc w:val="center"/>
              <w:ind w:left="18"/>
              <w:spacing w:after="0"/>
              <w:rPr>
                <w:sz w:val="20"/>
                <w:szCs w:val="20"/>
                <w:color w:val="auto"/>
              </w:rPr>
            </w:pPr>
            <w:r>
              <w:rPr>
                <w:rFonts w:ascii="Arial" w:cs="Arial" w:eastAsia="Arial" w:hAnsi="Arial"/>
                <w:sz w:val="22"/>
                <w:szCs w:val="22"/>
                <w:b w:val="1"/>
                <w:bCs w:val="1"/>
                <w:color w:val="auto"/>
                <w:w w:val="98"/>
              </w:rPr>
              <w:t>Mixed Signal</w:t>
            </w:r>
          </w:p>
        </w:tc>
      </w:tr>
      <w:tr>
        <w:trPr>
          <w:trHeight w:val="347"/>
        </w:trPr>
        <w:tc>
          <w:tcPr>
            <w:tcW w:w="1620" w:type="dxa"/>
            <w:vAlign w:val="bottom"/>
          </w:tcPr>
          <w:p>
            <w:pPr>
              <w:jc w:val="center"/>
              <w:spacing w:after="0"/>
              <w:rPr>
                <w:sz w:val="20"/>
                <w:szCs w:val="20"/>
                <w:color w:val="auto"/>
              </w:rPr>
            </w:pPr>
            <w:r>
              <w:rPr>
                <w:rFonts w:ascii="Arial" w:cs="Arial" w:eastAsia="Arial" w:hAnsi="Arial"/>
                <w:sz w:val="22"/>
                <w:szCs w:val="22"/>
                <w:b w:val="1"/>
                <w:bCs w:val="1"/>
                <w:color w:val="auto"/>
                <w:w w:val="97"/>
              </w:rPr>
              <w:t>Digital CMOS</w:t>
            </w:r>
          </w:p>
        </w:tc>
        <w:tc>
          <w:tcPr>
            <w:tcW w:w="1780" w:type="dxa"/>
            <w:vAlign w:val="bottom"/>
          </w:tcPr>
          <w:p>
            <w:pPr>
              <w:jc w:val="center"/>
              <w:spacing w:after="0"/>
              <w:rPr>
                <w:sz w:val="20"/>
                <w:szCs w:val="20"/>
                <w:color w:val="auto"/>
              </w:rPr>
            </w:pPr>
            <w:r>
              <w:rPr>
                <w:rFonts w:ascii="Arial" w:cs="Arial" w:eastAsia="Arial" w:hAnsi="Arial"/>
                <w:sz w:val="22"/>
                <w:szCs w:val="22"/>
                <w:b w:val="1"/>
                <w:bCs w:val="1"/>
                <w:color w:val="auto"/>
                <w:w w:val="97"/>
              </w:rPr>
              <w:t>Digital CMOS</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w w:val="98"/>
              </w:rPr>
              <w:t>Digital CMOS</w:t>
            </w: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w w:val="98"/>
              </w:rPr>
              <w:t>Digital CMOS</w:t>
            </w:r>
          </w:p>
        </w:tc>
        <w:tc>
          <w:tcPr>
            <w:tcW w:w="1600" w:type="dxa"/>
            <w:vAlign w:val="bottom"/>
          </w:tcPr>
          <w:p>
            <w:pPr>
              <w:jc w:val="center"/>
              <w:ind w:left="18"/>
              <w:spacing w:after="0"/>
              <w:rPr>
                <w:sz w:val="20"/>
                <w:szCs w:val="20"/>
                <w:color w:val="auto"/>
              </w:rPr>
            </w:pPr>
            <w:r>
              <w:rPr>
                <w:rFonts w:ascii="Arial" w:cs="Arial" w:eastAsia="Arial" w:hAnsi="Arial"/>
                <w:sz w:val="22"/>
                <w:szCs w:val="22"/>
                <w:b w:val="1"/>
                <w:bCs w:val="1"/>
                <w:color w:val="auto"/>
                <w:w w:val="97"/>
              </w:rPr>
              <w:t>Digital CMOS</w:t>
            </w:r>
          </w:p>
        </w:tc>
      </w:tr>
      <w:tr>
        <w:trPr>
          <w:trHeight w:val="359"/>
        </w:trPr>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-3293745</wp:posOffset>
            </wp:positionV>
            <wp:extent cx="7257415" cy="8430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843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29"/>
          <w:szCs w:val="29"/>
          <w:b w:val="1"/>
          <w:bCs w:val="1"/>
          <w:color w:val="FFFFFF"/>
        </w:rPr>
        <w:t>Creating the Leading Specialty Foundry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0"/>
        <w:spacing w:after="0"/>
        <w:rPr>
          <w:sz w:val="20"/>
          <w:szCs w:val="20"/>
          <w:color w:val="auto"/>
        </w:rPr>
      </w:pPr>
      <w:r>
        <w:rPr>
          <w:rFonts w:ascii="Arial" w:cs="Arial" w:eastAsia="Arial" w:hAnsi="Arial"/>
          <w:sz w:val="19"/>
          <w:szCs w:val="19"/>
          <w:b w:val="1"/>
          <w:bCs w:val="1"/>
          <w:color w:val="808080"/>
        </w:rPr>
        <w:t>Increased Capacity and Scale to Attract Larger Customers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808080"/>
        </w:rPr>
        <w:t>Global Presence Improves Geographic Reach and Distribution</w:t>
      </w:r>
    </w:p>
    <w:p>
      <w:pPr>
        <w:spacing w:after="0" w:line="200" w:lineRule="exact"/>
        <w:rPr>
          <w:sz w:val="20"/>
          <w:szCs w:val="20"/>
          <w:color w:val="auto"/>
        </w:rPr>
      </w:pPr>
    </w:p>
    <w:p>
      <w:pPr>
        <w:spacing w:after="0" w:line="380" w:lineRule="exact"/>
        <w:rPr>
          <w:sz w:val="20"/>
          <w:szCs w:val="20"/>
          <w:color w:val="auto"/>
        </w:rPr>
      </w:pPr>
    </w:p>
    <w:p>
      <w:pPr>
        <w:jc w:val="center"/>
        <w:ind w:right="-300"/>
        <w:spacing w:after="0"/>
        <w:rPr>
          <w:sz w:val="20"/>
          <w:szCs w:val="20"/>
          <w:color w:val="auto"/>
        </w:rPr>
      </w:pPr>
      <w:r>
        <w:rPr>
          <w:rFonts w:ascii="Arial" w:cs="Arial" w:eastAsia="Arial" w:hAnsi="Arial"/>
          <w:sz w:val="19"/>
          <w:szCs w:val="19"/>
          <w:b w:val="1"/>
          <w:bCs w:val="1"/>
          <w:color w:val="808080"/>
        </w:rPr>
        <w:t>Leadership In Specialty Process Technologies:</w:t>
      </w:r>
    </w:p>
    <w:p>
      <w:pPr>
        <w:spacing w:after="0" w:line="38"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808080"/>
        </w:rPr>
        <w:t>CMOS Image Sensor, SiGe, Power Mgmt, NVM, RF-CMOS, BCD</w:t>
      </w:r>
    </w:p>
    <w:p>
      <w:pPr>
        <w:spacing w:after="0" w:line="200" w:lineRule="exact"/>
        <w:rPr>
          <w:sz w:val="20"/>
          <w:szCs w:val="20"/>
          <w:color w:val="auto"/>
        </w:rPr>
      </w:pPr>
    </w:p>
    <w:p>
      <w:pPr>
        <w:spacing w:after="0" w:line="266" w:lineRule="exact"/>
        <w:rPr>
          <w:sz w:val="20"/>
          <w:szCs w:val="20"/>
          <w:color w:val="auto"/>
        </w:rPr>
      </w:pPr>
    </w:p>
    <w:p>
      <w:pPr>
        <w:ind w:left="1820"/>
        <w:spacing w:after="0"/>
        <w:rPr>
          <w:sz w:val="20"/>
          <w:szCs w:val="20"/>
          <w:color w:val="auto"/>
        </w:rPr>
      </w:pPr>
      <w:r>
        <w:rPr>
          <w:rFonts w:ascii="Arial" w:cs="Arial" w:eastAsia="Arial" w:hAnsi="Arial"/>
          <w:sz w:val="19"/>
          <w:szCs w:val="19"/>
          <w:b w:val="1"/>
          <w:bCs w:val="1"/>
          <w:color w:val="808080"/>
        </w:rPr>
        <w:t>Synergies of Value Add Technologies Enables Higher Margins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80"/>
        <w:spacing w:after="0"/>
        <w:rPr>
          <w:sz w:val="20"/>
          <w:szCs w:val="20"/>
          <w:color w:val="auto"/>
        </w:rPr>
      </w:pPr>
      <w:r>
        <w:rPr>
          <w:rFonts w:ascii="Arial" w:cs="Arial" w:eastAsia="Arial" w:hAnsi="Arial"/>
          <w:sz w:val="19"/>
          <w:szCs w:val="19"/>
          <w:b w:val="1"/>
          <w:bCs w:val="1"/>
          <w:color w:val="053658"/>
        </w:rPr>
        <w:t>Diverse Customer Base in High Growth Markets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053658"/>
        </w:rPr>
        <w:t>Significant Synergy Potential Both on Revenues and Expenses</w:t>
      </w:r>
    </w:p>
    <w:p>
      <w:pPr>
        <w:spacing w:after="0" w:line="200" w:lineRule="exact"/>
        <w:rPr>
          <w:sz w:val="20"/>
          <w:szCs w:val="20"/>
          <w:color w:val="auto"/>
        </w:rPr>
      </w:pPr>
    </w:p>
    <w:p>
      <w:pPr>
        <w:spacing w:after="0" w:line="220" w:lineRule="exact"/>
        <w:rPr>
          <w:sz w:val="20"/>
          <w:szCs w:val="20"/>
          <w:color w:val="auto"/>
        </w:rPr>
      </w:pPr>
    </w:p>
    <w:p>
      <w:pPr>
        <w:jc w:val="right"/>
        <w:ind w:right="19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493395</wp:posOffset>
            </wp:positionV>
            <wp:extent cx="725741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0"/>
        <w:spacing w:after="0"/>
        <w:rPr>
          <w:sz w:val="20"/>
          <w:szCs w:val="20"/>
          <w:color w:val="auto"/>
        </w:rPr>
      </w:pPr>
      <w:r>
        <w:rPr>
          <w:rFonts w:ascii="Arial" w:cs="Arial" w:eastAsia="Arial" w:hAnsi="Arial"/>
          <w:sz w:val="29"/>
          <w:szCs w:val="29"/>
          <w:b w:val="1"/>
          <w:bCs w:val="1"/>
          <w:color w:val="FFFFFF"/>
        </w:rPr>
        <w:t>Foundry Revenue Growth Y/Y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180" w:type="dxa"/>
        <w:tblCellMar>
          <w:top w:w="0" w:type="dxa"/>
          <w:left w:w="0" w:type="dxa"/>
          <w:bottom w:w="0" w:type="dxa"/>
          <w:right w:w="0" w:type="dxa"/>
        </w:tblCellMar>
      </w:tblPr>
      <w:tr>
        <w:trPr>
          <w:trHeight w:val="256"/>
        </w:trPr>
        <w:tc>
          <w:tcPr>
            <w:tcW w:w="320" w:type="dxa"/>
            <w:vAlign w:val="bottom"/>
          </w:tcPr>
          <w:p>
            <w:pPr>
              <w:spacing w:after="0"/>
              <w:rPr>
                <w:sz w:val="22"/>
                <w:szCs w:val="22"/>
                <w:color w:val="auto"/>
              </w:rPr>
            </w:pPr>
          </w:p>
        </w:tc>
        <w:tc>
          <w:tcPr>
            <w:tcW w:w="1220" w:type="dxa"/>
            <w:vAlign w:val="bottom"/>
          </w:tcPr>
          <w:p>
            <w:pPr>
              <w:ind w:left="520"/>
              <w:spacing w:after="0"/>
              <w:rPr>
                <w:sz w:val="20"/>
                <w:szCs w:val="20"/>
                <w:color w:val="auto"/>
              </w:rPr>
            </w:pPr>
            <w:r>
              <w:rPr>
                <w:rFonts w:ascii="Arial" w:cs="Arial" w:eastAsia="Arial" w:hAnsi="Arial"/>
                <w:sz w:val="19"/>
                <w:szCs w:val="19"/>
                <w:b w:val="1"/>
                <w:bCs w:val="1"/>
                <w:color w:val="auto"/>
              </w:rPr>
              <w:t>05vs04</w:t>
            </w:r>
          </w:p>
        </w:tc>
        <w:tc>
          <w:tcPr>
            <w:tcW w:w="520" w:type="dxa"/>
            <w:vAlign w:val="bottom"/>
          </w:tcPr>
          <w:p>
            <w:pPr>
              <w:spacing w:after="0"/>
              <w:rPr>
                <w:sz w:val="22"/>
                <w:szCs w:val="22"/>
                <w:color w:val="auto"/>
              </w:rPr>
            </w:pPr>
          </w:p>
        </w:tc>
        <w:tc>
          <w:tcPr>
            <w:tcW w:w="1280" w:type="dxa"/>
            <w:vAlign w:val="bottom"/>
          </w:tcPr>
          <w:p>
            <w:pPr>
              <w:ind w:left="580"/>
              <w:spacing w:after="0"/>
              <w:rPr>
                <w:sz w:val="20"/>
                <w:szCs w:val="20"/>
                <w:color w:val="auto"/>
              </w:rPr>
            </w:pPr>
            <w:r>
              <w:rPr>
                <w:rFonts w:ascii="Arial" w:cs="Arial" w:eastAsia="Arial" w:hAnsi="Arial"/>
                <w:sz w:val="19"/>
                <w:szCs w:val="19"/>
                <w:b w:val="1"/>
                <w:bCs w:val="1"/>
                <w:color w:val="auto"/>
              </w:rPr>
              <w:t>06vs05</w:t>
            </w:r>
          </w:p>
        </w:tc>
        <w:tc>
          <w:tcPr>
            <w:tcW w:w="500" w:type="dxa"/>
            <w:vAlign w:val="bottom"/>
          </w:tcPr>
          <w:p>
            <w:pPr>
              <w:spacing w:after="0"/>
              <w:rPr>
                <w:sz w:val="22"/>
                <w:szCs w:val="22"/>
                <w:color w:val="auto"/>
              </w:rPr>
            </w:pPr>
          </w:p>
        </w:tc>
        <w:tc>
          <w:tcPr>
            <w:tcW w:w="1260" w:type="dxa"/>
            <w:vAlign w:val="bottom"/>
          </w:tcPr>
          <w:p>
            <w:pPr>
              <w:ind w:left="580"/>
              <w:spacing w:after="0"/>
              <w:rPr>
                <w:sz w:val="20"/>
                <w:szCs w:val="20"/>
                <w:color w:val="auto"/>
              </w:rPr>
            </w:pPr>
            <w:r>
              <w:rPr>
                <w:rFonts w:ascii="Arial" w:cs="Arial" w:eastAsia="Arial" w:hAnsi="Arial"/>
                <w:sz w:val="19"/>
                <w:szCs w:val="19"/>
                <w:b w:val="1"/>
                <w:bCs w:val="1"/>
                <w:color w:val="auto"/>
              </w:rPr>
              <w:t>07vs06</w:t>
            </w:r>
          </w:p>
        </w:tc>
        <w:tc>
          <w:tcPr>
            <w:tcW w:w="520" w:type="dxa"/>
            <w:vAlign w:val="bottom"/>
          </w:tcPr>
          <w:p>
            <w:pPr>
              <w:spacing w:after="0"/>
              <w:rPr>
                <w:sz w:val="22"/>
                <w:szCs w:val="22"/>
                <w:color w:val="auto"/>
              </w:rPr>
            </w:pPr>
          </w:p>
        </w:tc>
        <w:tc>
          <w:tcPr>
            <w:tcW w:w="1280" w:type="dxa"/>
            <w:vAlign w:val="bottom"/>
          </w:tcPr>
          <w:p>
            <w:pPr>
              <w:ind w:left="620"/>
              <w:spacing w:after="0"/>
              <w:rPr>
                <w:sz w:val="20"/>
                <w:szCs w:val="20"/>
                <w:color w:val="auto"/>
              </w:rPr>
            </w:pPr>
            <w:r>
              <w:rPr>
                <w:rFonts w:ascii="Arial" w:cs="Arial" w:eastAsia="Arial" w:hAnsi="Arial"/>
                <w:sz w:val="19"/>
                <w:szCs w:val="19"/>
                <w:b w:val="1"/>
                <w:bCs w:val="1"/>
                <w:color w:val="auto"/>
              </w:rPr>
              <w:t>07vs05</w:t>
            </w:r>
          </w:p>
        </w:tc>
        <w:tc>
          <w:tcPr>
            <w:tcW w:w="400" w:type="dxa"/>
            <w:vAlign w:val="bottom"/>
          </w:tcPr>
          <w:p>
            <w:pPr>
              <w:spacing w:after="0"/>
              <w:rPr>
                <w:sz w:val="22"/>
                <w:szCs w:val="22"/>
                <w:color w:val="auto"/>
              </w:rPr>
            </w:pPr>
          </w:p>
        </w:tc>
      </w:tr>
      <w:tr>
        <w:trPr>
          <w:trHeight w:val="216"/>
        </w:trPr>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1</w:t>
            </w:r>
          </w:p>
        </w:tc>
        <w:tc>
          <w:tcPr>
            <w:tcW w:w="1220" w:type="dxa"/>
            <w:vAlign w:val="bottom"/>
          </w:tcPr>
          <w:p>
            <w:pPr>
              <w:jc w:val="center"/>
              <w:ind w:right="123"/>
              <w:spacing w:after="0"/>
              <w:rPr>
                <w:sz w:val="20"/>
                <w:szCs w:val="20"/>
                <w:color w:val="auto"/>
              </w:rPr>
            </w:pPr>
            <w:r>
              <w:rPr>
                <w:rFonts w:ascii="Arial" w:cs="Arial" w:eastAsia="Arial" w:hAnsi="Arial"/>
                <w:sz w:val="14"/>
                <w:szCs w:val="14"/>
                <w:color w:val="auto"/>
              </w:rPr>
              <w:t>Dongbu</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52%</w:t>
            </w:r>
          </w:p>
        </w:tc>
        <w:tc>
          <w:tcPr>
            <w:tcW w:w="128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Tower</w:t>
            </w:r>
          </w:p>
        </w:tc>
        <w:tc>
          <w:tcPr>
            <w:tcW w:w="500" w:type="dxa"/>
            <w:vAlign w:val="bottom"/>
          </w:tcPr>
          <w:p>
            <w:pPr>
              <w:jc w:val="right"/>
              <w:ind w:right="108"/>
              <w:spacing w:after="0"/>
              <w:rPr>
                <w:sz w:val="20"/>
                <w:szCs w:val="20"/>
                <w:color w:val="auto"/>
              </w:rPr>
            </w:pPr>
            <w:r>
              <w:rPr>
                <w:rFonts w:ascii="Arial" w:cs="Arial" w:eastAsia="Arial" w:hAnsi="Arial"/>
                <w:sz w:val="14"/>
                <w:szCs w:val="14"/>
                <w:b w:val="1"/>
                <w:bCs w:val="1"/>
                <w:color w:val="auto"/>
              </w:rPr>
              <w:t>99%</w:t>
            </w:r>
          </w:p>
        </w:tc>
        <w:tc>
          <w:tcPr>
            <w:tcW w:w="1260" w:type="dxa"/>
            <w:vAlign w:val="bottom"/>
          </w:tcPr>
          <w:p>
            <w:pPr>
              <w:jc w:val="center"/>
              <w:ind w:right="43"/>
              <w:spacing w:after="0"/>
              <w:rPr>
                <w:sz w:val="20"/>
                <w:szCs w:val="20"/>
                <w:color w:val="auto"/>
              </w:rPr>
            </w:pPr>
            <w:r>
              <w:rPr>
                <w:rFonts w:ascii="Arial" w:cs="Arial" w:eastAsia="Arial" w:hAnsi="Arial"/>
                <w:sz w:val="14"/>
                <w:szCs w:val="14"/>
                <w:color w:val="auto"/>
                <w:w w:val="99"/>
              </w:rPr>
              <w:t>X-Fab</w:t>
            </w: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41%</w:t>
            </w:r>
          </w:p>
        </w:tc>
        <w:tc>
          <w:tcPr>
            <w:tcW w:w="1280" w:type="dxa"/>
            <w:vAlign w:val="bottom"/>
          </w:tcPr>
          <w:p>
            <w:pPr>
              <w:jc w:val="center"/>
              <w:ind w:right="63"/>
              <w:spacing w:after="0"/>
              <w:rPr>
                <w:sz w:val="20"/>
                <w:szCs w:val="20"/>
                <w:color w:val="auto"/>
              </w:rPr>
            </w:pPr>
            <w:r>
              <w:rPr>
                <w:rFonts w:ascii="Arial" w:cs="Arial" w:eastAsia="Arial" w:hAnsi="Arial"/>
                <w:sz w:val="14"/>
                <w:szCs w:val="14"/>
                <w:b w:val="1"/>
                <w:bCs w:val="1"/>
                <w:color w:val="auto"/>
              </w:rPr>
              <w:t>Tower</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146%</w:t>
            </w:r>
          </w:p>
        </w:tc>
      </w:tr>
      <w:tr>
        <w:trPr>
          <w:trHeight w:val="232"/>
        </w:trPr>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2</w:t>
            </w:r>
          </w:p>
        </w:tc>
        <w:tc>
          <w:tcPr>
            <w:tcW w:w="1220" w:type="dxa"/>
            <w:vAlign w:val="bottom"/>
          </w:tcPr>
          <w:p>
            <w:pPr>
              <w:jc w:val="center"/>
              <w:ind w:right="143"/>
              <w:spacing w:after="0"/>
              <w:rPr>
                <w:sz w:val="20"/>
                <w:szCs w:val="20"/>
                <w:color w:val="auto"/>
              </w:rPr>
            </w:pPr>
            <w:r>
              <w:rPr>
                <w:rFonts w:ascii="Arial" w:cs="Arial" w:eastAsia="Arial" w:hAnsi="Arial"/>
                <w:sz w:val="14"/>
                <w:szCs w:val="14"/>
                <w:color w:val="auto"/>
              </w:rPr>
              <w:t>Others</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38%</w:t>
            </w:r>
          </w:p>
        </w:tc>
        <w:tc>
          <w:tcPr>
            <w:tcW w:w="1280" w:type="dxa"/>
            <w:vAlign w:val="bottom"/>
          </w:tcPr>
          <w:p>
            <w:pPr>
              <w:jc w:val="center"/>
              <w:ind w:right="43"/>
              <w:spacing w:after="0"/>
              <w:rPr>
                <w:sz w:val="20"/>
                <w:szCs w:val="20"/>
                <w:color w:val="auto"/>
              </w:rPr>
            </w:pPr>
            <w:r>
              <w:rPr>
                <w:rFonts w:ascii="Arial" w:cs="Arial" w:eastAsia="Arial" w:hAnsi="Arial"/>
                <w:sz w:val="14"/>
                <w:szCs w:val="14"/>
                <w:color w:val="auto"/>
              </w:rPr>
              <w:t>Grace</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91%</w:t>
            </w:r>
          </w:p>
        </w:tc>
        <w:tc>
          <w:tcPr>
            <w:tcW w:w="1260" w:type="dxa"/>
            <w:vAlign w:val="bottom"/>
          </w:tcPr>
          <w:p>
            <w:pPr>
              <w:jc w:val="center"/>
              <w:ind w:right="43"/>
              <w:spacing w:after="0"/>
              <w:rPr>
                <w:sz w:val="20"/>
                <w:szCs w:val="20"/>
                <w:color w:val="auto"/>
              </w:rPr>
            </w:pPr>
            <w:r>
              <w:rPr>
                <w:rFonts w:ascii="Arial" w:cs="Arial" w:eastAsia="Arial" w:hAnsi="Arial"/>
                <w:sz w:val="14"/>
                <w:szCs w:val="14"/>
                <w:color w:val="auto"/>
              </w:rPr>
              <w:t>CSMC Tech.</w:t>
            </w: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36%</w:t>
            </w:r>
          </w:p>
        </w:tc>
        <w:tc>
          <w:tcPr>
            <w:tcW w:w="1280" w:type="dxa"/>
            <w:vAlign w:val="bottom"/>
          </w:tcPr>
          <w:p>
            <w:pPr>
              <w:jc w:val="center"/>
              <w:ind w:right="83"/>
              <w:spacing w:after="0"/>
              <w:rPr>
                <w:sz w:val="20"/>
                <w:szCs w:val="20"/>
                <w:color w:val="auto"/>
              </w:rPr>
            </w:pPr>
            <w:r>
              <w:rPr>
                <w:rFonts w:ascii="Arial" w:cs="Arial" w:eastAsia="Arial" w:hAnsi="Arial"/>
                <w:sz w:val="14"/>
                <w:szCs w:val="14"/>
                <w:color w:val="auto"/>
              </w:rPr>
              <w:t>Grace</w:t>
            </w:r>
          </w:p>
        </w:tc>
        <w:tc>
          <w:tcPr>
            <w:tcW w:w="400" w:type="dxa"/>
            <w:vAlign w:val="bottom"/>
          </w:tcPr>
          <w:p>
            <w:pPr>
              <w:jc w:val="center"/>
              <w:spacing w:after="0"/>
              <w:rPr>
                <w:sz w:val="20"/>
                <w:szCs w:val="20"/>
                <w:color w:val="auto"/>
              </w:rPr>
            </w:pPr>
            <w:r>
              <w:rPr>
                <w:rFonts w:ascii="Arial" w:cs="Arial" w:eastAsia="Arial" w:hAnsi="Arial"/>
                <w:sz w:val="14"/>
                <w:szCs w:val="14"/>
                <w:color w:val="auto"/>
              </w:rPr>
              <w:t>114%</w:t>
            </w:r>
          </w:p>
        </w:tc>
      </w:tr>
      <w:tr>
        <w:trPr>
          <w:trHeight w:val="219"/>
        </w:trPr>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3</w:t>
            </w:r>
          </w:p>
        </w:tc>
        <w:tc>
          <w:tcPr>
            <w:tcW w:w="1220" w:type="dxa"/>
            <w:vAlign w:val="bottom"/>
          </w:tcPr>
          <w:p>
            <w:pPr>
              <w:jc w:val="center"/>
              <w:ind w:right="143"/>
              <w:spacing w:after="0"/>
              <w:rPr>
                <w:sz w:val="20"/>
                <w:szCs w:val="20"/>
                <w:color w:val="auto"/>
              </w:rPr>
            </w:pPr>
            <w:r>
              <w:rPr>
                <w:rFonts w:ascii="Arial" w:cs="Arial" w:eastAsia="Arial" w:hAnsi="Arial"/>
                <w:sz w:val="14"/>
                <w:szCs w:val="14"/>
                <w:color w:val="auto"/>
              </w:rPr>
              <w:t>SMIC</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1280" w:type="dxa"/>
            <w:vAlign w:val="bottom"/>
          </w:tcPr>
          <w:p>
            <w:pPr>
              <w:jc w:val="center"/>
              <w:ind w:right="43"/>
              <w:spacing w:after="0"/>
              <w:rPr>
                <w:sz w:val="20"/>
                <w:szCs w:val="20"/>
                <w:color w:val="auto"/>
              </w:rPr>
            </w:pPr>
            <w:r>
              <w:rPr>
                <w:rFonts w:ascii="Arial" w:cs="Arial" w:eastAsia="Arial" w:hAnsi="Arial"/>
                <w:sz w:val="14"/>
                <w:szCs w:val="14"/>
                <w:color w:val="auto"/>
                <w:w w:val="98"/>
              </w:rPr>
              <w:t>ASMC</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49%</w:t>
            </w:r>
          </w:p>
        </w:tc>
        <w:tc>
          <w:tcPr>
            <w:tcW w:w="1260" w:type="dxa"/>
            <w:vAlign w:val="bottom"/>
          </w:tcPr>
          <w:p>
            <w:pPr>
              <w:jc w:val="center"/>
              <w:ind w:right="43"/>
              <w:spacing w:after="0"/>
              <w:rPr>
                <w:sz w:val="20"/>
                <w:szCs w:val="20"/>
                <w:color w:val="auto"/>
              </w:rPr>
            </w:pPr>
            <w:r>
              <w:rPr>
                <w:rFonts w:ascii="Arial" w:cs="Arial" w:eastAsia="Arial" w:hAnsi="Arial"/>
                <w:sz w:val="14"/>
                <w:szCs w:val="14"/>
                <w:b w:val="1"/>
                <w:bCs w:val="1"/>
                <w:color w:val="auto"/>
              </w:rPr>
              <w:t>Tower</w:t>
            </w:r>
          </w:p>
        </w:tc>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24%</w:t>
            </w:r>
          </w:p>
        </w:tc>
        <w:tc>
          <w:tcPr>
            <w:tcW w:w="1280" w:type="dxa"/>
            <w:vAlign w:val="bottom"/>
          </w:tcPr>
          <w:p>
            <w:pPr>
              <w:jc w:val="center"/>
              <w:ind w:right="83"/>
              <w:spacing w:after="0"/>
              <w:rPr>
                <w:sz w:val="20"/>
                <w:szCs w:val="20"/>
                <w:color w:val="auto"/>
              </w:rPr>
            </w:pPr>
            <w:r>
              <w:rPr>
                <w:rFonts w:ascii="Arial" w:cs="Arial" w:eastAsia="Arial" w:hAnsi="Arial"/>
                <w:sz w:val="14"/>
                <w:szCs w:val="14"/>
                <w:color w:val="auto"/>
              </w:rPr>
              <w:t>X-Fab</w:t>
            </w:r>
          </w:p>
        </w:tc>
        <w:tc>
          <w:tcPr>
            <w:tcW w:w="400" w:type="dxa"/>
            <w:vAlign w:val="bottom"/>
          </w:tcPr>
          <w:p>
            <w:pPr>
              <w:jc w:val="center"/>
              <w:spacing w:after="0"/>
              <w:rPr>
                <w:sz w:val="20"/>
                <w:szCs w:val="20"/>
                <w:color w:val="auto"/>
              </w:rPr>
            </w:pPr>
            <w:r>
              <w:rPr>
                <w:rFonts w:ascii="Arial" w:cs="Arial" w:eastAsia="Arial" w:hAnsi="Arial"/>
                <w:sz w:val="14"/>
                <w:szCs w:val="14"/>
                <w:color w:val="auto"/>
              </w:rPr>
              <w:t>103%</w:t>
            </w:r>
          </w:p>
        </w:tc>
      </w:tr>
      <w:tr>
        <w:trPr>
          <w:trHeight w:val="232"/>
        </w:trPr>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4</w:t>
            </w:r>
          </w:p>
        </w:tc>
        <w:tc>
          <w:tcPr>
            <w:tcW w:w="1220" w:type="dxa"/>
            <w:vAlign w:val="bottom"/>
          </w:tcPr>
          <w:p>
            <w:pPr>
              <w:jc w:val="center"/>
              <w:ind w:right="143"/>
              <w:spacing w:after="0"/>
              <w:rPr>
                <w:sz w:val="20"/>
                <w:szCs w:val="20"/>
                <w:color w:val="auto"/>
              </w:rPr>
            </w:pPr>
            <w:r>
              <w:rPr>
                <w:rFonts w:ascii="Arial" w:cs="Arial" w:eastAsia="Arial" w:hAnsi="Arial"/>
                <w:sz w:val="14"/>
                <w:szCs w:val="14"/>
                <w:color w:val="auto"/>
              </w:rPr>
              <w:t>X-Fab</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280" w:type="dxa"/>
            <w:vAlign w:val="bottom"/>
          </w:tcPr>
          <w:p>
            <w:pPr>
              <w:jc w:val="center"/>
              <w:ind w:right="43"/>
              <w:spacing w:after="0"/>
              <w:rPr>
                <w:sz w:val="20"/>
                <w:szCs w:val="20"/>
                <w:color w:val="auto"/>
              </w:rPr>
            </w:pPr>
            <w:r>
              <w:rPr>
                <w:rFonts w:ascii="Arial" w:cs="Arial" w:eastAsia="Arial" w:hAnsi="Arial"/>
                <w:sz w:val="14"/>
                <w:szCs w:val="14"/>
                <w:color w:val="auto"/>
                <w:w w:val="99"/>
              </w:rPr>
              <w:t>CSMC Tech.</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46%</w:t>
            </w:r>
          </w:p>
        </w:tc>
        <w:tc>
          <w:tcPr>
            <w:tcW w:w="1260" w:type="dxa"/>
            <w:vAlign w:val="bottom"/>
          </w:tcPr>
          <w:p>
            <w:pPr>
              <w:jc w:val="center"/>
              <w:ind w:right="43"/>
              <w:spacing w:after="0"/>
              <w:rPr>
                <w:sz w:val="20"/>
                <w:szCs w:val="20"/>
                <w:color w:val="auto"/>
              </w:rPr>
            </w:pPr>
            <w:r>
              <w:rPr>
                <w:rFonts w:ascii="Arial" w:cs="Arial" w:eastAsia="Arial" w:hAnsi="Arial"/>
                <w:sz w:val="14"/>
                <w:szCs w:val="14"/>
                <w:color w:val="auto"/>
              </w:rPr>
              <w:t>Vanguard</w:t>
            </w: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22%</w:t>
            </w:r>
          </w:p>
        </w:tc>
        <w:tc>
          <w:tcPr>
            <w:tcW w:w="1280" w:type="dxa"/>
            <w:vAlign w:val="bottom"/>
          </w:tcPr>
          <w:p>
            <w:pPr>
              <w:jc w:val="center"/>
              <w:ind w:right="83"/>
              <w:spacing w:after="0"/>
              <w:rPr>
                <w:sz w:val="20"/>
                <w:szCs w:val="20"/>
                <w:color w:val="auto"/>
              </w:rPr>
            </w:pPr>
            <w:r>
              <w:rPr>
                <w:rFonts w:ascii="Arial" w:cs="Arial" w:eastAsia="Arial" w:hAnsi="Arial"/>
                <w:sz w:val="14"/>
                <w:szCs w:val="14"/>
                <w:color w:val="auto"/>
                <w:w w:val="99"/>
              </w:rPr>
              <w:t>CSMC Tech.</w:t>
            </w:r>
          </w:p>
        </w:tc>
        <w:tc>
          <w:tcPr>
            <w:tcW w:w="400" w:type="dxa"/>
            <w:vAlign w:val="bottom"/>
          </w:tcPr>
          <w:p>
            <w:pPr>
              <w:jc w:val="center"/>
              <w:spacing w:after="0"/>
              <w:rPr>
                <w:sz w:val="20"/>
                <w:szCs w:val="20"/>
                <w:color w:val="auto"/>
              </w:rPr>
            </w:pPr>
            <w:r>
              <w:rPr>
                <w:rFonts w:ascii="Arial" w:cs="Arial" w:eastAsia="Arial" w:hAnsi="Arial"/>
                <w:sz w:val="14"/>
                <w:szCs w:val="14"/>
                <w:color w:val="auto"/>
                <w:w w:val="99"/>
              </w:rPr>
              <w:t>99%</w:t>
            </w:r>
          </w:p>
        </w:tc>
      </w:tr>
    </w:tbl>
    <w:p>
      <w:pPr>
        <w:sectPr>
          <w:pgSz w:w="11900" w:h="16838" w:orient="portrait"/>
          <w:cols w:equalWidth="0" w:num="1">
            <w:col w:w="9019"/>
          </w:cols>
          <w:pgMar w:left="1440" w:top="110" w:right="1440" w:bottom="0" w:gutter="0" w:footer="0" w:header="0"/>
        </w:sectPr>
      </w:pPr>
    </w:p>
    <w:bookmarkStart w:id="5" w:name="page6"/>
    <w:bookmarkEnd w:id="5"/>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5</w:t>
            </w:r>
          </w:p>
        </w:tc>
        <w:tc>
          <w:tcPr>
            <w:tcW w:w="1140" w:type="dxa"/>
            <w:vAlign w:val="bottom"/>
          </w:tcPr>
          <w:p>
            <w:pPr>
              <w:jc w:val="center"/>
              <w:spacing w:after="0"/>
              <w:rPr>
                <w:sz w:val="20"/>
                <w:szCs w:val="20"/>
                <w:color w:val="auto"/>
              </w:rPr>
            </w:pPr>
            <w:r>
              <w:rPr>
                <w:rFonts w:ascii="Arial" w:cs="Arial" w:eastAsia="Arial" w:hAnsi="Arial"/>
                <w:sz w:val="14"/>
                <w:szCs w:val="14"/>
                <w:color w:val="auto"/>
              </w:rPr>
              <w:t>He Jian</w:t>
            </w:r>
          </w:p>
        </w:tc>
        <w:tc>
          <w:tcPr>
            <w:tcW w:w="680" w:type="dxa"/>
            <w:vAlign w:val="bottom"/>
          </w:tcPr>
          <w:p>
            <w:pPr>
              <w:jc w:val="center"/>
              <w:spacing w:after="0"/>
              <w:rPr>
                <w:sz w:val="20"/>
                <w:szCs w:val="20"/>
                <w:color w:val="auto"/>
              </w:rPr>
            </w:pPr>
            <w:r>
              <w:rPr>
                <w:rFonts w:ascii="Arial" w:cs="Arial" w:eastAsia="Arial" w:hAnsi="Arial"/>
                <w:sz w:val="14"/>
                <w:szCs w:val="14"/>
                <w:color w:val="auto"/>
              </w:rPr>
              <w:t>9%</w:t>
            </w:r>
          </w:p>
        </w:tc>
        <w:tc>
          <w:tcPr>
            <w:tcW w:w="1140" w:type="dxa"/>
            <w:vAlign w:val="bottom"/>
          </w:tcPr>
          <w:p>
            <w:pPr>
              <w:jc w:val="center"/>
              <w:spacing w:after="0"/>
              <w:rPr>
                <w:sz w:val="20"/>
                <w:szCs w:val="20"/>
                <w:color w:val="auto"/>
              </w:rPr>
            </w:pPr>
            <w:r>
              <w:rPr>
                <w:rFonts w:ascii="Arial" w:cs="Arial" w:eastAsia="Arial" w:hAnsi="Arial"/>
                <w:sz w:val="14"/>
                <w:szCs w:val="14"/>
                <w:color w:val="auto"/>
              </w:rPr>
              <w:t>X-Fab</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44%</w:t>
            </w:r>
          </w:p>
        </w:tc>
        <w:tc>
          <w:tcPr>
            <w:tcW w:w="1140" w:type="dxa"/>
            <w:vAlign w:val="bottom"/>
          </w:tcPr>
          <w:p>
            <w:pPr>
              <w:jc w:val="center"/>
              <w:spacing w:after="0"/>
              <w:rPr>
                <w:sz w:val="20"/>
                <w:szCs w:val="20"/>
                <w:color w:val="auto"/>
              </w:rPr>
            </w:pPr>
            <w:r>
              <w:rPr>
                <w:rFonts w:ascii="Arial" w:cs="Arial" w:eastAsia="Arial" w:hAnsi="Arial"/>
                <w:sz w:val="14"/>
                <w:szCs w:val="14"/>
                <w:color w:val="auto"/>
              </w:rPr>
              <w:t>Silterra</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19%</w:t>
            </w:r>
          </w:p>
        </w:tc>
        <w:tc>
          <w:tcPr>
            <w:tcW w:w="1160" w:type="dxa"/>
            <w:vAlign w:val="bottom"/>
          </w:tcPr>
          <w:p>
            <w:pPr>
              <w:jc w:val="center"/>
              <w:spacing w:after="0"/>
              <w:rPr>
                <w:sz w:val="20"/>
                <w:szCs w:val="20"/>
                <w:color w:val="auto"/>
              </w:rPr>
            </w:pPr>
            <w:r>
              <w:rPr>
                <w:rFonts w:ascii="Arial" w:cs="Arial" w:eastAsia="Arial" w:hAnsi="Arial"/>
                <w:sz w:val="14"/>
                <w:szCs w:val="14"/>
                <w:color w:val="auto"/>
              </w:rPr>
              <w:t>Others</w:t>
            </w:r>
          </w:p>
        </w:tc>
        <w:tc>
          <w:tcPr>
            <w:tcW w:w="480" w:type="dxa"/>
            <w:vAlign w:val="bottom"/>
          </w:tcPr>
          <w:p>
            <w:pPr>
              <w:jc w:val="center"/>
              <w:ind w:left="128"/>
              <w:spacing w:after="0"/>
              <w:rPr>
                <w:sz w:val="20"/>
                <w:szCs w:val="20"/>
                <w:color w:val="auto"/>
              </w:rPr>
            </w:pPr>
            <w:r>
              <w:rPr>
                <w:rFonts w:ascii="Arial" w:cs="Arial" w:eastAsia="Arial" w:hAnsi="Arial"/>
                <w:sz w:val="14"/>
                <w:szCs w:val="14"/>
                <w:color w:val="auto"/>
                <w:w w:val="99"/>
              </w:rPr>
              <w:t>55%</w:t>
            </w:r>
          </w:p>
        </w:tc>
      </w:tr>
      <w:tr>
        <w:trPr>
          <w:trHeight w:val="173"/>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6</w:t>
            </w:r>
          </w:p>
        </w:tc>
        <w:tc>
          <w:tcPr>
            <w:tcW w:w="1140" w:type="dxa"/>
            <w:vAlign w:val="bottom"/>
          </w:tcPr>
          <w:p>
            <w:pPr>
              <w:jc w:val="center"/>
              <w:spacing w:after="0"/>
              <w:rPr>
                <w:sz w:val="20"/>
                <w:szCs w:val="20"/>
                <w:color w:val="auto"/>
              </w:rPr>
            </w:pPr>
            <w:r>
              <w:rPr>
                <w:rFonts w:ascii="Arial" w:cs="Arial" w:eastAsia="Arial" w:hAnsi="Arial"/>
                <w:sz w:val="14"/>
                <w:szCs w:val="14"/>
                <w:color w:val="auto"/>
              </w:rPr>
              <w:t>SSMC</w:t>
            </w:r>
          </w:p>
        </w:tc>
        <w:tc>
          <w:tcPr>
            <w:tcW w:w="680" w:type="dxa"/>
            <w:vAlign w:val="bottom"/>
          </w:tcPr>
          <w:p>
            <w:pPr>
              <w:jc w:val="center"/>
              <w:spacing w:after="0"/>
              <w:rPr>
                <w:sz w:val="20"/>
                <w:szCs w:val="20"/>
                <w:color w:val="auto"/>
              </w:rPr>
            </w:pPr>
            <w:r>
              <w:rPr>
                <w:rFonts w:ascii="Arial" w:cs="Arial" w:eastAsia="Arial" w:hAnsi="Arial"/>
                <w:sz w:val="14"/>
                <w:szCs w:val="14"/>
                <w:color w:val="auto"/>
              </w:rPr>
              <w:t>8%</w:t>
            </w:r>
          </w:p>
        </w:tc>
        <w:tc>
          <w:tcPr>
            <w:tcW w:w="1140" w:type="dxa"/>
            <w:vAlign w:val="bottom"/>
          </w:tcPr>
          <w:p>
            <w:pPr>
              <w:jc w:val="center"/>
              <w:spacing w:after="0"/>
              <w:rPr>
                <w:sz w:val="20"/>
                <w:szCs w:val="20"/>
                <w:color w:val="auto"/>
              </w:rPr>
            </w:pPr>
            <w:r>
              <w:rPr>
                <w:rFonts w:ascii="Arial" w:cs="Arial" w:eastAsia="Arial" w:hAnsi="Arial"/>
                <w:sz w:val="14"/>
                <w:szCs w:val="14"/>
                <w:color w:val="auto"/>
              </w:rPr>
              <w:t>Chartered</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35%</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Others</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17%</w:t>
            </w:r>
          </w:p>
        </w:tc>
        <w:tc>
          <w:tcPr>
            <w:tcW w:w="1160" w:type="dxa"/>
            <w:vAlign w:val="bottom"/>
          </w:tcPr>
          <w:p>
            <w:pPr>
              <w:jc w:val="center"/>
              <w:spacing w:after="0"/>
              <w:rPr>
                <w:sz w:val="20"/>
                <w:szCs w:val="20"/>
                <w:color w:val="auto"/>
              </w:rPr>
            </w:pPr>
            <w:r>
              <w:rPr>
                <w:rFonts w:ascii="Arial" w:cs="Arial" w:eastAsia="Arial" w:hAnsi="Arial"/>
                <w:sz w:val="14"/>
                <w:szCs w:val="14"/>
                <w:color w:val="auto"/>
              </w:rPr>
              <w:t>ASMC</w:t>
            </w:r>
          </w:p>
        </w:tc>
        <w:tc>
          <w:tcPr>
            <w:tcW w:w="480" w:type="dxa"/>
            <w:vAlign w:val="bottom"/>
          </w:tcPr>
          <w:p>
            <w:pPr>
              <w:jc w:val="center"/>
              <w:ind w:left="128"/>
              <w:spacing w:after="0"/>
              <w:rPr>
                <w:sz w:val="20"/>
                <w:szCs w:val="20"/>
                <w:color w:val="auto"/>
              </w:rPr>
            </w:pPr>
            <w:r>
              <w:rPr>
                <w:rFonts w:ascii="Arial" w:cs="Arial" w:eastAsia="Arial" w:hAnsi="Arial"/>
                <w:sz w:val="14"/>
                <w:szCs w:val="14"/>
                <w:color w:val="auto"/>
                <w:w w:val="99"/>
              </w:rPr>
              <w:t>49%</w:t>
            </w:r>
          </w:p>
        </w:tc>
      </w:tr>
      <w:tr>
        <w:trPr>
          <w:trHeight w:val="217"/>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7</w:t>
            </w:r>
          </w:p>
        </w:tc>
        <w:tc>
          <w:tcPr>
            <w:tcW w:w="1140" w:type="dxa"/>
            <w:vAlign w:val="bottom"/>
          </w:tcPr>
          <w:p>
            <w:pPr>
              <w:jc w:val="center"/>
              <w:spacing w:after="0"/>
              <w:rPr>
                <w:sz w:val="20"/>
                <w:szCs w:val="20"/>
                <w:color w:val="auto"/>
              </w:rPr>
            </w:pPr>
            <w:r>
              <w:rPr>
                <w:rFonts w:ascii="Arial" w:cs="Arial" w:eastAsia="Arial" w:hAnsi="Arial"/>
                <w:sz w:val="14"/>
                <w:szCs w:val="14"/>
                <w:color w:val="auto"/>
              </w:rPr>
              <w:t>TSMC</w:t>
            </w:r>
          </w:p>
        </w:tc>
        <w:tc>
          <w:tcPr>
            <w:tcW w:w="680" w:type="dxa"/>
            <w:vAlign w:val="bottom"/>
          </w:tcPr>
          <w:p>
            <w:pPr>
              <w:jc w:val="center"/>
              <w:spacing w:after="0"/>
              <w:rPr>
                <w:sz w:val="20"/>
                <w:szCs w:val="20"/>
                <w:color w:val="auto"/>
              </w:rPr>
            </w:pPr>
            <w:r>
              <w:rPr>
                <w:rFonts w:ascii="Arial" w:cs="Arial" w:eastAsia="Arial" w:hAnsi="Arial"/>
                <w:sz w:val="14"/>
                <w:szCs w:val="14"/>
                <w:color w:val="auto"/>
              </w:rPr>
              <w:t>7%</w:t>
            </w:r>
          </w:p>
        </w:tc>
        <w:tc>
          <w:tcPr>
            <w:tcW w:w="1140" w:type="dxa"/>
            <w:vAlign w:val="bottom"/>
          </w:tcPr>
          <w:p>
            <w:pPr>
              <w:jc w:val="center"/>
              <w:spacing w:after="0"/>
              <w:rPr>
                <w:sz w:val="20"/>
                <w:szCs w:val="20"/>
                <w:color w:val="auto"/>
              </w:rPr>
            </w:pPr>
            <w:r>
              <w:rPr>
                <w:rFonts w:ascii="Arial" w:cs="Arial" w:eastAsia="Arial" w:hAnsi="Arial"/>
                <w:sz w:val="14"/>
                <w:szCs w:val="14"/>
                <w:color w:val="auto"/>
              </w:rPr>
              <w:t>Others</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32%</w:t>
            </w:r>
          </w:p>
        </w:tc>
        <w:tc>
          <w:tcPr>
            <w:tcW w:w="1140" w:type="dxa"/>
            <w:vAlign w:val="bottom"/>
          </w:tcPr>
          <w:p>
            <w:pPr>
              <w:jc w:val="center"/>
              <w:spacing w:after="0"/>
              <w:rPr>
                <w:sz w:val="20"/>
                <w:szCs w:val="20"/>
                <w:color w:val="auto"/>
              </w:rPr>
            </w:pPr>
            <w:r>
              <w:rPr>
                <w:rFonts w:ascii="Arial" w:cs="Arial" w:eastAsia="Arial" w:hAnsi="Arial"/>
                <w:sz w:val="14"/>
                <w:szCs w:val="14"/>
                <w:color w:val="auto"/>
              </w:rPr>
              <w:t>He Jian</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14%</w:t>
            </w:r>
          </w:p>
        </w:tc>
        <w:tc>
          <w:tcPr>
            <w:tcW w:w="1160" w:type="dxa"/>
            <w:vAlign w:val="bottom"/>
          </w:tcPr>
          <w:p>
            <w:pPr>
              <w:jc w:val="center"/>
              <w:spacing w:after="0"/>
              <w:rPr>
                <w:sz w:val="20"/>
                <w:szCs w:val="20"/>
                <w:color w:val="auto"/>
              </w:rPr>
            </w:pPr>
            <w:r>
              <w:rPr>
                <w:rFonts w:ascii="Arial" w:cs="Arial" w:eastAsia="Arial" w:hAnsi="Arial"/>
                <w:sz w:val="14"/>
                <w:szCs w:val="14"/>
                <w:color w:val="auto"/>
              </w:rPr>
              <w:t>Dongbu</w:t>
            </w:r>
          </w:p>
        </w:tc>
        <w:tc>
          <w:tcPr>
            <w:tcW w:w="480" w:type="dxa"/>
            <w:vAlign w:val="bottom"/>
          </w:tcPr>
          <w:p>
            <w:pPr>
              <w:jc w:val="center"/>
              <w:ind w:left="128"/>
              <w:spacing w:after="0"/>
              <w:rPr>
                <w:sz w:val="20"/>
                <w:szCs w:val="20"/>
                <w:color w:val="auto"/>
              </w:rPr>
            </w:pPr>
            <w:r>
              <w:rPr>
                <w:rFonts w:ascii="Arial" w:cs="Arial" w:eastAsia="Arial" w:hAnsi="Arial"/>
                <w:sz w:val="14"/>
                <w:szCs w:val="14"/>
                <w:color w:val="auto"/>
                <w:w w:val="99"/>
              </w:rPr>
              <w:t>47%</w:t>
            </w:r>
          </w:p>
        </w:tc>
      </w:tr>
      <w:tr>
        <w:trPr>
          <w:trHeight w:val="219"/>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8</w:t>
            </w:r>
          </w:p>
        </w:tc>
        <w:tc>
          <w:tcPr>
            <w:tcW w:w="1140" w:type="dxa"/>
            <w:vAlign w:val="bottom"/>
          </w:tcPr>
          <w:p>
            <w:pPr>
              <w:jc w:val="center"/>
              <w:spacing w:after="0"/>
              <w:rPr>
                <w:sz w:val="20"/>
                <w:szCs w:val="20"/>
                <w:color w:val="auto"/>
              </w:rPr>
            </w:pPr>
            <w:r>
              <w:rPr>
                <w:rFonts w:ascii="Arial" w:cs="Arial" w:eastAsia="Arial" w:hAnsi="Arial"/>
                <w:sz w:val="14"/>
                <w:szCs w:val="14"/>
                <w:color w:val="auto"/>
              </w:rPr>
              <w:t>Chartered</w:t>
            </w:r>
          </w:p>
        </w:tc>
        <w:tc>
          <w:tcPr>
            <w:tcW w:w="680" w:type="dxa"/>
            <w:vAlign w:val="bottom"/>
          </w:tcPr>
          <w:p>
            <w:pPr>
              <w:jc w:val="center"/>
              <w:spacing w:after="0"/>
              <w:rPr>
                <w:sz w:val="20"/>
                <w:szCs w:val="20"/>
                <w:color w:val="auto"/>
              </w:rPr>
            </w:pPr>
            <w:r>
              <w:rPr>
                <w:rFonts w:ascii="Arial" w:cs="Arial" w:eastAsia="Arial" w:hAnsi="Arial"/>
                <w:sz w:val="14"/>
                <w:szCs w:val="14"/>
                <w:color w:val="auto"/>
              </w:rPr>
              <w:t>3%</w:t>
            </w:r>
          </w:p>
        </w:tc>
        <w:tc>
          <w:tcPr>
            <w:tcW w:w="1140" w:type="dxa"/>
            <w:vAlign w:val="bottom"/>
          </w:tcPr>
          <w:p>
            <w:pPr>
              <w:jc w:val="center"/>
              <w:spacing w:after="0"/>
              <w:rPr>
                <w:sz w:val="20"/>
                <w:szCs w:val="20"/>
                <w:color w:val="auto"/>
              </w:rPr>
            </w:pPr>
            <w:r>
              <w:rPr>
                <w:rFonts w:ascii="Arial" w:cs="Arial" w:eastAsia="Arial" w:hAnsi="Arial"/>
                <w:sz w:val="14"/>
                <w:szCs w:val="14"/>
                <w:color w:val="auto"/>
              </w:rPr>
              <w:t>Dongbu</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31%</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Grace</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12%</w:t>
            </w:r>
          </w:p>
        </w:tc>
        <w:tc>
          <w:tcPr>
            <w:tcW w:w="1160" w:type="dxa"/>
            <w:vAlign w:val="bottom"/>
          </w:tcPr>
          <w:p>
            <w:pPr>
              <w:jc w:val="center"/>
              <w:spacing w:after="0"/>
              <w:rPr>
                <w:sz w:val="20"/>
                <w:szCs w:val="20"/>
                <w:color w:val="auto"/>
              </w:rPr>
            </w:pPr>
            <w:r>
              <w:rPr>
                <w:rFonts w:ascii="Arial" w:cs="Arial" w:eastAsia="Arial" w:hAnsi="Arial"/>
                <w:sz w:val="14"/>
                <w:szCs w:val="14"/>
                <w:color w:val="auto"/>
              </w:rPr>
              <w:t>Silterra</w:t>
            </w:r>
          </w:p>
        </w:tc>
        <w:tc>
          <w:tcPr>
            <w:tcW w:w="480" w:type="dxa"/>
            <w:vAlign w:val="bottom"/>
          </w:tcPr>
          <w:p>
            <w:pPr>
              <w:jc w:val="center"/>
              <w:ind w:left="128"/>
              <w:spacing w:after="0"/>
              <w:rPr>
                <w:sz w:val="20"/>
                <w:szCs w:val="20"/>
                <w:color w:val="auto"/>
              </w:rPr>
            </w:pPr>
            <w:r>
              <w:rPr>
                <w:rFonts w:ascii="Arial" w:cs="Arial" w:eastAsia="Arial" w:hAnsi="Arial"/>
                <w:sz w:val="14"/>
                <w:szCs w:val="14"/>
                <w:color w:val="auto"/>
                <w:w w:val="99"/>
              </w:rPr>
              <w:t>42%</w:t>
            </w:r>
          </w:p>
        </w:tc>
      </w:tr>
      <w:tr>
        <w:trPr>
          <w:trHeight w:val="219"/>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9</w:t>
            </w:r>
          </w:p>
        </w:tc>
        <w:tc>
          <w:tcPr>
            <w:tcW w:w="1140" w:type="dxa"/>
            <w:vAlign w:val="bottom"/>
          </w:tcPr>
          <w:p>
            <w:pPr>
              <w:jc w:val="center"/>
              <w:spacing w:after="0"/>
              <w:rPr>
                <w:sz w:val="20"/>
                <w:szCs w:val="20"/>
                <w:color w:val="auto"/>
              </w:rPr>
            </w:pPr>
            <w:r>
              <w:rPr>
                <w:rFonts w:ascii="Arial" w:cs="Arial" w:eastAsia="Arial" w:hAnsi="Arial"/>
                <w:sz w:val="14"/>
                <w:szCs w:val="14"/>
                <w:color w:val="auto"/>
              </w:rPr>
              <w:t>Polar Semi.</w:t>
            </w:r>
          </w:p>
        </w:tc>
        <w:tc>
          <w:tcPr>
            <w:tcW w:w="680" w:type="dxa"/>
            <w:vAlign w:val="bottom"/>
          </w:tcPr>
          <w:p>
            <w:pPr>
              <w:jc w:val="center"/>
              <w:spacing w:after="0"/>
              <w:rPr>
                <w:sz w:val="20"/>
                <w:szCs w:val="20"/>
                <w:color w:val="auto"/>
              </w:rPr>
            </w:pPr>
            <w:r>
              <w:rPr>
                <w:rFonts w:ascii="Arial" w:cs="Arial" w:eastAsia="Arial" w:hAnsi="Arial"/>
                <w:sz w:val="14"/>
                <w:szCs w:val="14"/>
                <w:color w:val="auto"/>
              </w:rPr>
              <w:t>-2%</w:t>
            </w:r>
          </w:p>
        </w:tc>
        <w:tc>
          <w:tcPr>
            <w:tcW w:w="1140" w:type="dxa"/>
            <w:vAlign w:val="bottom"/>
          </w:tcPr>
          <w:p>
            <w:pPr>
              <w:jc w:val="center"/>
              <w:spacing w:after="0"/>
              <w:rPr>
                <w:sz w:val="20"/>
                <w:szCs w:val="20"/>
                <w:color w:val="auto"/>
              </w:rPr>
            </w:pPr>
            <w:r>
              <w:rPr>
                <w:rFonts w:ascii="Arial" w:cs="Arial" w:eastAsia="Arial" w:hAnsi="Arial"/>
                <w:sz w:val="14"/>
                <w:szCs w:val="14"/>
                <w:color w:val="auto"/>
              </w:rPr>
              <w:t>SMIC</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25%</w:t>
            </w:r>
          </w:p>
        </w:tc>
        <w:tc>
          <w:tcPr>
            <w:tcW w:w="1140" w:type="dxa"/>
            <w:vAlign w:val="bottom"/>
          </w:tcPr>
          <w:p>
            <w:pPr>
              <w:jc w:val="center"/>
              <w:spacing w:after="0"/>
              <w:rPr>
                <w:sz w:val="20"/>
                <w:szCs w:val="20"/>
                <w:color w:val="auto"/>
              </w:rPr>
            </w:pPr>
            <w:r>
              <w:rPr>
                <w:rFonts w:ascii="Arial" w:cs="Arial" w:eastAsia="Arial" w:hAnsi="Arial"/>
                <w:sz w:val="14"/>
                <w:szCs w:val="14"/>
                <w:color w:val="auto"/>
              </w:rPr>
              <w:t>Dongbu</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12%</w:t>
            </w:r>
          </w:p>
        </w:tc>
        <w:tc>
          <w:tcPr>
            <w:tcW w:w="1160" w:type="dxa"/>
            <w:vAlign w:val="bottom"/>
          </w:tcPr>
          <w:p>
            <w:pPr>
              <w:jc w:val="center"/>
              <w:spacing w:after="0"/>
              <w:rPr>
                <w:sz w:val="20"/>
                <w:szCs w:val="20"/>
                <w:color w:val="auto"/>
              </w:rPr>
            </w:pPr>
            <w:r>
              <w:rPr>
                <w:rFonts w:ascii="Arial" w:cs="Arial" w:eastAsia="Arial" w:hAnsi="Arial"/>
                <w:sz w:val="14"/>
                <w:szCs w:val="14"/>
                <w:color w:val="auto"/>
              </w:rPr>
              <w:t>Vanguard</w:t>
            </w:r>
          </w:p>
        </w:tc>
        <w:tc>
          <w:tcPr>
            <w:tcW w:w="480" w:type="dxa"/>
            <w:vAlign w:val="bottom"/>
          </w:tcPr>
          <w:p>
            <w:pPr>
              <w:jc w:val="center"/>
              <w:ind w:left="128"/>
              <w:spacing w:after="0"/>
              <w:rPr>
                <w:sz w:val="20"/>
                <w:szCs w:val="20"/>
                <w:color w:val="auto"/>
              </w:rPr>
            </w:pPr>
            <w:r>
              <w:rPr>
                <w:rFonts w:ascii="Arial" w:cs="Arial" w:eastAsia="Arial" w:hAnsi="Arial"/>
                <w:sz w:val="14"/>
                <w:szCs w:val="14"/>
                <w:color w:val="auto"/>
                <w:w w:val="99"/>
              </w:rPr>
              <w:t>37%</w:t>
            </w:r>
          </w:p>
        </w:tc>
      </w:tr>
      <w:tr>
        <w:trPr>
          <w:trHeight w:val="232"/>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10</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CSMC Tech.</w:t>
            </w:r>
          </w:p>
        </w:tc>
        <w:tc>
          <w:tcPr>
            <w:tcW w:w="680" w:type="dxa"/>
            <w:vAlign w:val="bottom"/>
          </w:tcPr>
          <w:p>
            <w:pPr>
              <w:jc w:val="center"/>
              <w:spacing w:after="0"/>
              <w:rPr>
                <w:sz w:val="20"/>
                <w:szCs w:val="20"/>
                <w:color w:val="auto"/>
              </w:rPr>
            </w:pPr>
            <w:r>
              <w:rPr>
                <w:rFonts w:ascii="Arial" w:cs="Arial" w:eastAsia="Arial" w:hAnsi="Arial"/>
                <w:sz w:val="14"/>
                <w:szCs w:val="14"/>
                <w:color w:val="auto"/>
              </w:rPr>
              <w:t>-3%</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Silterra</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19%</w:t>
            </w:r>
          </w:p>
        </w:tc>
        <w:tc>
          <w:tcPr>
            <w:tcW w:w="1140" w:type="dxa"/>
            <w:vAlign w:val="bottom"/>
          </w:tcPr>
          <w:p>
            <w:pPr>
              <w:jc w:val="center"/>
              <w:spacing w:after="0"/>
              <w:rPr>
                <w:sz w:val="20"/>
                <w:szCs w:val="20"/>
                <w:color w:val="auto"/>
              </w:rPr>
            </w:pPr>
            <w:r>
              <w:rPr>
                <w:rFonts w:ascii="Arial" w:cs="Arial" w:eastAsia="Arial" w:hAnsi="Arial"/>
                <w:sz w:val="14"/>
                <w:szCs w:val="14"/>
                <w:color w:val="auto"/>
              </w:rPr>
              <w:t>Polar Semi.</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11%</w:t>
            </w:r>
          </w:p>
        </w:tc>
        <w:tc>
          <w:tcPr>
            <w:tcW w:w="1160" w:type="dxa"/>
            <w:vAlign w:val="bottom"/>
          </w:tcPr>
          <w:p>
            <w:pPr>
              <w:jc w:val="center"/>
              <w:spacing w:after="0"/>
              <w:rPr>
                <w:sz w:val="20"/>
                <w:szCs w:val="20"/>
                <w:color w:val="auto"/>
              </w:rPr>
            </w:pPr>
            <w:r>
              <w:rPr>
                <w:rFonts w:ascii="Arial" w:cs="Arial" w:eastAsia="Arial" w:hAnsi="Arial"/>
                <w:sz w:val="14"/>
                <w:szCs w:val="14"/>
                <w:color w:val="auto"/>
              </w:rPr>
              <w:t>SMIC</w:t>
            </w:r>
          </w:p>
        </w:tc>
        <w:tc>
          <w:tcPr>
            <w:tcW w:w="480" w:type="dxa"/>
            <w:vAlign w:val="bottom"/>
          </w:tcPr>
          <w:p>
            <w:pPr>
              <w:jc w:val="center"/>
              <w:ind w:left="128"/>
              <w:spacing w:after="0"/>
              <w:rPr>
                <w:sz w:val="20"/>
                <w:szCs w:val="20"/>
                <w:color w:val="auto"/>
              </w:rPr>
            </w:pPr>
            <w:r>
              <w:rPr>
                <w:rFonts w:ascii="Arial" w:cs="Arial" w:eastAsia="Arial" w:hAnsi="Arial"/>
                <w:sz w:val="14"/>
                <w:szCs w:val="14"/>
                <w:color w:val="auto"/>
                <w:w w:val="99"/>
              </w:rPr>
              <w:t>33%</w:t>
            </w:r>
          </w:p>
        </w:tc>
      </w:tr>
      <w:tr>
        <w:trPr>
          <w:trHeight w:val="219"/>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11</w:t>
            </w:r>
          </w:p>
        </w:tc>
        <w:tc>
          <w:tcPr>
            <w:tcW w:w="1140" w:type="dxa"/>
            <w:vAlign w:val="bottom"/>
          </w:tcPr>
          <w:p>
            <w:pPr>
              <w:jc w:val="center"/>
              <w:spacing w:after="0"/>
              <w:rPr>
                <w:sz w:val="20"/>
                <w:szCs w:val="20"/>
                <w:color w:val="auto"/>
              </w:rPr>
            </w:pPr>
            <w:r>
              <w:rPr>
                <w:rFonts w:ascii="Arial" w:cs="Arial" w:eastAsia="Arial" w:hAnsi="Arial"/>
                <w:sz w:val="14"/>
                <w:szCs w:val="14"/>
                <w:color w:val="auto"/>
              </w:rPr>
              <w:t>HHNEC</w:t>
            </w:r>
          </w:p>
        </w:tc>
        <w:tc>
          <w:tcPr>
            <w:tcW w:w="680" w:type="dxa"/>
            <w:vAlign w:val="bottom"/>
          </w:tcPr>
          <w:p>
            <w:pPr>
              <w:jc w:val="center"/>
              <w:spacing w:after="0"/>
              <w:rPr>
                <w:sz w:val="20"/>
                <w:szCs w:val="20"/>
                <w:color w:val="auto"/>
              </w:rPr>
            </w:pPr>
            <w:r>
              <w:rPr>
                <w:rFonts w:ascii="Arial" w:cs="Arial" w:eastAsia="Arial" w:hAnsi="Arial"/>
                <w:sz w:val="14"/>
                <w:szCs w:val="14"/>
                <w:color w:val="auto"/>
              </w:rPr>
              <w:t>-3%</w:t>
            </w:r>
          </w:p>
        </w:tc>
        <w:tc>
          <w:tcPr>
            <w:tcW w:w="1140" w:type="dxa"/>
            <w:vAlign w:val="bottom"/>
          </w:tcPr>
          <w:p>
            <w:pPr>
              <w:jc w:val="center"/>
              <w:spacing w:after="0"/>
              <w:rPr>
                <w:sz w:val="20"/>
                <w:szCs w:val="20"/>
                <w:color w:val="auto"/>
              </w:rPr>
            </w:pPr>
            <w:r>
              <w:rPr>
                <w:rFonts w:ascii="Arial" w:cs="Arial" w:eastAsia="Arial" w:hAnsi="Arial"/>
                <w:sz w:val="14"/>
                <w:szCs w:val="14"/>
                <w:color w:val="auto"/>
              </w:rPr>
              <w:t>TSMC</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19%</w:t>
            </w:r>
          </w:p>
        </w:tc>
        <w:tc>
          <w:tcPr>
            <w:tcW w:w="1140" w:type="dxa"/>
            <w:vAlign w:val="bottom"/>
          </w:tcPr>
          <w:p>
            <w:pPr>
              <w:jc w:val="center"/>
              <w:spacing w:after="0"/>
              <w:rPr>
                <w:sz w:val="20"/>
                <w:szCs w:val="20"/>
                <w:color w:val="auto"/>
              </w:rPr>
            </w:pPr>
            <w:r>
              <w:rPr>
                <w:rFonts w:ascii="Arial" w:cs="Arial" w:eastAsia="Arial" w:hAnsi="Arial"/>
                <w:sz w:val="14"/>
                <w:szCs w:val="14"/>
                <w:color w:val="auto"/>
              </w:rPr>
              <w:t>SSMC</w:t>
            </w:r>
          </w:p>
        </w:tc>
        <w:tc>
          <w:tcPr>
            <w:tcW w:w="640" w:type="dxa"/>
            <w:vAlign w:val="bottom"/>
          </w:tcPr>
          <w:p>
            <w:pPr>
              <w:jc w:val="center"/>
              <w:spacing w:after="0"/>
              <w:rPr>
                <w:sz w:val="20"/>
                <w:szCs w:val="20"/>
                <w:color w:val="auto"/>
              </w:rPr>
            </w:pPr>
            <w:r>
              <w:rPr>
                <w:rFonts w:ascii="Arial" w:cs="Arial" w:eastAsia="Arial" w:hAnsi="Arial"/>
                <w:sz w:val="14"/>
                <w:szCs w:val="14"/>
                <w:color w:val="auto"/>
                <w:w w:val="98"/>
              </w:rPr>
              <w:t>8%</w:t>
            </w:r>
          </w:p>
        </w:tc>
        <w:tc>
          <w:tcPr>
            <w:tcW w:w="1160" w:type="dxa"/>
            <w:vAlign w:val="bottom"/>
          </w:tcPr>
          <w:p>
            <w:pPr>
              <w:jc w:val="center"/>
              <w:spacing w:after="0"/>
              <w:rPr>
                <w:sz w:val="20"/>
                <w:szCs w:val="20"/>
                <w:color w:val="auto"/>
              </w:rPr>
            </w:pPr>
            <w:r>
              <w:rPr>
                <w:rFonts w:ascii="Arial" w:cs="Arial" w:eastAsia="Arial" w:hAnsi="Arial"/>
                <w:sz w:val="14"/>
                <w:szCs w:val="14"/>
                <w:color w:val="auto"/>
              </w:rPr>
              <w:t>He Jian</w:t>
            </w:r>
          </w:p>
        </w:tc>
        <w:tc>
          <w:tcPr>
            <w:tcW w:w="480" w:type="dxa"/>
            <w:vAlign w:val="bottom"/>
          </w:tcPr>
          <w:p>
            <w:pPr>
              <w:jc w:val="center"/>
              <w:ind w:left="128"/>
              <w:spacing w:after="0"/>
              <w:rPr>
                <w:sz w:val="20"/>
                <w:szCs w:val="20"/>
                <w:color w:val="auto"/>
              </w:rPr>
            </w:pPr>
            <w:r>
              <w:rPr>
                <w:rFonts w:ascii="Arial" w:cs="Arial" w:eastAsia="Arial" w:hAnsi="Arial"/>
                <w:sz w:val="14"/>
                <w:szCs w:val="14"/>
                <w:color w:val="auto"/>
                <w:w w:val="99"/>
              </w:rPr>
              <w:t>32%</w:t>
            </w:r>
          </w:p>
        </w:tc>
      </w:tr>
      <w:tr>
        <w:trPr>
          <w:trHeight w:val="219"/>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12</w:t>
            </w:r>
          </w:p>
        </w:tc>
        <w:tc>
          <w:tcPr>
            <w:tcW w:w="1140" w:type="dxa"/>
            <w:vAlign w:val="bottom"/>
          </w:tcPr>
          <w:p>
            <w:pPr>
              <w:jc w:val="center"/>
              <w:spacing w:after="0"/>
              <w:rPr>
                <w:sz w:val="20"/>
                <w:szCs w:val="20"/>
                <w:color w:val="auto"/>
              </w:rPr>
            </w:pPr>
            <w:r>
              <w:rPr>
                <w:rFonts w:ascii="Arial" w:cs="Arial" w:eastAsia="Arial" w:hAnsi="Arial"/>
                <w:sz w:val="14"/>
                <w:szCs w:val="14"/>
                <w:color w:val="auto"/>
              </w:rPr>
              <w:t>ASMC</w:t>
            </w:r>
          </w:p>
        </w:tc>
        <w:tc>
          <w:tcPr>
            <w:tcW w:w="680" w:type="dxa"/>
            <w:vAlign w:val="bottom"/>
          </w:tcPr>
          <w:p>
            <w:pPr>
              <w:jc w:val="center"/>
              <w:spacing w:after="0"/>
              <w:rPr>
                <w:sz w:val="20"/>
                <w:szCs w:val="20"/>
                <w:color w:val="auto"/>
              </w:rPr>
            </w:pPr>
            <w:r>
              <w:rPr>
                <w:rFonts w:ascii="Arial" w:cs="Arial" w:eastAsia="Arial" w:hAnsi="Arial"/>
                <w:sz w:val="14"/>
                <w:szCs w:val="14"/>
                <w:color w:val="auto"/>
              </w:rPr>
              <w:t>-9%</w:t>
            </w:r>
          </w:p>
        </w:tc>
        <w:tc>
          <w:tcPr>
            <w:tcW w:w="1140" w:type="dxa"/>
            <w:vAlign w:val="bottom"/>
          </w:tcPr>
          <w:p>
            <w:pPr>
              <w:jc w:val="center"/>
              <w:spacing w:after="0"/>
              <w:rPr>
                <w:sz w:val="20"/>
                <w:szCs w:val="20"/>
                <w:color w:val="auto"/>
              </w:rPr>
            </w:pPr>
            <w:r>
              <w:rPr>
                <w:rFonts w:ascii="Arial" w:cs="Arial" w:eastAsia="Arial" w:hAnsi="Arial"/>
                <w:sz w:val="14"/>
                <w:szCs w:val="14"/>
                <w:color w:val="auto"/>
                <w:w w:val="98"/>
              </w:rPr>
              <w:t>SSMC</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16%</w:t>
            </w:r>
          </w:p>
        </w:tc>
        <w:tc>
          <w:tcPr>
            <w:tcW w:w="1140" w:type="dxa"/>
            <w:vAlign w:val="bottom"/>
          </w:tcPr>
          <w:p>
            <w:pPr>
              <w:jc w:val="center"/>
              <w:spacing w:after="0"/>
              <w:rPr>
                <w:sz w:val="20"/>
                <w:szCs w:val="20"/>
                <w:color w:val="auto"/>
              </w:rPr>
            </w:pPr>
            <w:r>
              <w:rPr>
                <w:rFonts w:ascii="Arial" w:cs="Arial" w:eastAsia="Arial" w:hAnsi="Arial"/>
                <w:sz w:val="14"/>
                <w:szCs w:val="14"/>
                <w:color w:val="auto"/>
              </w:rPr>
              <w:t>Jazz</w:t>
            </w:r>
          </w:p>
        </w:tc>
        <w:tc>
          <w:tcPr>
            <w:tcW w:w="640" w:type="dxa"/>
            <w:vAlign w:val="bottom"/>
          </w:tcPr>
          <w:p>
            <w:pPr>
              <w:jc w:val="center"/>
              <w:spacing w:after="0"/>
              <w:rPr>
                <w:sz w:val="20"/>
                <w:szCs w:val="20"/>
                <w:color w:val="auto"/>
              </w:rPr>
            </w:pPr>
            <w:r>
              <w:rPr>
                <w:rFonts w:ascii="Arial" w:cs="Arial" w:eastAsia="Arial" w:hAnsi="Arial"/>
                <w:sz w:val="14"/>
                <w:szCs w:val="14"/>
                <w:color w:val="auto"/>
                <w:w w:val="98"/>
              </w:rPr>
              <w:t>8%</w:t>
            </w:r>
          </w:p>
        </w:tc>
        <w:tc>
          <w:tcPr>
            <w:tcW w:w="1160" w:type="dxa"/>
            <w:vAlign w:val="bottom"/>
          </w:tcPr>
          <w:p>
            <w:pPr>
              <w:jc w:val="center"/>
              <w:spacing w:after="0"/>
              <w:rPr>
                <w:sz w:val="20"/>
                <w:szCs w:val="20"/>
                <w:color w:val="auto"/>
              </w:rPr>
            </w:pPr>
            <w:r>
              <w:rPr>
                <w:rFonts w:ascii="Arial" w:cs="Arial" w:eastAsia="Arial" w:hAnsi="Arial"/>
                <w:sz w:val="14"/>
                <w:szCs w:val="14"/>
                <w:color w:val="auto"/>
              </w:rPr>
              <w:t>Chartered</w:t>
            </w:r>
          </w:p>
        </w:tc>
        <w:tc>
          <w:tcPr>
            <w:tcW w:w="480" w:type="dxa"/>
            <w:vAlign w:val="bottom"/>
          </w:tcPr>
          <w:p>
            <w:pPr>
              <w:jc w:val="center"/>
              <w:ind w:left="128"/>
              <w:spacing w:after="0"/>
              <w:rPr>
                <w:sz w:val="20"/>
                <w:szCs w:val="20"/>
                <w:color w:val="auto"/>
              </w:rPr>
            </w:pPr>
            <w:r>
              <w:rPr>
                <w:rFonts w:ascii="Arial" w:cs="Arial" w:eastAsia="Arial" w:hAnsi="Arial"/>
                <w:sz w:val="14"/>
                <w:szCs w:val="14"/>
                <w:color w:val="auto"/>
                <w:w w:val="99"/>
              </w:rPr>
              <w:t>28%</w:t>
            </w:r>
          </w:p>
        </w:tc>
      </w:tr>
      <w:tr>
        <w:trPr>
          <w:trHeight w:val="232"/>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13</w:t>
            </w:r>
          </w:p>
        </w:tc>
        <w:tc>
          <w:tcPr>
            <w:tcW w:w="1140" w:type="dxa"/>
            <w:vAlign w:val="bottom"/>
          </w:tcPr>
          <w:p>
            <w:pPr>
              <w:jc w:val="center"/>
              <w:spacing w:after="0"/>
              <w:rPr>
                <w:sz w:val="20"/>
                <w:szCs w:val="20"/>
                <w:color w:val="auto"/>
              </w:rPr>
            </w:pPr>
            <w:r>
              <w:rPr>
                <w:rFonts w:ascii="Arial" w:cs="Arial" w:eastAsia="Arial" w:hAnsi="Arial"/>
                <w:sz w:val="14"/>
                <w:szCs w:val="14"/>
                <w:color w:val="auto"/>
              </w:rPr>
              <w:t>Jazz</w:t>
            </w:r>
          </w:p>
        </w:tc>
        <w:tc>
          <w:tcPr>
            <w:tcW w:w="680" w:type="dxa"/>
            <w:vAlign w:val="bottom"/>
          </w:tcPr>
          <w:p>
            <w:pPr>
              <w:jc w:val="center"/>
              <w:spacing w:after="0"/>
              <w:rPr>
                <w:sz w:val="20"/>
                <w:szCs w:val="20"/>
                <w:color w:val="auto"/>
              </w:rPr>
            </w:pPr>
            <w:r>
              <w:rPr>
                <w:rFonts w:ascii="Arial" w:cs="Arial" w:eastAsia="Arial" w:hAnsi="Arial"/>
                <w:sz w:val="14"/>
                <w:szCs w:val="14"/>
                <w:color w:val="auto"/>
              </w:rPr>
              <w:t>-10%</w:t>
            </w:r>
          </w:p>
        </w:tc>
        <w:tc>
          <w:tcPr>
            <w:tcW w:w="1140" w:type="dxa"/>
            <w:vAlign w:val="bottom"/>
          </w:tcPr>
          <w:p>
            <w:pPr>
              <w:jc w:val="center"/>
              <w:spacing w:after="0"/>
              <w:rPr>
                <w:sz w:val="20"/>
                <w:szCs w:val="20"/>
                <w:color w:val="auto"/>
              </w:rPr>
            </w:pPr>
            <w:r>
              <w:rPr>
                <w:rFonts w:ascii="Arial" w:cs="Arial" w:eastAsia="Arial" w:hAnsi="Arial"/>
                <w:sz w:val="14"/>
                <w:szCs w:val="14"/>
                <w:color w:val="auto"/>
              </w:rPr>
              <w:t>He Jian</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16%</w:t>
            </w:r>
          </w:p>
        </w:tc>
        <w:tc>
          <w:tcPr>
            <w:tcW w:w="1140" w:type="dxa"/>
            <w:vAlign w:val="bottom"/>
          </w:tcPr>
          <w:p>
            <w:pPr>
              <w:jc w:val="center"/>
              <w:spacing w:after="0"/>
              <w:rPr>
                <w:sz w:val="20"/>
                <w:szCs w:val="20"/>
                <w:color w:val="auto"/>
              </w:rPr>
            </w:pPr>
            <w:r>
              <w:rPr>
                <w:rFonts w:ascii="Arial" w:cs="Arial" w:eastAsia="Arial" w:hAnsi="Arial"/>
                <w:sz w:val="14"/>
                <w:szCs w:val="14"/>
                <w:color w:val="auto"/>
              </w:rPr>
              <w:t>SMIC</w:t>
            </w:r>
          </w:p>
        </w:tc>
        <w:tc>
          <w:tcPr>
            <w:tcW w:w="640" w:type="dxa"/>
            <w:vAlign w:val="bottom"/>
          </w:tcPr>
          <w:p>
            <w:pPr>
              <w:jc w:val="center"/>
              <w:spacing w:after="0"/>
              <w:rPr>
                <w:sz w:val="20"/>
                <w:szCs w:val="20"/>
                <w:color w:val="auto"/>
              </w:rPr>
            </w:pPr>
            <w:r>
              <w:rPr>
                <w:rFonts w:ascii="Arial" w:cs="Arial" w:eastAsia="Arial" w:hAnsi="Arial"/>
                <w:sz w:val="14"/>
                <w:szCs w:val="14"/>
                <w:color w:val="auto"/>
                <w:w w:val="98"/>
              </w:rPr>
              <w:t>6%</w:t>
            </w:r>
          </w:p>
        </w:tc>
        <w:tc>
          <w:tcPr>
            <w:tcW w:w="1160" w:type="dxa"/>
            <w:vAlign w:val="bottom"/>
          </w:tcPr>
          <w:p>
            <w:pPr>
              <w:jc w:val="center"/>
              <w:spacing w:after="0"/>
              <w:rPr>
                <w:sz w:val="20"/>
                <w:szCs w:val="20"/>
                <w:color w:val="auto"/>
              </w:rPr>
            </w:pPr>
            <w:r>
              <w:rPr>
                <w:rFonts w:ascii="Arial" w:cs="Arial" w:eastAsia="Arial" w:hAnsi="Arial"/>
                <w:sz w:val="14"/>
                <w:szCs w:val="14"/>
                <w:color w:val="auto"/>
              </w:rPr>
              <w:t>SSMC</w:t>
            </w:r>
          </w:p>
        </w:tc>
        <w:tc>
          <w:tcPr>
            <w:tcW w:w="480" w:type="dxa"/>
            <w:vAlign w:val="bottom"/>
          </w:tcPr>
          <w:p>
            <w:pPr>
              <w:jc w:val="center"/>
              <w:ind w:left="128"/>
              <w:spacing w:after="0"/>
              <w:rPr>
                <w:sz w:val="20"/>
                <w:szCs w:val="20"/>
                <w:color w:val="auto"/>
              </w:rPr>
            </w:pPr>
            <w:r>
              <w:rPr>
                <w:rFonts w:ascii="Arial" w:cs="Arial" w:eastAsia="Arial" w:hAnsi="Arial"/>
                <w:sz w:val="14"/>
                <w:szCs w:val="14"/>
                <w:color w:val="auto"/>
                <w:w w:val="99"/>
              </w:rPr>
              <w:t>25%</w:t>
            </w:r>
          </w:p>
        </w:tc>
      </w:tr>
      <w:tr>
        <w:trPr>
          <w:trHeight w:val="219"/>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14</w:t>
            </w:r>
          </w:p>
        </w:tc>
        <w:tc>
          <w:tcPr>
            <w:tcW w:w="1140" w:type="dxa"/>
            <w:vAlign w:val="bottom"/>
          </w:tcPr>
          <w:p>
            <w:pPr>
              <w:jc w:val="center"/>
              <w:spacing w:after="0"/>
              <w:rPr>
                <w:sz w:val="20"/>
                <w:szCs w:val="20"/>
                <w:color w:val="auto"/>
              </w:rPr>
            </w:pPr>
            <w:r>
              <w:rPr>
                <w:rFonts w:ascii="Arial" w:cs="Arial" w:eastAsia="Arial" w:hAnsi="Arial"/>
                <w:sz w:val="14"/>
                <w:szCs w:val="14"/>
                <w:color w:val="auto"/>
              </w:rPr>
              <w:t>Silterra</w:t>
            </w:r>
          </w:p>
        </w:tc>
        <w:tc>
          <w:tcPr>
            <w:tcW w:w="680" w:type="dxa"/>
            <w:vAlign w:val="bottom"/>
          </w:tcPr>
          <w:p>
            <w:pPr>
              <w:jc w:val="center"/>
              <w:spacing w:after="0"/>
              <w:rPr>
                <w:sz w:val="20"/>
                <w:szCs w:val="20"/>
                <w:color w:val="auto"/>
              </w:rPr>
            </w:pPr>
            <w:r>
              <w:rPr>
                <w:rFonts w:ascii="Arial" w:cs="Arial" w:eastAsia="Arial" w:hAnsi="Arial"/>
                <w:sz w:val="14"/>
                <w:szCs w:val="14"/>
                <w:color w:val="auto"/>
              </w:rPr>
              <w:t>-13%</w:t>
            </w:r>
          </w:p>
        </w:tc>
        <w:tc>
          <w:tcPr>
            <w:tcW w:w="1140" w:type="dxa"/>
            <w:vAlign w:val="bottom"/>
          </w:tcPr>
          <w:p>
            <w:pPr>
              <w:jc w:val="center"/>
              <w:spacing w:after="0"/>
              <w:rPr>
                <w:sz w:val="20"/>
                <w:szCs w:val="20"/>
                <w:color w:val="auto"/>
              </w:rPr>
            </w:pPr>
            <w:r>
              <w:rPr>
                <w:rFonts w:ascii="Arial" w:cs="Arial" w:eastAsia="Arial" w:hAnsi="Arial"/>
                <w:sz w:val="14"/>
                <w:szCs w:val="14"/>
                <w:color w:val="auto"/>
                <w:w w:val="98"/>
              </w:rPr>
              <w:t>Vanguard</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13%</w:t>
            </w:r>
          </w:p>
        </w:tc>
        <w:tc>
          <w:tcPr>
            <w:tcW w:w="1140" w:type="dxa"/>
            <w:vAlign w:val="bottom"/>
          </w:tcPr>
          <w:p>
            <w:pPr>
              <w:jc w:val="center"/>
              <w:spacing w:after="0"/>
              <w:rPr>
                <w:sz w:val="20"/>
                <w:szCs w:val="20"/>
                <w:color w:val="auto"/>
              </w:rPr>
            </w:pPr>
            <w:r>
              <w:rPr>
                <w:rFonts w:ascii="Arial" w:cs="Arial" w:eastAsia="Arial" w:hAnsi="Arial"/>
                <w:sz w:val="14"/>
                <w:szCs w:val="14"/>
                <w:color w:val="auto"/>
              </w:rPr>
              <w:t>HHNEC</w:t>
            </w:r>
          </w:p>
        </w:tc>
        <w:tc>
          <w:tcPr>
            <w:tcW w:w="640" w:type="dxa"/>
            <w:vAlign w:val="bottom"/>
          </w:tcPr>
          <w:p>
            <w:pPr>
              <w:jc w:val="center"/>
              <w:spacing w:after="0"/>
              <w:rPr>
                <w:sz w:val="20"/>
                <w:szCs w:val="20"/>
                <w:color w:val="auto"/>
              </w:rPr>
            </w:pPr>
            <w:r>
              <w:rPr>
                <w:rFonts w:ascii="Arial" w:cs="Arial" w:eastAsia="Arial" w:hAnsi="Arial"/>
                <w:sz w:val="14"/>
                <w:szCs w:val="14"/>
                <w:color w:val="auto"/>
                <w:w w:val="98"/>
              </w:rPr>
              <w:t>6%</w:t>
            </w:r>
          </w:p>
        </w:tc>
        <w:tc>
          <w:tcPr>
            <w:tcW w:w="1160" w:type="dxa"/>
            <w:vAlign w:val="bottom"/>
          </w:tcPr>
          <w:p>
            <w:pPr>
              <w:jc w:val="center"/>
              <w:spacing w:after="0"/>
              <w:rPr>
                <w:sz w:val="20"/>
                <w:szCs w:val="20"/>
                <w:color w:val="auto"/>
              </w:rPr>
            </w:pPr>
            <w:r>
              <w:rPr>
                <w:rFonts w:ascii="Arial" w:cs="Arial" w:eastAsia="Arial" w:hAnsi="Arial"/>
                <w:sz w:val="14"/>
                <w:szCs w:val="14"/>
                <w:color w:val="auto"/>
              </w:rPr>
              <w:t>TSMC</w:t>
            </w:r>
          </w:p>
        </w:tc>
        <w:tc>
          <w:tcPr>
            <w:tcW w:w="480" w:type="dxa"/>
            <w:vAlign w:val="bottom"/>
          </w:tcPr>
          <w:p>
            <w:pPr>
              <w:jc w:val="center"/>
              <w:ind w:left="128"/>
              <w:spacing w:after="0"/>
              <w:rPr>
                <w:sz w:val="20"/>
                <w:szCs w:val="20"/>
                <w:color w:val="auto"/>
              </w:rPr>
            </w:pPr>
            <w:r>
              <w:rPr>
                <w:rFonts w:ascii="Arial" w:cs="Arial" w:eastAsia="Arial" w:hAnsi="Arial"/>
                <w:sz w:val="14"/>
                <w:szCs w:val="14"/>
                <w:color w:val="auto"/>
                <w:w w:val="99"/>
              </w:rPr>
              <w:t>19%</w:t>
            </w:r>
          </w:p>
        </w:tc>
      </w:tr>
      <w:tr>
        <w:trPr>
          <w:trHeight w:val="232"/>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15</w:t>
            </w:r>
          </w:p>
        </w:tc>
        <w:tc>
          <w:tcPr>
            <w:tcW w:w="1140" w:type="dxa"/>
            <w:vAlign w:val="bottom"/>
          </w:tcPr>
          <w:p>
            <w:pPr>
              <w:jc w:val="center"/>
              <w:spacing w:after="0"/>
              <w:rPr>
                <w:sz w:val="20"/>
                <w:szCs w:val="20"/>
                <w:color w:val="auto"/>
              </w:rPr>
            </w:pPr>
            <w:r>
              <w:rPr>
                <w:rFonts w:ascii="Arial" w:cs="Arial" w:eastAsia="Arial" w:hAnsi="Arial"/>
                <w:sz w:val="14"/>
                <w:szCs w:val="14"/>
                <w:color w:val="auto"/>
              </w:rPr>
              <w:t>1st Silicon</w:t>
            </w:r>
          </w:p>
        </w:tc>
        <w:tc>
          <w:tcPr>
            <w:tcW w:w="680" w:type="dxa"/>
            <w:vAlign w:val="bottom"/>
          </w:tcPr>
          <w:p>
            <w:pPr>
              <w:jc w:val="center"/>
              <w:spacing w:after="0"/>
              <w:rPr>
                <w:sz w:val="20"/>
                <w:szCs w:val="20"/>
                <w:color w:val="auto"/>
              </w:rPr>
            </w:pPr>
            <w:r>
              <w:rPr>
                <w:rFonts w:ascii="Arial" w:cs="Arial" w:eastAsia="Arial" w:hAnsi="Arial"/>
                <w:sz w:val="14"/>
                <w:szCs w:val="14"/>
                <w:color w:val="auto"/>
              </w:rPr>
              <w:t>-15%</w:t>
            </w:r>
          </w:p>
        </w:tc>
        <w:tc>
          <w:tcPr>
            <w:tcW w:w="1140" w:type="dxa"/>
            <w:vAlign w:val="bottom"/>
          </w:tcPr>
          <w:p>
            <w:pPr>
              <w:jc w:val="center"/>
              <w:spacing w:after="0"/>
              <w:rPr>
                <w:sz w:val="20"/>
                <w:szCs w:val="20"/>
                <w:color w:val="auto"/>
              </w:rPr>
            </w:pPr>
            <w:r>
              <w:rPr>
                <w:rFonts w:ascii="Arial" w:cs="Arial" w:eastAsia="Arial" w:hAnsi="Arial"/>
                <w:sz w:val="14"/>
                <w:szCs w:val="14"/>
                <w:color w:val="auto"/>
              </w:rPr>
              <w:t>UMC</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13%</w:t>
            </w:r>
          </w:p>
        </w:tc>
        <w:tc>
          <w:tcPr>
            <w:tcW w:w="1140" w:type="dxa"/>
            <w:vAlign w:val="bottom"/>
          </w:tcPr>
          <w:p>
            <w:pPr>
              <w:jc w:val="center"/>
              <w:spacing w:after="0"/>
              <w:rPr>
                <w:sz w:val="20"/>
                <w:szCs w:val="20"/>
                <w:color w:val="auto"/>
              </w:rPr>
            </w:pPr>
            <w:r>
              <w:rPr>
                <w:rFonts w:ascii="Arial" w:cs="Arial" w:eastAsia="Arial" w:hAnsi="Arial"/>
                <w:sz w:val="14"/>
                <w:szCs w:val="14"/>
                <w:color w:val="auto"/>
              </w:rPr>
              <w:t>UMC</w:t>
            </w:r>
          </w:p>
        </w:tc>
        <w:tc>
          <w:tcPr>
            <w:tcW w:w="64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160" w:type="dxa"/>
            <w:vAlign w:val="bottom"/>
          </w:tcPr>
          <w:p>
            <w:pPr>
              <w:jc w:val="center"/>
              <w:spacing w:after="0"/>
              <w:rPr>
                <w:sz w:val="20"/>
                <w:szCs w:val="20"/>
                <w:color w:val="auto"/>
              </w:rPr>
            </w:pPr>
            <w:r>
              <w:rPr>
                <w:rFonts w:ascii="Arial" w:cs="Arial" w:eastAsia="Arial" w:hAnsi="Arial"/>
                <w:sz w:val="14"/>
                <w:szCs w:val="14"/>
                <w:color w:val="auto"/>
              </w:rPr>
              <w:t>Polar Semi.</w:t>
            </w:r>
          </w:p>
        </w:tc>
        <w:tc>
          <w:tcPr>
            <w:tcW w:w="480" w:type="dxa"/>
            <w:vAlign w:val="bottom"/>
          </w:tcPr>
          <w:p>
            <w:pPr>
              <w:jc w:val="center"/>
              <w:ind w:left="128"/>
              <w:spacing w:after="0"/>
              <w:rPr>
                <w:sz w:val="20"/>
                <w:szCs w:val="20"/>
                <w:color w:val="auto"/>
              </w:rPr>
            </w:pPr>
            <w:r>
              <w:rPr>
                <w:rFonts w:ascii="Arial" w:cs="Arial" w:eastAsia="Arial" w:hAnsi="Arial"/>
                <w:sz w:val="14"/>
                <w:szCs w:val="14"/>
                <w:color w:val="auto"/>
                <w:w w:val="99"/>
              </w:rPr>
              <w:t>17%</w:t>
            </w:r>
          </w:p>
        </w:tc>
      </w:tr>
      <w:tr>
        <w:trPr>
          <w:trHeight w:val="219"/>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16</w:t>
            </w:r>
          </w:p>
        </w:tc>
        <w:tc>
          <w:tcPr>
            <w:tcW w:w="1140" w:type="dxa"/>
            <w:vAlign w:val="bottom"/>
          </w:tcPr>
          <w:p>
            <w:pPr>
              <w:jc w:val="center"/>
              <w:spacing w:after="0"/>
              <w:rPr>
                <w:sz w:val="20"/>
                <w:szCs w:val="20"/>
                <w:color w:val="auto"/>
              </w:rPr>
            </w:pPr>
            <w:r>
              <w:rPr>
                <w:rFonts w:ascii="Arial" w:cs="Arial" w:eastAsia="Arial" w:hAnsi="Arial"/>
                <w:sz w:val="14"/>
                <w:szCs w:val="14"/>
                <w:color w:val="auto"/>
              </w:rPr>
              <w:t>UMC</w:t>
            </w:r>
          </w:p>
        </w:tc>
        <w:tc>
          <w:tcPr>
            <w:tcW w:w="680" w:type="dxa"/>
            <w:vAlign w:val="bottom"/>
          </w:tcPr>
          <w:p>
            <w:pPr>
              <w:jc w:val="center"/>
              <w:spacing w:after="0"/>
              <w:rPr>
                <w:sz w:val="20"/>
                <w:szCs w:val="20"/>
                <w:color w:val="auto"/>
              </w:rPr>
            </w:pPr>
            <w:r>
              <w:rPr>
                <w:rFonts w:ascii="Arial" w:cs="Arial" w:eastAsia="Arial" w:hAnsi="Arial"/>
                <w:sz w:val="14"/>
                <w:szCs w:val="14"/>
                <w:color w:val="auto"/>
              </w:rPr>
              <w:t>-16%</w:t>
            </w:r>
          </w:p>
        </w:tc>
        <w:tc>
          <w:tcPr>
            <w:tcW w:w="1140" w:type="dxa"/>
            <w:vAlign w:val="bottom"/>
          </w:tcPr>
          <w:p>
            <w:pPr>
              <w:jc w:val="center"/>
              <w:spacing w:after="0"/>
              <w:rPr>
                <w:sz w:val="20"/>
                <w:szCs w:val="20"/>
                <w:color w:val="auto"/>
              </w:rPr>
            </w:pPr>
            <w:r>
              <w:rPr>
                <w:rFonts w:ascii="Arial" w:cs="Arial" w:eastAsia="Arial" w:hAnsi="Arial"/>
                <w:sz w:val="14"/>
                <w:szCs w:val="14"/>
                <w:color w:val="auto"/>
                <w:w w:val="97"/>
              </w:rPr>
              <w:t>Jazz</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7%</w:t>
            </w:r>
          </w:p>
        </w:tc>
        <w:tc>
          <w:tcPr>
            <w:tcW w:w="1140" w:type="dxa"/>
            <w:vAlign w:val="bottom"/>
          </w:tcPr>
          <w:p>
            <w:pPr>
              <w:jc w:val="center"/>
              <w:spacing w:after="0"/>
              <w:rPr>
                <w:sz w:val="20"/>
                <w:szCs w:val="20"/>
                <w:color w:val="auto"/>
              </w:rPr>
            </w:pPr>
            <w:r>
              <w:rPr>
                <w:rFonts w:ascii="Arial" w:cs="Arial" w:eastAsia="Arial" w:hAnsi="Arial"/>
                <w:sz w:val="14"/>
                <w:szCs w:val="14"/>
                <w:color w:val="auto"/>
              </w:rPr>
              <w:t>TSMC</w:t>
            </w:r>
          </w:p>
        </w:tc>
        <w:tc>
          <w:tcPr>
            <w:tcW w:w="64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160" w:type="dxa"/>
            <w:vAlign w:val="bottom"/>
          </w:tcPr>
          <w:p>
            <w:pPr>
              <w:jc w:val="center"/>
              <w:spacing w:after="0"/>
              <w:rPr>
                <w:sz w:val="20"/>
                <w:szCs w:val="20"/>
                <w:color w:val="auto"/>
              </w:rPr>
            </w:pPr>
            <w:r>
              <w:rPr>
                <w:rFonts w:ascii="Arial" w:cs="Arial" w:eastAsia="Arial" w:hAnsi="Arial"/>
                <w:sz w:val="14"/>
                <w:szCs w:val="14"/>
                <w:color w:val="auto"/>
              </w:rPr>
              <w:t>Jazz</w:t>
            </w:r>
          </w:p>
        </w:tc>
        <w:tc>
          <w:tcPr>
            <w:tcW w:w="480" w:type="dxa"/>
            <w:vAlign w:val="bottom"/>
          </w:tcPr>
          <w:p>
            <w:pPr>
              <w:jc w:val="center"/>
              <w:ind w:left="128"/>
              <w:spacing w:after="0"/>
              <w:rPr>
                <w:sz w:val="20"/>
                <w:szCs w:val="20"/>
                <w:color w:val="auto"/>
              </w:rPr>
            </w:pPr>
            <w:r>
              <w:rPr>
                <w:rFonts w:ascii="Arial" w:cs="Arial" w:eastAsia="Arial" w:hAnsi="Arial"/>
                <w:sz w:val="14"/>
                <w:szCs w:val="14"/>
                <w:color w:val="auto"/>
                <w:w w:val="99"/>
              </w:rPr>
              <w:t>16%</w:t>
            </w:r>
          </w:p>
        </w:tc>
      </w:tr>
      <w:tr>
        <w:trPr>
          <w:trHeight w:val="219"/>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17</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Tower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-24%</w:t>
            </w:r>
          </w:p>
        </w:tc>
        <w:tc>
          <w:tcPr>
            <w:tcW w:w="1140" w:type="dxa"/>
            <w:vAlign w:val="bottom"/>
          </w:tcPr>
          <w:p>
            <w:pPr>
              <w:jc w:val="center"/>
              <w:spacing w:after="0"/>
              <w:rPr>
                <w:sz w:val="20"/>
                <w:szCs w:val="20"/>
                <w:color w:val="auto"/>
              </w:rPr>
            </w:pPr>
            <w:r>
              <w:rPr>
                <w:rFonts w:ascii="Arial" w:cs="Arial" w:eastAsia="Arial" w:hAnsi="Arial"/>
                <w:sz w:val="14"/>
                <w:szCs w:val="14"/>
                <w:color w:val="auto"/>
              </w:rPr>
              <w:t>Polar Semi.</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6%</w:t>
            </w:r>
          </w:p>
        </w:tc>
        <w:tc>
          <w:tcPr>
            <w:tcW w:w="1140" w:type="dxa"/>
            <w:vAlign w:val="bottom"/>
          </w:tcPr>
          <w:p>
            <w:pPr>
              <w:jc w:val="center"/>
              <w:spacing w:after="0"/>
              <w:rPr>
                <w:sz w:val="20"/>
                <w:szCs w:val="20"/>
                <w:color w:val="auto"/>
              </w:rPr>
            </w:pPr>
            <w:r>
              <w:rPr>
                <w:rFonts w:ascii="Arial" w:cs="Arial" w:eastAsia="Arial" w:hAnsi="Arial"/>
                <w:sz w:val="14"/>
                <w:szCs w:val="14"/>
                <w:color w:val="auto"/>
              </w:rPr>
              <w:t>Mosel-Vitelic</w:t>
            </w:r>
          </w:p>
        </w:tc>
        <w:tc>
          <w:tcPr>
            <w:tcW w:w="64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160" w:type="dxa"/>
            <w:vAlign w:val="bottom"/>
          </w:tcPr>
          <w:p>
            <w:pPr>
              <w:jc w:val="center"/>
              <w:spacing w:after="0"/>
              <w:rPr>
                <w:sz w:val="20"/>
                <w:szCs w:val="20"/>
                <w:color w:val="auto"/>
              </w:rPr>
            </w:pPr>
            <w:r>
              <w:rPr>
                <w:rFonts w:ascii="Arial" w:cs="Arial" w:eastAsia="Arial" w:hAnsi="Arial"/>
                <w:sz w:val="14"/>
                <w:szCs w:val="14"/>
                <w:color w:val="auto"/>
              </w:rPr>
              <w:t>UMC</w:t>
            </w:r>
          </w:p>
        </w:tc>
        <w:tc>
          <w:tcPr>
            <w:tcW w:w="480" w:type="dxa"/>
            <w:vAlign w:val="bottom"/>
          </w:tcPr>
          <w:p>
            <w:pPr>
              <w:jc w:val="center"/>
              <w:ind w:left="128"/>
              <w:spacing w:after="0"/>
              <w:rPr>
                <w:sz w:val="20"/>
                <w:szCs w:val="20"/>
                <w:color w:val="auto"/>
              </w:rPr>
            </w:pPr>
            <w:r>
              <w:rPr>
                <w:rFonts w:ascii="Arial" w:cs="Arial" w:eastAsia="Arial" w:hAnsi="Arial"/>
                <w:sz w:val="14"/>
                <w:szCs w:val="14"/>
                <w:color w:val="auto"/>
                <w:w w:val="99"/>
              </w:rPr>
              <w:t>15%</w:t>
            </w:r>
          </w:p>
        </w:tc>
      </w:tr>
      <w:tr>
        <w:trPr>
          <w:trHeight w:val="232"/>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18</w:t>
            </w:r>
          </w:p>
        </w:tc>
        <w:tc>
          <w:tcPr>
            <w:tcW w:w="1140" w:type="dxa"/>
            <w:vAlign w:val="bottom"/>
          </w:tcPr>
          <w:p>
            <w:pPr>
              <w:jc w:val="center"/>
              <w:spacing w:after="0"/>
              <w:rPr>
                <w:sz w:val="20"/>
                <w:szCs w:val="20"/>
                <w:color w:val="auto"/>
              </w:rPr>
            </w:pPr>
            <w:r>
              <w:rPr>
                <w:rFonts w:ascii="Arial" w:cs="Arial" w:eastAsia="Arial" w:hAnsi="Arial"/>
                <w:sz w:val="14"/>
                <w:szCs w:val="14"/>
                <w:color w:val="auto"/>
              </w:rPr>
              <w:t>Vanguard</w:t>
            </w:r>
          </w:p>
        </w:tc>
        <w:tc>
          <w:tcPr>
            <w:tcW w:w="680" w:type="dxa"/>
            <w:vAlign w:val="bottom"/>
          </w:tcPr>
          <w:p>
            <w:pPr>
              <w:jc w:val="center"/>
              <w:spacing w:after="0"/>
              <w:rPr>
                <w:sz w:val="20"/>
                <w:szCs w:val="20"/>
                <w:color w:val="auto"/>
              </w:rPr>
            </w:pPr>
            <w:r>
              <w:rPr>
                <w:rFonts w:ascii="Arial" w:cs="Arial" w:eastAsia="Arial" w:hAnsi="Arial"/>
                <w:sz w:val="14"/>
                <w:szCs w:val="14"/>
                <w:color w:val="auto"/>
              </w:rPr>
              <w:t>-26%</w:t>
            </w:r>
          </w:p>
        </w:tc>
        <w:tc>
          <w:tcPr>
            <w:tcW w:w="1140" w:type="dxa"/>
            <w:vAlign w:val="bottom"/>
          </w:tcPr>
          <w:p>
            <w:pPr>
              <w:jc w:val="center"/>
              <w:spacing w:after="0"/>
              <w:rPr>
                <w:sz w:val="20"/>
                <w:szCs w:val="20"/>
                <w:color w:val="auto"/>
              </w:rPr>
            </w:pPr>
            <w:r>
              <w:rPr>
                <w:rFonts w:ascii="Arial" w:cs="Arial" w:eastAsia="Arial" w:hAnsi="Arial"/>
                <w:sz w:val="14"/>
                <w:szCs w:val="14"/>
                <w:color w:val="auto"/>
              </w:rPr>
              <w:t>HHNEC</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140" w:type="dxa"/>
            <w:vAlign w:val="bottom"/>
          </w:tcPr>
          <w:p>
            <w:pPr>
              <w:jc w:val="center"/>
              <w:spacing w:after="0"/>
              <w:rPr>
                <w:sz w:val="20"/>
                <w:szCs w:val="20"/>
                <w:color w:val="auto"/>
              </w:rPr>
            </w:pPr>
            <w:r>
              <w:rPr>
                <w:rFonts w:ascii="Arial" w:cs="Arial" w:eastAsia="Arial" w:hAnsi="Arial"/>
                <w:sz w:val="14"/>
                <w:szCs w:val="14"/>
                <w:color w:val="auto"/>
              </w:rPr>
              <w:t>ASMC</w:t>
            </w:r>
          </w:p>
        </w:tc>
        <w:tc>
          <w:tcPr>
            <w:tcW w:w="640" w:type="dxa"/>
            <w:vAlign w:val="bottom"/>
          </w:tcPr>
          <w:p>
            <w:pPr>
              <w:jc w:val="center"/>
              <w:spacing w:after="0"/>
              <w:rPr>
                <w:sz w:val="20"/>
                <w:szCs w:val="20"/>
                <w:color w:val="auto"/>
              </w:rPr>
            </w:pPr>
            <w:r>
              <w:rPr>
                <w:rFonts w:ascii="Arial" w:cs="Arial" w:eastAsia="Arial" w:hAnsi="Arial"/>
                <w:sz w:val="14"/>
                <w:szCs w:val="14"/>
                <w:color w:val="auto"/>
                <w:w w:val="98"/>
              </w:rPr>
              <w:t>0%</w:t>
            </w:r>
          </w:p>
        </w:tc>
        <w:tc>
          <w:tcPr>
            <w:tcW w:w="1160" w:type="dxa"/>
            <w:vAlign w:val="bottom"/>
          </w:tcPr>
          <w:p>
            <w:pPr>
              <w:jc w:val="center"/>
              <w:spacing w:after="0"/>
              <w:rPr>
                <w:sz w:val="20"/>
                <w:szCs w:val="20"/>
                <w:color w:val="auto"/>
              </w:rPr>
            </w:pPr>
            <w:r>
              <w:rPr>
                <w:rFonts w:ascii="Arial" w:cs="Arial" w:eastAsia="Arial" w:hAnsi="Arial"/>
                <w:sz w:val="14"/>
                <w:szCs w:val="14"/>
                <w:color w:val="auto"/>
              </w:rPr>
              <w:t>HHNEC</w:t>
            </w:r>
          </w:p>
        </w:tc>
        <w:tc>
          <w:tcPr>
            <w:tcW w:w="480" w:type="dxa"/>
            <w:vAlign w:val="bottom"/>
          </w:tcPr>
          <w:p>
            <w:pPr>
              <w:jc w:val="center"/>
              <w:ind w:left="128"/>
              <w:spacing w:after="0"/>
              <w:rPr>
                <w:sz w:val="20"/>
                <w:szCs w:val="20"/>
                <w:color w:val="auto"/>
              </w:rPr>
            </w:pPr>
            <w:r>
              <w:rPr>
                <w:rFonts w:ascii="Arial" w:cs="Arial" w:eastAsia="Arial" w:hAnsi="Arial"/>
                <w:sz w:val="14"/>
                <w:szCs w:val="14"/>
                <w:color w:val="auto"/>
                <w:w w:val="98"/>
              </w:rPr>
              <w:t>7%</w:t>
            </w:r>
          </w:p>
        </w:tc>
      </w:tr>
      <w:tr>
        <w:trPr>
          <w:trHeight w:val="232"/>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19</w:t>
            </w:r>
          </w:p>
        </w:tc>
        <w:tc>
          <w:tcPr>
            <w:tcW w:w="1140" w:type="dxa"/>
            <w:vAlign w:val="bottom"/>
          </w:tcPr>
          <w:p>
            <w:pPr>
              <w:jc w:val="center"/>
              <w:spacing w:after="0"/>
              <w:rPr>
                <w:sz w:val="20"/>
                <w:szCs w:val="20"/>
                <w:color w:val="auto"/>
              </w:rPr>
            </w:pPr>
            <w:r>
              <w:rPr>
                <w:rFonts w:ascii="Arial" w:cs="Arial" w:eastAsia="Arial" w:hAnsi="Arial"/>
                <w:sz w:val="14"/>
                <w:szCs w:val="14"/>
                <w:color w:val="auto"/>
              </w:rPr>
              <w:t>Grace</w:t>
            </w:r>
          </w:p>
        </w:tc>
        <w:tc>
          <w:tcPr>
            <w:tcW w:w="680" w:type="dxa"/>
            <w:vAlign w:val="bottom"/>
          </w:tcPr>
          <w:p>
            <w:pPr>
              <w:jc w:val="center"/>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1st Silicon</w:t>
            </w:r>
          </w:p>
        </w:tc>
        <w:tc>
          <w:tcPr>
            <w:tcW w:w="620" w:type="dxa"/>
            <w:vAlign w:val="bottom"/>
          </w:tcPr>
          <w:p>
            <w:pPr>
              <w:ind w:left="200"/>
              <w:spacing w:after="0"/>
              <w:rPr>
                <w:sz w:val="20"/>
                <w:szCs w:val="20"/>
                <w:color w:val="auto"/>
              </w:rPr>
            </w:pPr>
            <w:r>
              <w:rPr>
                <w:rFonts w:ascii="Arial" w:cs="Arial" w:eastAsia="Arial" w:hAnsi="Arial"/>
                <w:sz w:val="14"/>
                <w:szCs w:val="14"/>
                <w:color w:val="auto"/>
              </w:rPr>
              <w:t>NA</w:t>
            </w:r>
          </w:p>
        </w:tc>
        <w:tc>
          <w:tcPr>
            <w:tcW w:w="1140" w:type="dxa"/>
            <w:vAlign w:val="bottom"/>
          </w:tcPr>
          <w:p>
            <w:pPr>
              <w:jc w:val="center"/>
              <w:spacing w:after="0"/>
              <w:rPr>
                <w:sz w:val="20"/>
                <w:szCs w:val="20"/>
                <w:color w:val="auto"/>
              </w:rPr>
            </w:pPr>
            <w:r>
              <w:rPr>
                <w:rFonts w:ascii="Arial" w:cs="Arial" w:eastAsia="Arial" w:hAnsi="Arial"/>
                <w:sz w:val="14"/>
                <w:szCs w:val="14"/>
                <w:color w:val="auto"/>
              </w:rPr>
              <w:t>Chartered</w:t>
            </w: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-5%</w:t>
            </w:r>
          </w:p>
        </w:tc>
        <w:tc>
          <w:tcPr>
            <w:tcW w:w="1160" w:type="dxa"/>
            <w:vAlign w:val="bottom"/>
          </w:tcPr>
          <w:p>
            <w:pPr>
              <w:jc w:val="center"/>
              <w:spacing w:after="0"/>
              <w:rPr>
                <w:sz w:val="20"/>
                <w:szCs w:val="20"/>
                <w:color w:val="auto"/>
              </w:rPr>
            </w:pPr>
            <w:r>
              <w:rPr>
                <w:rFonts w:ascii="Arial" w:cs="Arial" w:eastAsia="Arial" w:hAnsi="Arial"/>
                <w:sz w:val="14"/>
                <w:szCs w:val="14"/>
                <w:color w:val="auto"/>
              </w:rPr>
              <w:t>Mosel-Vitelic</w:t>
            </w:r>
          </w:p>
        </w:tc>
        <w:tc>
          <w:tcPr>
            <w:tcW w:w="480" w:type="dxa"/>
            <w:vAlign w:val="bottom"/>
          </w:tcPr>
          <w:p>
            <w:pPr>
              <w:ind w:left="240"/>
              <w:spacing w:after="0"/>
              <w:rPr>
                <w:sz w:val="20"/>
                <w:szCs w:val="20"/>
                <w:color w:val="auto"/>
              </w:rPr>
            </w:pPr>
            <w:r>
              <w:rPr>
                <w:rFonts w:ascii="Arial" w:cs="Arial" w:eastAsia="Arial" w:hAnsi="Arial"/>
                <w:sz w:val="14"/>
                <w:szCs w:val="14"/>
                <w:color w:val="auto"/>
              </w:rPr>
              <w:t>NA</w:t>
            </w:r>
          </w:p>
        </w:tc>
      </w:tr>
      <w:tr>
        <w:trPr>
          <w:trHeight w:val="245"/>
        </w:trPr>
        <w:tc>
          <w:tcPr>
            <w:tcW w:w="300" w:type="dxa"/>
            <w:vAlign w:val="bottom"/>
          </w:tcPr>
          <w:p>
            <w:pPr>
              <w:jc w:val="center"/>
              <w:ind w:right="68"/>
              <w:spacing w:after="0"/>
              <w:rPr>
                <w:sz w:val="20"/>
                <w:szCs w:val="20"/>
                <w:color w:val="auto"/>
              </w:rPr>
            </w:pPr>
            <w:r>
              <w:rPr>
                <w:rFonts w:ascii="Arial" w:cs="Arial" w:eastAsia="Arial" w:hAnsi="Arial"/>
                <w:sz w:val="14"/>
                <w:szCs w:val="14"/>
                <w:color w:val="auto"/>
              </w:rPr>
              <w:t>20</w:t>
            </w:r>
          </w:p>
        </w:tc>
        <w:tc>
          <w:tcPr>
            <w:tcW w:w="1140" w:type="dxa"/>
            <w:vAlign w:val="bottom"/>
          </w:tcPr>
          <w:p>
            <w:pPr>
              <w:jc w:val="center"/>
              <w:spacing w:after="0"/>
              <w:rPr>
                <w:sz w:val="20"/>
                <w:szCs w:val="20"/>
                <w:color w:val="auto"/>
              </w:rPr>
            </w:pPr>
            <w:r>
              <w:rPr>
                <w:rFonts w:ascii="Arial" w:cs="Arial" w:eastAsia="Arial" w:hAnsi="Arial"/>
                <w:sz w:val="14"/>
                <w:szCs w:val="14"/>
                <w:color w:val="auto"/>
              </w:rPr>
              <w:t>Mosel-Vitelic</w:t>
            </w:r>
          </w:p>
        </w:tc>
        <w:tc>
          <w:tcPr>
            <w:tcW w:w="680" w:type="dxa"/>
            <w:vAlign w:val="bottom"/>
          </w:tcPr>
          <w:p>
            <w:pPr>
              <w:ind w:left="260"/>
              <w:spacing w:after="0"/>
              <w:rPr>
                <w:sz w:val="20"/>
                <w:szCs w:val="20"/>
                <w:color w:val="auto"/>
              </w:rPr>
            </w:pPr>
            <w:r>
              <w:rPr>
                <w:rFonts w:ascii="Arial" w:cs="Arial" w:eastAsia="Arial" w:hAnsi="Arial"/>
                <w:sz w:val="14"/>
                <w:szCs w:val="14"/>
                <w:color w:val="auto"/>
              </w:rPr>
              <w:t>NA</w:t>
            </w:r>
          </w:p>
        </w:tc>
        <w:tc>
          <w:tcPr>
            <w:tcW w:w="1140" w:type="dxa"/>
            <w:vAlign w:val="bottom"/>
          </w:tcPr>
          <w:p>
            <w:pPr>
              <w:jc w:val="center"/>
              <w:spacing w:after="0"/>
              <w:rPr>
                <w:sz w:val="20"/>
                <w:szCs w:val="20"/>
                <w:color w:val="auto"/>
              </w:rPr>
            </w:pPr>
            <w:r>
              <w:rPr>
                <w:rFonts w:ascii="Arial" w:cs="Arial" w:eastAsia="Arial" w:hAnsi="Arial"/>
                <w:sz w:val="14"/>
                <w:szCs w:val="14"/>
                <w:color w:val="auto"/>
              </w:rPr>
              <w:t>Mosel-Vitelic</w:t>
            </w:r>
          </w:p>
        </w:tc>
        <w:tc>
          <w:tcPr>
            <w:tcW w:w="620" w:type="dxa"/>
            <w:vAlign w:val="bottom"/>
          </w:tcPr>
          <w:p>
            <w:pPr>
              <w:ind w:left="200"/>
              <w:spacing w:after="0"/>
              <w:rPr>
                <w:sz w:val="20"/>
                <w:szCs w:val="20"/>
                <w:color w:val="auto"/>
              </w:rPr>
            </w:pPr>
            <w:r>
              <w:rPr>
                <w:rFonts w:ascii="Arial" w:cs="Arial" w:eastAsia="Arial" w:hAnsi="Arial"/>
                <w:sz w:val="14"/>
                <w:szCs w:val="14"/>
                <w:color w:val="auto"/>
              </w:rPr>
              <w:t>NA</w:t>
            </w:r>
          </w:p>
        </w:tc>
        <w:tc>
          <w:tcPr>
            <w:tcW w:w="1140" w:type="dxa"/>
            <w:vAlign w:val="bottom"/>
          </w:tcPr>
          <w:p>
            <w:pPr>
              <w:jc w:val="center"/>
              <w:spacing w:after="0"/>
              <w:rPr>
                <w:sz w:val="20"/>
                <w:szCs w:val="20"/>
                <w:color w:val="auto"/>
              </w:rPr>
            </w:pPr>
            <w:r>
              <w:rPr>
                <w:rFonts w:ascii="Arial" w:cs="Arial" w:eastAsia="Arial" w:hAnsi="Arial"/>
                <w:sz w:val="14"/>
                <w:szCs w:val="14"/>
                <w:color w:val="auto"/>
              </w:rPr>
              <w:t>1st Silicon</w:t>
            </w:r>
          </w:p>
        </w:tc>
        <w:tc>
          <w:tcPr>
            <w:tcW w:w="640" w:type="dxa"/>
            <w:vAlign w:val="bottom"/>
          </w:tcPr>
          <w:p>
            <w:pPr>
              <w:ind w:left="220"/>
              <w:spacing w:after="0"/>
              <w:rPr>
                <w:sz w:val="20"/>
                <w:szCs w:val="20"/>
                <w:color w:val="auto"/>
              </w:rPr>
            </w:pPr>
            <w:r>
              <w:rPr>
                <w:rFonts w:ascii="Arial" w:cs="Arial" w:eastAsia="Arial" w:hAnsi="Arial"/>
                <w:sz w:val="14"/>
                <w:szCs w:val="14"/>
                <w:color w:val="auto"/>
              </w:rPr>
              <w:t>NA</w:t>
            </w:r>
          </w:p>
        </w:tc>
        <w:tc>
          <w:tcPr>
            <w:tcW w:w="1160" w:type="dxa"/>
            <w:vAlign w:val="bottom"/>
          </w:tcPr>
          <w:p>
            <w:pPr>
              <w:jc w:val="center"/>
              <w:spacing w:after="0"/>
              <w:rPr>
                <w:sz w:val="20"/>
                <w:szCs w:val="20"/>
                <w:color w:val="auto"/>
              </w:rPr>
            </w:pPr>
            <w:r>
              <w:rPr>
                <w:rFonts w:ascii="Arial" w:cs="Arial" w:eastAsia="Arial" w:hAnsi="Arial"/>
                <w:sz w:val="14"/>
                <w:szCs w:val="14"/>
                <w:color w:val="auto"/>
              </w:rPr>
              <w:t>1st Silicon</w:t>
            </w:r>
          </w:p>
        </w:tc>
        <w:tc>
          <w:tcPr>
            <w:tcW w:w="480" w:type="dxa"/>
            <w:vAlign w:val="bottom"/>
          </w:tcPr>
          <w:p>
            <w:pPr>
              <w:ind w:left="240"/>
              <w:spacing w:after="0"/>
              <w:rPr>
                <w:sz w:val="20"/>
                <w:szCs w:val="20"/>
                <w:color w:val="auto"/>
              </w:rPr>
            </w:pPr>
            <w:r>
              <w:rPr>
                <w:rFonts w:ascii="Arial" w:cs="Arial" w:eastAsia="Arial" w:hAnsi="Arial"/>
                <w:sz w:val="14"/>
                <w:szCs w:val="14"/>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-2192655</wp:posOffset>
            </wp:positionV>
            <wp:extent cx="7257415" cy="7719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7719060"/>
                    </a:xfrm>
                    <a:prstGeom prst="rect">
                      <a:avLst/>
                    </a:prstGeom>
                    <a:noFill/>
                  </pic:spPr>
                </pic:pic>
              </a:graphicData>
            </a:graphic>
          </wp:anchor>
        </w:drawing>
      </w:r>
    </w:p>
    <w:p>
      <w:pPr>
        <w:spacing w:after="0" w:line="391" w:lineRule="exact"/>
        <w:rPr>
          <w:sz w:val="20"/>
          <w:szCs w:val="20"/>
          <w:color w:val="auto"/>
        </w:rPr>
      </w:pPr>
    </w:p>
    <w:p>
      <w:pPr>
        <w:jc w:val="right"/>
        <w:ind w:right="199"/>
        <w:spacing w:after="0"/>
        <w:rPr>
          <w:sz w:val="20"/>
          <w:szCs w:val="20"/>
          <w:color w:val="auto"/>
        </w:rPr>
      </w:pPr>
      <w:r>
        <w:rPr>
          <w:rFonts w:ascii="Arial" w:cs="Arial" w:eastAsia="Arial" w:hAnsi="Arial"/>
          <w:sz w:val="17"/>
          <w:szCs w:val="17"/>
          <w:color w:val="auto"/>
        </w:rPr>
        <w:t>11</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0"/>
          <w:szCs w:val="10"/>
          <w:color w:val="auto"/>
        </w:rPr>
        <w:t>Source: The McLean Report, 2008 edition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FFFFFF"/>
        </w:rPr>
        <w:t>Diverse Customer Base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065B94"/>
        </w:rPr>
        <w:t>No customer overlap out of the top 20 and only three out of the top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19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493395</wp:posOffset>
            </wp:positionV>
            <wp:extent cx="725741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0"/>
        <w:spacing w:after="0"/>
        <w:rPr>
          <w:sz w:val="20"/>
          <w:szCs w:val="20"/>
          <w:color w:val="auto"/>
        </w:rPr>
      </w:pPr>
      <w:r>
        <w:rPr>
          <w:rFonts w:ascii="Arial" w:cs="Arial" w:eastAsia="Arial" w:hAnsi="Arial"/>
          <w:sz w:val="29"/>
          <w:szCs w:val="29"/>
          <w:b w:val="1"/>
          <w:bCs w:val="1"/>
          <w:color w:val="FFFFFF"/>
        </w:rPr>
        <w:t>Combined Company Snapshot</w:t>
      </w:r>
    </w:p>
    <w:p>
      <w:pPr>
        <w:spacing w:after="0" w:line="200" w:lineRule="exact"/>
        <w:rPr>
          <w:sz w:val="20"/>
          <w:szCs w:val="20"/>
          <w:color w:val="auto"/>
        </w:rPr>
      </w:pPr>
    </w:p>
    <w:p>
      <w:pPr>
        <w:spacing w:after="0" w:line="312" w:lineRule="exact"/>
        <w:rPr>
          <w:sz w:val="20"/>
          <w:szCs w:val="20"/>
          <w:color w:val="auto"/>
        </w:rPr>
      </w:pPr>
    </w:p>
    <w:tbl>
      <w:tblPr>
        <w:tblLayout w:type="fixed"/>
        <w:tblInd w:w="940" w:type="dxa"/>
        <w:tblCellMar>
          <w:top w:w="0" w:type="dxa"/>
          <w:left w:w="0" w:type="dxa"/>
          <w:bottom w:w="0" w:type="dxa"/>
          <w:right w:w="0" w:type="dxa"/>
        </w:tblCellMar>
      </w:tblPr>
      <w:tr>
        <w:trPr>
          <w:trHeight w:val="222"/>
        </w:trPr>
        <w:tc>
          <w:tcPr>
            <w:tcW w:w="1460" w:type="dxa"/>
            <w:vAlign w:val="bottom"/>
          </w:tcPr>
          <w:p>
            <w:pPr>
              <w:spacing w:after="0"/>
              <w:rPr>
                <w:sz w:val="20"/>
                <w:szCs w:val="20"/>
                <w:color w:val="auto"/>
              </w:rPr>
            </w:pPr>
            <w:r>
              <w:rPr>
                <w:rFonts w:ascii="Arial" w:cs="Arial" w:eastAsia="Arial" w:hAnsi="Arial"/>
                <w:sz w:val="17"/>
                <w:szCs w:val="17"/>
                <w:b w:val="1"/>
                <w:bCs w:val="1"/>
                <w:color w:val="FFFFFF"/>
              </w:rPr>
              <w:t>Headquarters</w:t>
            </w:r>
          </w:p>
        </w:tc>
        <w:tc>
          <w:tcPr>
            <w:tcW w:w="5260" w:type="dxa"/>
            <w:vAlign w:val="bottom"/>
          </w:tcPr>
          <w:p>
            <w:pPr>
              <w:ind w:left="360"/>
              <w:spacing w:after="0"/>
              <w:rPr>
                <w:sz w:val="20"/>
                <w:szCs w:val="20"/>
                <w:color w:val="auto"/>
              </w:rPr>
            </w:pPr>
            <w:r>
              <w:rPr>
                <w:rFonts w:ascii="Arial" w:cs="Arial" w:eastAsia="Arial" w:hAnsi="Arial"/>
                <w:sz w:val="17"/>
                <w:szCs w:val="17"/>
                <w:color w:val="auto"/>
              </w:rPr>
              <w:t>Migdal Haemek, Israel</w:t>
            </w:r>
          </w:p>
        </w:tc>
        <w:tc>
          <w:tcPr>
            <w:tcW w:w="0" w:type="dxa"/>
            <w:vAlign w:val="bottom"/>
          </w:tcPr>
          <w:p>
            <w:pPr>
              <w:spacing w:after="0"/>
              <w:rPr>
                <w:sz w:val="1"/>
                <w:szCs w:val="1"/>
                <w:color w:val="auto"/>
              </w:rPr>
            </w:pPr>
          </w:p>
        </w:tc>
      </w:tr>
      <w:tr>
        <w:trPr>
          <w:trHeight w:val="373"/>
        </w:trPr>
        <w:tc>
          <w:tcPr>
            <w:tcW w:w="1460" w:type="dxa"/>
            <w:vAlign w:val="bottom"/>
          </w:tcPr>
          <w:p>
            <w:pPr>
              <w:spacing w:after="0"/>
              <w:rPr>
                <w:sz w:val="20"/>
                <w:szCs w:val="20"/>
                <w:color w:val="auto"/>
              </w:rPr>
            </w:pPr>
            <w:r>
              <w:rPr>
                <w:rFonts w:ascii="Arial" w:cs="Arial" w:eastAsia="Arial" w:hAnsi="Arial"/>
                <w:sz w:val="17"/>
                <w:szCs w:val="17"/>
                <w:b w:val="1"/>
                <w:bCs w:val="1"/>
                <w:color w:val="FFFFFF"/>
              </w:rPr>
              <w:t>Ticker</w:t>
            </w:r>
          </w:p>
        </w:tc>
        <w:tc>
          <w:tcPr>
            <w:tcW w:w="5260" w:type="dxa"/>
            <w:vAlign w:val="bottom"/>
          </w:tcPr>
          <w:p>
            <w:pPr>
              <w:ind w:left="360"/>
              <w:spacing w:after="0"/>
              <w:rPr>
                <w:sz w:val="20"/>
                <w:szCs w:val="20"/>
                <w:color w:val="auto"/>
              </w:rPr>
            </w:pPr>
            <w:r>
              <w:rPr>
                <w:rFonts w:ascii="Arial" w:cs="Arial" w:eastAsia="Arial" w:hAnsi="Arial"/>
                <w:sz w:val="17"/>
                <w:szCs w:val="17"/>
                <w:color w:val="auto"/>
              </w:rPr>
              <w:t>TSEM (NASDAQ &amp; Tel Aviv Stock Exchange)</w:t>
            </w:r>
          </w:p>
        </w:tc>
        <w:tc>
          <w:tcPr>
            <w:tcW w:w="0" w:type="dxa"/>
            <w:vAlign w:val="bottom"/>
          </w:tcPr>
          <w:p>
            <w:pPr>
              <w:spacing w:after="0"/>
              <w:rPr>
                <w:sz w:val="1"/>
                <w:szCs w:val="1"/>
                <w:color w:val="auto"/>
              </w:rPr>
            </w:pPr>
          </w:p>
        </w:tc>
      </w:tr>
      <w:tr>
        <w:trPr>
          <w:trHeight w:val="309"/>
        </w:trPr>
        <w:tc>
          <w:tcPr>
            <w:tcW w:w="1460" w:type="dxa"/>
            <w:vAlign w:val="bottom"/>
          </w:tcPr>
          <w:p>
            <w:pPr>
              <w:spacing w:after="0"/>
              <w:rPr>
                <w:sz w:val="20"/>
                <w:szCs w:val="20"/>
                <w:color w:val="auto"/>
              </w:rPr>
            </w:pPr>
            <w:r>
              <w:rPr>
                <w:rFonts w:ascii="Arial" w:cs="Arial" w:eastAsia="Arial" w:hAnsi="Arial"/>
                <w:sz w:val="17"/>
                <w:szCs w:val="17"/>
                <w:b w:val="1"/>
                <w:bCs w:val="1"/>
                <w:color w:val="FFFFFF"/>
              </w:rPr>
              <w:t>Employees</w:t>
            </w:r>
          </w:p>
        </w:tc>
        <w:tc>
          <w:tcPr>
            <w:tcW w:w="5260" w:type="dxa"/>
            <w:vAlign w:val="bottom"/>
          </w:tcPr>
          <w:p>
            <w:pPr>
              <w:ind w:left="360"/>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309"/>
        </w:trPr>
        <w:tc>
          <w:tcPr>
            <w:tcW w:w="1460" w:type="dxa"/>
            <w:vAlign w:val="bottom"/>
          </w:tcPr>
          <w:p>
            <w:pPr>
              <w:spacing w:after="0"/>
              <w:rPr>
                <w:sz w:val="20"/>
                <w:szCs w:val="20"/>
                <w:color w:val="auto"/>
              </w:rPr>
            </w:pPr>
            <w:r>
              <w:rPr>
                <w:rFonts w:ascii="Arial" w:cs="Arial" w:eastAsia="Arial" w:hAnsi="Arial"/>
                <w:sz w:val="17"/>
                <w:szCs w:val="17"/>
                <w:b w:val="1"/>
                <w:bCs w:val="1"/>
                <w:color w:val="FFFFFF"/>
              </w:rPr>
              <w:t>Fabs</w:t>
            </w:r>
          </w:p>
        </w:tc>
        <w:tc>
          <w:tcPr>
            <w:tcW w:w="5260" w:type="dxa"/>
            <w:vAlign w:val="bottom"/>
          </w:tcPr>
          <w:p>
            <w:pPr>
              <w:ind w:left="360"/>
              <w:spacing w:after="0"/>
              <w:rPr>
                <w:sz w:val="20"/>
                <w:szCs w:val="20"/>
                <w:color w:val="auto"/>
              </w:rPr>
            </w:pPr>
            <w:r>
              <w:rPr>
                <w:rFonts w:ascii="Arial" w:cs="Arial" w:eastAsia="Arial" w:hAnsi="Arial"/>
                <w:sz w:val="17"/>
                <w:szCs w:val="17"/>
                <w:color w:val="auto"/>
                <w:w w:val="98"/>
              </w:rPr>
              <w:t>Three fully owned (US and Israel), equity stake and partnership in</w:t>
            </w:r>
          </w:p>
        </w:tc>
        <w:tc>
          <w:tcPr>
            <w:tcW w:w="0" w:type="dxa"/>
            <w:vAlign w:val="bottom"/>
          </w:tcPr>
          <w:p>
            <w:pPr>
              <w:spacing w:after="0"/>
              <w:rPr>
                <w:sz w:val="1"/>
                <w:szCs w:val="1"/>
                <w:color w:val="auto"/>
              </w:rPr>
            </w:pPr>
          </w:p>
        </w:tc>
      </w:tr>
      <w:tr>
        <w:trPr>
          <w:trHeight w:val="219"/>
        </w:trPr>
        <w:tc>
          <w:tcPr>
            <w:tcW w:w="1460" w:type="dxa"/>
            <w:vAlign w:val="bottom"/>
          </w:tcPr>
          <w:p>
            <w:pPr>
              <w:spacing w:after="0"/>
              <w:rPr>
                <w:sz w:val="19"/>
                <w:szCs w:val="19"/>
                <w:color w:val="auto"/>
              </w:rPr>
            </w:pPr>
          </w:p>
        </w:tc>
        <w:tc>
          <w:tcPr>
            <w:tcW w:w="5260" w:type="dxa"/>
            <w:vAlign w:val="bottom"/>
          </w:tcPr>
          <w:p>
            <w:pPr>
              <w:ind w:left="360"/>
              <w:spacing w:after="0"/>
              <w:rPr>
                <w:sz w:val="20"/>
                <w:szCs w:val="20"/>
                <w:color w:val="auto"/>
              </w:rPr>
            </w:pPr>
            <w:r>
              <w:rPr>
                <w:rFonts w:ascii="Arial" w:cs="Arial" w:eastAsia="Arial" w:hAnsi="Arial"/>
                <w:sz w:val="17"/>
                <w:szCs w:val="17"/>
                <w:color w:val="auto"/>
              </w:rPr>
              <w:t>Chinese fabs - ~750,000 annual wafer capacity (8” equivalents)</w:t>
            </w:r>
          </w:p>
        </w:tc>
        <w:tc>
          <w:tcPr>
            <w:tcW w:w="0" w:type="dxa"/>
            <w:vAlign w:val="bottom"/>
          </w:tcPr>
          <w:p>
            <w:pPr>
              <w:spacing w:after="0"/>
              <w:rPr>
                <w:sz w:val="1"/>
                <w:szCs w:val="1"/>
                <w:color w:val="auto"/>
              </w:rPr>
            </w:pPr>
          </w:p>
        </w:tc>
      </w:tr>
      <w:tr>
        <w:trPr>
          <w:trHeight w:val="280"/>
        </w:trPr>
        <w:tc>
          <w:tcPr>
            <w:tcW w:w="1460" w:type="dxa"/>
            <w:vAlign w:val="bottom"/>
          </w:tcPr>
          <w:p>
            <w:pPr>
              <w:spacing w:after="0"/>
              <w:rPr>
                <w:sz w:val="20"/>
                <w:szCs w:val="20"/>
                <w:color w:val="auto"/>
              </w:rPr>
            </w:pPr>
            <w:r>
              <w:rPr>
                <w:rFonts w:ascii="Arial" w:cs="Arial" w:eastAsia="Arial" w:hAnsi="Arial"/>
                <w:sz w:val="17"/>
                <w:szCs w:val="17"/>
                <w:b w:val="1"/>
                <w:bCs w:val="1"/>
                <w:color w:val="FFFFFF"/>
              </w:rPr>
              <w:t>Process</w:t>
            </w:r>
          </w:p>
        </w:tc>
        <w:tc>
          <w:tcPr>
            <w:tcW w:w="5260" w:type="dxa"/>
            <w:vAlign w:val="bottom"/>
          </w:tcPr>
          <w:p>
            <w:pPr>
              <w:ind w:left="360"/>
              <w:spacing w:after="0"/>
              <w:rPr>
                <w:sz w:val="20"/>
                <w:szCs w:val="20"/>
                <w:color w:val="auto"/>
              </w:rPr>
            </w:pPr>
            <w:r>
              <w:rPr>
                <w:rFonts w:ascii="Arial" w:cs="Arial" w:eastAsia="Arial" w:hAnsi="Arial"/>
                <w:sz w:val="17"/>
                <w:szCs w:val="17"/>
                <w:color w:val="auto"/>
              </w:rPr>
              <w:t>SiGe/BiCMOS 0.35 to 0.13u</w:t>
            </w:r>
          </w:p>
        </w:tc>
        <w:tc>
          <w:tcPr>
            <w:tcW w:w="0" w:type="dxa"/>
            <w:vAlign w:val="bottom"/>
          </w:tcPr>
          <w:p>
            <w:pPr>
              <w:spacing w:after="0"/>
              <w:rPr>
                <w:sz w:val="1"/>
                <w:szCs w:val="1"/>
                <w:color w:val="auto"/>
              </w:rPr>
            </w:pPr>
          </w:p>
        </w:tc>
      </w:tr>
      <w:tr>
        <w:trPr>
          <w:trHeight w:val="222"/>
        </w:trPr>
        <w:tc>
          <w:tcPr>
            <w:tcW w:w="1460" w:type="dxa"/>
            <w:vAlign w:val="bottom"/>
          </w:tcPr>
          <w:p>
            <w:pPr>
              <w:spacing w:after="0"/>
              <w:rPr>
                <w:sz w:val="20"/>
                <w:szCs w:val="20"/>
                <w:color w:val="auto"/>
              </w:rPr>
            </w:pPr>
            <w:r>
              <w:rPr>
                <w:rFonts w:ascii="Arial" w:cs="Arial" w:eastAsia="Arial" w:hAnsi="Arial"/>
                <w:sz w:val="17"/>
                <w:szCs w:val="17"/>
                <w:b w:val="1"/>
                <w:bCs w:val="1"/>
                <w:color w:val="FFFFFF"/>
              </w:rPr>
              <w:t>Technologies</w:t>
            </w:r>
          </w:p>
        </w:tc>
        <w:tc>
          <w:tcPr>
            <w:tcW w:w="5260" w:type="dxa"/>
            <w:vAlign w:val="bottom"/>
            <w:vMerge w:val="restart"/>
          </w:tcPr>
          <w:p>
            <w:pPr>
              <w:ind w:left="360"/>
              <w:spacing w:after="0"/>
              <w:rPr>
                <w:sz w:val="20"/>
                <w:szCs w:val="20"/>
                <w:color w:val="auto"/>
              </w:rPr>
            </w:pPr>
            <w:r>
              <w:rPr>
                <w:rFonts w:ascii="Arial" w:cs="Arial" w:eastAsia="Arial" w:hAnsi="Arial"/>
                <w:sz w:val="17"/>
                <w:szCs w:val="17"/>
                <w:color w:val="auto"/>
              </w:rPr>
              <w:t>Analog CMOS/RFCMOS/BCD 0.8 to 0.16u</w:t>
            </w:r>
          </w:p>
        </w:tc>
        <w:tc>
          <w:tcPr>
            <w:tcW w:w="0" w:type="dxa"/>
            <w:vAlign w:val="bottom"/>
          </w:tcPr>
          <w:p>
            <w:pPr>
              <w:spacing w:after="0"/>
              <w:rPr>
                <w:sz w:val="1"/>
                <w:szCs w:val="1"/>
                <w:color w:val="auto"/>
              </w:rPr>
            </w:pPr>
          </w:p>
        </w:tc>
      </w:tr>
      <w:tr>
        <w:trPr>
          <w:trHeight w:val="52"/>
        </w:trPr>
        <w:tc>
          <w:tcPr>
            <w:tcW w:w="1460" w:type="dxa"/>
            <w:vAlign w:val="bottom"/>
          </w:tcPr>
          <w:p>
            <w:pPr>
              <w:spacing w:after="0"/>
              <w:rPr>
                <w:sz w:val="4"/>
                <w:szCs w:val="4"/>
                <w:color w:val="auto"/>
              </w:rPr>
            </w:pPr>
          </w:p>
        </w:tc>
        <w:tc>
          <w:tcPr>
            <w:tcW w:w="5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2"/>
                <w:szCs w:val="22"/>
                <w:color w:val="auto"/>
              </w:rPr>
            </w:pPr>
          </w:p>
        </w:tc>
        <w:tc>
          <w:tcPr>
            <w:tcW w:w="5260" w:type="dxa"/>
            <w:vAlign w:val="bottom"/>
          </w:tcPr>
          <w:p>
            <w:pPr>
              <w:ind w:left="360"/>
              <w:spacing w:after="0"/>
              <w:rPr>
                <w:sz w:val="20"/>
                <w:szCs w:val="20"/>
                <w:color w:val="auto"/>
              </w:rPr>
            </w:pPr>
            <w:r>
              <w:rPr>
                <w:rFonts w:ascii="Arial" w:cs="Arial" w:eastAsia="Arial" w:hAnsi="Arial"/>
                <w:sz w:val="17"/>
                <w:szCs w:val="17"/>
                <w:color w:val="auto"/>
              </w:rPr>
              <w:t>CMOS Image Sensor 1.0u - 0.18u</w:t>
            </w: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2"/>
                <w:szCs w:val="22"/>
                <w:color w:val="auto"/>
              </w:rPr>
            </w:pPr>
          </w:p>
        </w:tc>
        <w:tc>
          <w:tcPr>
            <w:tcW w:w="5260" w:type="dxa"/>
            <w:vAlign w:val="bottom"/>
          </w:tcPr>
          <w:p>
            <w:pPr>
              <w:ind w:left="360"/>
              <w:spacing w:after="0"/>
              <w:rPr>
                <w:sz w:val="20"/>
                <w:szCs w:val="20"/>
                <w:color w:val="auto"/>
              </w:rPr>
            </w:pPr>
            <w:r>
              <w:rPr>
                <w:rFonts w:ascii="Arial" w:cs="Arial" w:eastAsia="Arial" w:hAnsi="Arial"/>
                <w:sz w:val="17"/>
                <w:szCs w:val="17"/>
                <w:color w:val="auto"/>
              </w:rPr>
              <w:t>CMOS 1.0u to 0.13u</w:t>
            </w:r>
          </w:p>
        </w:tc>
        <w:tc>
          <w:tcPr>
            <w:tcW w:w="0" w:type="dxa"/>
            <w:vAlign w:val="bottom"/>
          </w:tcPr>
          <w:p>
            <w:pPr>
              <w:spacing w:after="0"/>
              <w:rPr>
                <w:sz w:val="1"/>
                <w:szCs w:val="1"/>
                <w:color w:val="auto"/>
              </w:rPr>
            </w:pPr>
          </w:p>
        </w:tc>
      </w:tr>
    </w:tbl>
    <w:p>
      <w:pPr>
        <w:sectPr>
          <w:pgSz w:w="11900" w:h="16838" w:orient="portrait"/>
          <w:cols w:equalWidth="0" w:num="1">
            <w:col w:w="9019"/>
          </w:cols>
          <w:pgMar w:left="1440" w:top="107" w:right="1440" w:bottom="0" w:gutter="0" w:footer="0" w:header="0"/>
        </w:sectPr>
      </w:pPr>
    </w:p>
    <w:bookmarkStart w:id="6" w:name="page7"/>
    <w:bookmarkEnd w:id="6"/>
    <w:p>
      <w:pPr>
        <w:ind w:left="2140"/>
        <w:spacing w:after="0"/>
        <w:tabs>
          <w:tab w:leader="none" w:pos="3940" w:val="left"/>
        </w:tabs>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151765</wp:posOffset>
            </wp:positionH>
            <wp:positionV relativeFrom="page">
              <wp:posOffset>88900</wp:posOffset>
            </wp:positionV>
            <wp:extent cx="7257415" cy="4415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4415790"/>
                    </a:xfrm>
                    <a:prstGeom prst="rect">
                      <a:avLst/>
                    </a:prstGeom>
                    <a:noFill/>
                  </pic:spPr>
                </pic:pic>
              </a:graphicData>
            </a:graphic>
          </wp:anchor>
        </w:drawing>
        <w:t>IP Leadership</w:t>
      </w:r>
      <w:r>
        <w:rPr>
          <w:sz w:val="20"/>
          <w:szCs w:val="20"/>
          <w:color w:val="auto"/>
        </w:rPr>
        <w:tab/>
      </w:r>
      <w:r>
        <w:rPr>
          <w:rFonts w:ascii="Arial" w:cs="Arial" w:eastAsia="Arial" w:hAnsi="Arial"/>
          <w:sz w:val="16"/>
          <w:szCs w:val="16"/>
          <w:color w:val="auto"/>
        </w:rPr>
        <w:t>AIMS (Analog Intensive Mixed Signal)</w:t>
      </w:r>
    </w:p>
    <w:p>
      <w:pPr>
        <w:spacing w:after="0" w:line="69"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PDK (Physical Design Kits)</w:t>
      </w:r>
    </w:p>
    <w:p>
      <w:pPr>
        <w:spacing w:after="0" w:line="62"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Embedded Flash MTP&amp;OTP Solutions</w:t>
      </w:r>
    </w:p>
    <w:p>
      <w:pPr>
        <w:spacing w:after="0" w:line="274"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053658"/>
        </w:rPr>
        <w:t>Key Financial Highlights</w:t>
      </w:r>
    </w:p>
    <w:p>
      <w:pPr>
        <w:spacing w:after="0" w:line="25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Combined trailing twelve months (TTM) revenues of $443 million</w:t>
      </w:r>
    </w:p>
    <w:p>
      <w:pPr>
        <w:spacing w:after="0" w:line="126"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Impressive cash flow generation with $79 million of TTM EBITDA</w:t>
      </w:r>
    </w:p>
    <w:p>
      <w:pPr>
        <w:spacing w:after="0" w:line="13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Substantial, revenue and cost savings of up to $40 million annually</w:t>
      </w:r>
    </w:p>
    <w:p>
      <w:pPr>
        <w:spacing w:after="0" w:line="126"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Improved leverage ratios</w:t>
      </w:r>
    </w:p>
    <w:p>
      <w:pPr>
        <w:spacing w:after="0" w:line="114" w:lineRule="exact"/>
        <w:rPr>
          <w:sz w:val="20"/>
          <w:szCs w:val="20"/>
          <w:color w:val="auto"/>
        </w:rPr>
      </w:pPr>
    </w:p>
    <w:p>
      <w:pPr>
        <w:ind w:left="9840"/>
        <w:spacing w:after="0"/>
        <w:rPr>
          <w:sz w:val="20"/>
          <w:szCs w:val="20"/>
          <w:color w:val="auto"/>
        </w:rPr>
      </w:pPr>
      <w:r>
        <w:rPr>
          <w:rFonts w:ascii="Arial" w:cs="Arial" w:eastAsia="Arial" w:hAnsi="Arial"/>
          <w:sz w:val="17"/>
          <w:szCs w:val="17"/>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Forward-Looking Statements</w:t>
      </w:r>
    </w:p>
    <w:p>
      <w:pPr>
        <w:spacing w:after="0" w:line="21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This document contains forward-looking statements within the meaning of the “safe harbor” provisions of the Private Securities Litigation Reform Act of 1995, including statements concerning Tower’s proposed merger with Jazz. These statements are based on management’s current expectations and beliefs and are subject to a number of risks, uncertainties and assumptions that could cause actual results to differ materially from those described in the forward-looking statements. All statements other than statements of historical fact are statements that could be deemed forward-looking statements. For example, statements of expected synergies, customer benefits, costs savings, financial guidance, the timing of closing, industry ranking, execution of integration plans and management and organizational structure are all forward-looking statements. The potential risks and uncertainties include, among others, the possibility that the merger does not close or that the closing may be delayed, that expected customer benefits, synergies and costs savings will not be achieved or that the companies are unable to successfully execute their integration strategies, that the companies may be required to modify the terms of the transaction to achieve regulatory approval or for other reasons, that prior to or after the closing of the merger, the businesses of the companies may suffer due to uncertainty, as well as other risks applicable to both Tower’s and Jazz’s business described in the reports filed by Tower and Jazz with the Securities and Exchange Commission (the “SEC”) and, in the case of Tower, the Israel Securities Authority. These filings identify and address other important factors that could cause Tower’s and Jazz’s respective financial and operational results to differ materially from those contained in the forward-looking statements set forth in this document. Accordingly, no assurances can be given that any of the events anticipated by the forward-looking statements will transpire or occur, or if any of them do so, what impact they will have on the results of operations or financial condition of Tower or Jazz. Tower and Jazz are providing this information as of the date of this document and neither Tower nor Jazz undertakes any obligation to update any forward-looking statements contained in this document as a result of new information, future events or otherwise.</w:t>
      </w:r>
    </w:p>
    <w:p>
      <w:pPr>
        <w:spacing w:after="0" w:line="18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A more complete discussion of risks and uncertainties that may affect the accuracy of forward-looking statements included in this press release or which may otherwise affect Tower’s business is included under the heading “Risk Factors” in Tower’s most recent filings on Forms 20-F, F-3 and 6-K, as were filed with the SEC and the Israel Securities Authority. Future results may differ materially from those previously reported. Tower does not intend to update, and expressly disclaims any obligation to update, the information contained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25741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Additional Information about the Proposed Merger and Where to Find It</w:t>
      </w:r>
    </w:p>
    <w:p>
      <w:pPr>
        <w:spacing w:after="0" w:line="217" w:lineRule="exact"/>
        <w:rPr>
          <w:sz w:val="20"/>
          <w:szCs w:val="20"/>
          <w:color w:val="auto"/>
        </w:rPr>
      </w:pPr>
    </w:p>
    <w:p>
      <w:pPr>
        <w:jc w:val="both"/>
        <w:ind w:right="300"/>
        <w:spacing w:after="0" w:line="291" w:lineRule="auto"/>
        <w:rPr>
          <w:sz w:val="20"/>
          <w:szCs w:val="20"/>
          <w:color w:val="auto"/>
        </w:rPr>
      </w:pPr>
      <w:r>
        <w:rPr>
          <w:rFonts w:ascii="Arial" w:cs="Arial" w:eastAsia="Arial" w:hAnsi="Arial"/>
          <w:sz w:val="15"/>
          <w:szCs w:val="15"/>
          <w:color w:val="auto"/>
        </w:rPr>
        <w:t>In connection with the proposed merger, Tower intends to file with the SEC a Registration Statement on Form F-4 that will contain a Proxy Statement/Prospectus and related materials and Jazz expects to mail to its stockholders the final Proxy Statement/Prospectus containing information about Tower, Jazz and the proposed merger.</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INVESTORS AND SECURITY HOLDERS ARE URGED TO READ THE PROXY STATEMENT/PROSPECTUS AND THE OTHER RELEVANT MATERIALS, CAREFULLY AND IN THEIR ENTIRETY, WHEN THEY BECOME AVAILABLE BECAUSE THEY WILL CONTAIN IMPORTANT INFORMATION ABOUT TOWER, JAZZ AND THE PROPOSED MERGER. Investors and security holders will be able to obtain free copies of the Registration Statement on Form F-4, the Proxy Statement/Prospectus and other relevant materials and documents filed by Tower or Jazz with the SEC, when they become available, through the web site maintained by the SEC at www.sec.gov. In addition, investors and security holders may obtain free copies of the documents relating to the proposed merger filed with the SEC by Tower by directing a request by mail to Tower Semiconductor Ltd, P.O. BOX 619, Migdal Haemek, Israel 23105, Attn: Investor Relations or by telephone at +972-4-6506936. Investors and security holders may obtain free copies of the documents relating to the proposed merger filed with the SEC by Jazz by directing a request by mail to Jazz Technologies, Inc., 4321 Jamboree Road, Newport Beach, California 92660, Attn: Investor Relations or by telephone at +1 415 445-3236.</w:t>
      </w:r>
    </w:p>
    <w:p>
      <w:pPr>
        <w:spacing w:after="0" w:line="16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Tower, Jazz and their respective executive officers and directors, under SEC rules, may be deemed to be participants in the solicitation of proxies from the stockholders of Jazz in connection with the proposed merger. Investors and security holders may obtain information regarding the special interests of these executive officers and directors in the proposed merger by reading the Proxy Statement/Prospectus filed with the SEC when it becomes available. Additional information regarding Tower’s executive officers and directors is included in Tower’s Form 20-F for the year ended December 31, 2006, which was filed with the SEC on June 25, 2007. Additional information regarding the executive officers and directors of Jazz is included in Jazz’s Proxy Statement for its 2008 Annual Meeting of Stockholders, which was filed with the SEC on April 7, 2008. These documents are available free of charge at the SEC’s web site at www.sec.gov and are also available free of charge from Investor Relations at Tower and Jazz by contacting Tower and Jazz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25741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sectPr>
      <w:pgSz w:w="11900" w:h="16838" w:orient="portrait"/>
      <w:cols w:equalWidth="0" w:num="1">
        <w:col w:w="11420"/>
      </w:cols>
      <w:pgMar w:left="240" w:top="1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2019-12-17T08:25:45Z</dcterms:created>
  <dcterms:modified xsi:type="dcterms:W3CDTF">2019-12-17T08:25:45Z</dcterms:modified>
</cp:coreProperties>
</file>