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December 2019 No. 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jc w:val="center"/>
        <w:ind w:left="400" w:right="399"/>
        <w:spacing w:after="0" w:line="293" w:lineRule="auto"/>
        <w:rPr>
          <w:sz w:val="20"/>
          <w:szCs w:val="20"/>
          <w:color w:val="auto"/>
        </w:rPr>
      </w:pPr>
      <w:r>
        <w:rPr>
          <w:rFonts w:ascii="Arial" w:cs="Arial" w:eastAsia="Arial" w:hAnsi="Arial"/>
          <w:sz w:val="25"/>
          <w:szCs w:val="25"/>
          <w:b w:val="1"/>
          <w:bCs w:val="1"/>
          <w:color w:val="auto"/>
        </w:rPr>
        <w:t>On Dec 02, 2019, the Registrant Announced to Maintain its TPSCo Majority Ownership, Control and Manufacturing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Dec 02,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6" w:right="499" w:bottom="1440" w:gutter="0" w:footer="0" w:header="0"/>
        </w:sectPr>
      </w:pPr>
    </w:p>
    <w:bookmarkStart w:id="3" w:name="page4"/>
    <w:bookmarkEnd w:id="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260350</wp:posOffset>
            </wp:positionV>
            <wp:extent cx="130365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574675"/>
                    </a:xfrm>
                    <a:prstGeom prst="rect">
                      <a:avLst/>
                    </a:prstGeom>
                    <a:noFill/>
                  </pic:spPr>
                </pic:pic>
              </a:graphicData>
            </a:graphic>
          </wp:anchor>
        </w:drawing>
      </w:r>
    </w:p>
    <w:p>
      <w:pPr>
        <w:spacing w:after="0"/>
        <w:tabs>
          <w:tab w:leader="none" w:pos="900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TowerJazz to Maintain its TPSCo Majority Ownership, Control and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Manufacturing Activity</w:t>
      </w:r>
    </w:p>
    <w:p>
      <w:pPr>
        <w:spacing w:after="0" w:line="271" w:lineRule="exact"/>
        <w:rPr>
          <w:sz w:val="20"/>
          <w:szCs w:val="20"/>
          <w:color w:val="auto"/>
        </w:rPr>
      </w:pPr>
    </w:p>
    <w:p>
      <w:pPr>
        <w:ind w:right="60" w:firstLine="54"/>
        <w:spacing w:after="0" w:line="269" w:lineRule="auto"/>
        <w:rPr>
          <w:sz w:val="20"/>
          <w:szCs w:val="20"/>
          <w:color w:val="auto"/>
        </w:rPr>
      </w:pPr>
      <w:r>
        <w:rPr>
          <w:rFonts w:ascii="Arial" w:cs="Arial" w:eastAsia="Arial" w:hAnsi="Arial"/>
          <w:sz w:val="22"/>
          <w:szCs w:val="22"/>
          <w:b w:val="1"/>
          <w:bCs w:val="1"/>
          <w:color w:val="auto"/>
        </w:rPr>
        <w:t>MIGDAL HAEMEK, Israel, and UOZU CITY</w:t>
      </w:r>
      <w:r>
        <w:rPr>
          <w:rFonts w:ascii="Arial" w:cs="Arial" w:eastAsia="Arial" w:hAnsi="Arial"/>
          <w:sz w:val="22"/>
          <w:szCs w:val="22"/>
          <w:color w:val="auto"/>
        </w:rPr>
        <w:t>,</w:t>
      </w:r>
      <w:r>
        <w:rPr>
          <w:rFonts w:ascii="Arial" w:cs="Arial" w:eastAsia="Arial" w:hAnsi="Arial"/>
          <w:sz w:val="22"/>
          <w:szCs w:val="22"/>
          <w:b w:val="1"/>
          <w:bCs w:val="1"/>
          <w:color w:val="auto"/>
        </w:rPr>
        <w:t xml:space="preserve"> Japan, December 02, 2019 – </w:t>
      </w:r>
      <w:r>
        <w:rPr>
          <w:rFonts w:ascii="Arial" w:cs="Arial" w:eastAsia="Arial" w:hAnsi="Arial"/>
          <w:sz w:val="22"/>
          <w:szCs w:val="22"/>
          <w:u w:val="single" w:color="auto"/>
          <w:color w:val="auto"/>
        </w:rPr>
        <w:t>TowerJazz</w:t>
      </w:r>
      <w:r>
        <w:rPr>
          <w:rFonts w:ascii="Arial" w:cs="Arial" w:eastAsia="Arial" w:hAnsi="Arial"/>
          <w:sz w:val="22"/>
          <w:szCs w:val="22"/>
          <w:color w:val="auto"/>
        </w:rPr>
        <w:t>, the global specialty foundry leader,</w:t>
      </w:r>
      <w:r>
        <w:rPr>
          <w:rFonts w:ascii="Arial" w:cs="Arial" w:eastAsia="Arial" w:hAnsi="Arial"/>
          <w:sz w:val="22"/>
          <w:szCs w:val="22"/>
          <w:b w:val="1"/>
          <w:bCs w:val="1"/>
          <w:color w:val="auto"/>
        </w:rPr>
        <w:t xml:space="preserve"> </w:t>
      </w:r>
      <w:r>
        <w:rPr>
          <w:rFonts w:ascii="Arial" w:cs="Arial" w:eastAsia="Arial" w:hAnsi="Arial"/>
          <w:sz w:val="22"/>
          <w:szCs w:val="22"/>
          <w:color w:val="auto"/>
        </w:rPr>
        <w:t>clarifies following recent press releases in connection with the sale of Panasonic semiconductor business to Nuvoton that it will not sell its TPSCo shares and will maintain its 51% ownership and Board control in TPSCo.</w:t>
      </w:r>
    </w:p>
    <w:p>
      <w:pPr>
        <w:spacing w:after="0" w:line="236"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Pursuant to its long-term strategy and growth plans, TowerJazz will continue its operations and manufacturing activity at TPSCoJapanese manufacturing facilities, in accordance with the recently extended contract with PSCS, and do not plan any changes to its foundry services and therefore no impact on the business relationship with its foundry customers.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93"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9"/>
          <w:szCs w:val="19"/>
          <w:u w:val="single" w:color="auto"/>
          <w:color w:val="auto"/>
        </w:rPr>
        <w:t>www.towerjazz.com</w:t>
      </w:r>
      <w:r>
        <w:rPr>
          <w:rFonts w:ascii="Arial" w:cs="Arial" w:eastAsia="Arial" w:hAnsi="Arial"/>
          <w:sz w:val="19"/>
          <w:szCs w:val="19"/>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TowerJazz 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2019-12-02T08:50:41Z</dcterms:created>
  <dcterms:modified xsi:type="dcterms:W3CDTF">2019-12-02T08:50:41Z</dcterms:modified>
</cp:coreProperties>
</file>