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154305</wp:posOffset>
            </wp:positionH>
            <wp:positionV relativeFrom="page">
              <wp:posOffset>111760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FORM 6-K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February 2010 No. 4</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32" w:lineRule="exact"/>
        <w:rPr>
          <w:sz w:val="24"/>
          <w:szCs w:val="24"/>
          <w:color w:val="auto"/>
        </w:rPr>
      </w:pPr>
    </w:p>
    <w:p>
      <w:pPr>
        <w:ind w:left="64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4" w:lineRule="exact"/>
        <w:rPr>
          <w:sz w:val="24"/>
          <w:szCs w:val="24"/>
          <w:color w:val="auto"/>
        </w:rPr>
      </w:pPr>
    </w:p>
    <w:p>
      <w:pPr>
        <w:ind w:left="4100"/>
        <w:spacing w:after="0"/>
        <w:tabs>
          <w:tab w:leader="none" w:pos="6400" w:val="left"/>
        </w:tabs>
        <w:rPr>
          <w:sz w:val="20"/>
          <w:szCs w:val="20"/>
          <w:color w:val="auto"/>
        </w:rPr>
      </w:pPr>
      <w:r>
        <w:rPr>
          <w:rFonts w:ascii="Arial" w:cs="Arial" w:eastAsia="Arial" w:hAnsi="Arial"/>
          <w:sz w:val="18"/>
          <w:szCs w:val="18"/>
          <w:color w:val="auto"/>
        </w:rPr>
        <w:t>Form 20-F S</w:t>
      </w:r>
      <w:r>
        <w:rPr>
          <w:sz w:val="20"/>
          <w:szCs w:val="20"/>
          <w:color w:val="auto"/>
        </w:rPr>
        <w:tab/>
      </w:r>
      <w:r>
        <w:rPr>
          <w:rFonts w:ascii="Arial" w:cs="Arial" w:eastAsia="Arial" w:hAnsi="Arial"/>
          <w:sz w:val="15"/>
          <w:szCs w:val="15"/>
          <w:color w:val="auto"/>
        </w:rPr>
        <w:t>Form 40-F £</w:t>
      </w:r>
    </w:p>
    <w:p>
      <w:pPr>
        <w:spacing w:after="0" w:line="244" w:lineRule="exact"/>
        <w:rPr>
          <w:sz w:val="24"/>
          <w:szCs w:val="24"/>
          <w:color w:val="auto"/>
        </w:rPr>
      </w:pPr>
    </w:p>
    <w:p>
      <w:pPr>
        <w:ind w:firstLine="636"/>
        <w:spacing w:after="0" w:line="265"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6" w:lineRule="exact"/>
        <w:rPr>
          <w:sz w:val="24"/>
          <w:szCs w:val="24"/>
          <w:color w:val="auto"/>
        </w:rPr>
      </w:pPr>
    </w:p>
    <w:p>
      <w:pPr>
        <w:ind w:left="4420"/>
        <w:spacing w:after="0"/>
        <w:tabs>
          <w:tab w:leader="none" w:pos="6640" w:val="left"/>
        </w:tabs>
        <w:rPr>
          <w:sz w:val="20"/>
          <w:szCs w:val="20"/>
          <w:color w:val="auto"/>
        </w:rPr>
      </w:pPr>
      <w:r>
        <w:rPr>
          <w:rFonts w:ascii="Arial" w:cs="Arial" w:eastAsia="Arial" w:hAnsi="Arial"/>
          <w:sz w:val="18"/>
          <w:szCs w:val="18"/>
          <w:color w:val="auto"/>
        </w:rPr>
        <w:t>Yes £</w:t>
      </w:r>
      <w:r>
        <w:rPr>
          <w:sz w:val="20"/>
          <w:szCs w:val="20"/>
          <w:color w:val="auto"/>
        </w:rPr>
        <w:tab/>
      </w:r>
      <w:r>
        <w:rPr>
          <w:rFonts w:ascii="Arial" w:cs="Arial" w:eastAsia="Arial" w:hAnsi="Arial"/>
          <w:sz w:val="15"/>
          <w:szCs w:val="15"/>
          <w:color w:val="auto"/>
        </w:rPr>
        <w:t>No 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227965</wp:posOffset>
            </wp:positionV>
            <wp:extent cx="725360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1" w:name="page2"/>
    <w:bookmarkEnd w:id="1"/>
    <w:p>
      <w:pPr>
        <w:ind w:firstLine="636"/>
        <w:spacing w:after="0" w:line="265" w:lineRule="auto"/>
        <w:rPr>
          <w:sz w:val="20"/>
          <w:szCs w:val="20"/>
          <w:color w:val="auto"/>
        </w:rPr>
      </w:pPr>
      <w:r>
        <w:rPr>
          <w:rFonts w:ascii="Arial" w:cs="Arial" w:eastAsia="Arial" w:hAnsi="Arial"/>
          <w:sz w:val="18"/>
          <w:szCs w:val="18"/>
          <w:color w:val="auto"/>
        </w:rPr>
        <w:t>On February 11, 2010, the registrant announces that TowerJazz Receives Outstanding Achievement in Energy Efficiency Award from Southern California Edison.</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227965</wp:posOffset>
            </wp:positionV>
            <wp:extent cx="725360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2" w:name="page3"/>
    <w:bookmarkEnd w:id="2"/>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ind w:firstLine="636"/>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TOWER SEMICONDUCTOR LTD.</w:t>
      </w:r>
    </w:p>
    <w:p>
      <w:pPr>
        <w:spacing w:after="0" w:line="223"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February 11, 2010</w:t>
      </w:r>
      <w:r>
        <w:rPr>
          <w:sz w:val="20"/>
          <w:szCs w:val="20"/>
          <w:color w:val="auto"/>
        </w:rPr>
        <w:tab/>
      </w:r>
      <w:r>
        <w:rPr>
          <w:rFonts w:ascii="Arial" w:cs="Arial" w:eastAsia="Arial" w:hAnsi="Arial"/>
          <w:sz w:val="15"/>
          <w:szCs w:val="15"/>
          <w:color w:val="auto"/>
        </w:rPr>
        <w:t>By: /s/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3346450</wp:posOffset>
            </wp:positionH>
            <wp:positionV relativeFrom="paragraph">
              <wp:posOffset>11430</wp:posOffset>
            </wp:positionV>
            <wp:extent cx="20961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6135" cy="17145"/>
                    </a:xfrm>
                    <a:prstGeom prst="rect">
                      <a:avLst/>
                    </a:prstGeom>
                    <a:noFill/>
                  </pic:spPr>
                </pic:pic>
              </a:graphicData>
            </a:graphic>
          </wp:anchor>
        </w:drawing>
      </w:r>
    </w:p>
    <w:p>
      <w:pPr>
        <w:spacing w:after="0" w:line="1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Nati Somekh Gilboa</w:t>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355600</wp:posOffset>
            </wp:positionV>
            <wp:extent cx="725360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0740"/>
          </w:cols>
          <w:pgMar w:left="240" w:top="333" w:right="919" w:bottom="1440" w:gutter="0" w:footer="0" w:header="0"/>
        </w:sectPr>
      </w:pPr>
    </w:p>
    <w:bookmarkStart w:id="3" w:name="page4"/>
    <w:bookmarkEnd w:id="3"/>
    <w:p>
      <w:pPr>
        <w:jc w:val="center"/>
        <w:spacing w:after="0"/>
        <w:rPr>
          <w:sz w:val="20"/>
          <w:szCs w:val="20"/>
          <w:color w:val="auto"/>
        </w:rPr>
      </w:pPr>
      <w:r>
        <w:rPr>
          <w:rFonts w:ascii="Arial" w:cs="Arial" w:eastAsia="Arial" w:hAnsi="Arial"/>
          <w:sz w:val="21"/>
          <w:szCs w:val="21"/>
          <w:b w:val="1"/>
          <w:bCs w:val="1"/>
          <w:color w:val="auto"/>
        </w:rPr>
        <w:t>TowerJazz Receives Outstanding Achievement in Energy Efficiency Award from Southern California Edison</w:t>
      </w:r>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NEWPORT BEACH, Calif., February 11, 2010 – </w:t>
      </w:r>
      <w:r>
        <w:rPr>
          <w:rFonts w:ascii="Arial" w:cs="Arial" w:eastAsia="Arial" w:hAnsi="Arial"/>
          <w:sz w:val="18"/>
          <w:szCs w:val="18"/>
          <w:u w:val="single" w:color="auto"/>
          <w:color w:val="auto"/>
        </w:rPr>
        <w:t>TowerJazz</w:t>
      </w:r>
      <w:r>
        <w:rPr>
          <w:rFonts w:ascii="Arial" w:cs="Arial" w:eastAsia="Arial" w:hAnsi="Arial"/>
          <w:sz w:val="18"/>
          <w:szCs w:val="18"/>
          <w:color w:val="auto"/>
        </w:rPr>
        <w:t>, the global specialty foundry leader, today announced it has received an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Achievement in Energy Efficiency Award from </w:t>
      </w:r>
      <w:r>
        <w:rPr>
          <w:rFonts w:ascii="Arial" w:cs="Arial" w:eastAsia="Arial" w:hAnsi="Arial"/>
          <w:sz w:val="18"/>
          <w:szCs w:val="18"/>
          <w:u w:val="single" w:color="auto"/>
          <w:color w:val="auto"/>
        </w:rPr>
        <w:t>Southern California Edison</w:t>
      </w:r>
      <w:r>
        <w:rPr>
          <w:rFonts w:ascii="Arial" w:cs="Arial" w:eastAsia="Arial" w:hAnsi="Arial"/>
          <w:sz w:val="18"/>
          <w:szCs w:val="18"/>
          <w:color w:val="auto"/>
        </w:rPr>
        <w:t xml:space="preserve"> (SCE). The foundry reduced its annual energy usage in its Newport Beach facility by 9 million kilowatt-hours, which is the carbon-reduction equivalent of 12,982 barrels of oil or 1,071 cars on the road. To reduce its energy use and “green” operations, TowerJazz has been conducting an ongoing efficiency overhaul and has instituted new technology and practices throughout the company that have contributed to significant energy savings.</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2009, TowerJazz announced it joined the </w:t>
      </w:r>
      <w:r>
        <w:rPr>
          <w:rFonts w:ascii="Arial" w:cs="Arial" w:eastAsia="Arial" w:hAnsi="Arial"/>
          <w:sz w:val="18"/>
          <w:szCs w:val="18"/>
          <w:u w:val="single" w:color="auto"/>
          <w:color w:val="auto"/>
        </w:rPr>
        <w:t>Cool Planet Project</w:t>
      </w:r>
      <w:r>
        <w:rPr>
          <w:rFonts w:ascii="Arial" w:cs="Arial" w:eastAsia="Arial" w:hAnsi="Arial"/>
          <w:sz w:val="18"/>
          <w:szCs w:val="18"/>
          <w:color w:val="auto"/>
        </w:rPr>
        <w:t>, an energy efficiency and climate change mitigation program, administered by The Climate Registry and SCE. The Cool Planet Project highlights the connection between energy usage and greenhouse gas (GHG) emissions, while providing assistance to measure, verify, and report their entity-wide GHG profile and emissions reductions.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TowerJazz has installed variable frequency drives (VFDs) on its plants’ air handlers. The original installation utilized fixed dampers for air flow control. The units were updated with VFD, an electronic controller that adjusts the speed of an electric motor by regulating the power being delivered. VFDs provide continuous control, matching motor speed to the specific demands of the work being performed. This allows operators to fine-tune processes while reducing costs for energy and equipment maintenance, resulting in substantial energy reduction.</w:t>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 is a pleasure to recognize TowerJazz for its ongoing efforts to increase energy efficiency and implement projects that improve the performance and effectiveness of its energy usage,” said Gene Rodrigues, Director of Energy Efficiency, SCE. “The company has one of the best records in energy efficiency – past wins include receiving the Flex Your Power award and other energy award plaques. We look forward to continuing our work with the TowerJazz team to keep finding ways to conserve energy.”</w:t>
      </w:r>
    </w:p>
    <w:p>
      <w:pPr>
        <w:spacing w:after="0" w:line="21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committed to reducing our energy consumption and carbon footprint through optimizing efficiency throughout the Newport Beach site utilizing the latest in equipment technology and system design,” said Dale Bogan, Director of Facilities, TowerJazz Newport Beach fab. “This award and the projects we have identified are examples of our efforts to achieve best practices and maximize opportunities to collaborate with industry leaders on efficiency improvement projects.”</w:t>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u w:val="single" w:color="auto"/>
          <w:color w:val="auto"/>
        </w:rPr>
        <w:t>Russell Ellwanger</w:t>
      </w:r>
      <w:r>
        <w:rPr>
          <w:rFonts w:ascii="Arial" w:cs="Arial" w:eastAsia="Arial" w:hAnsi="Arial"/>
          <w:sz w:val="18"/>
          <w:szCs w:val="18"/>
          <w:color w:val="auto"/>
        </w:rPr>
        <w:t xml:space="preserve">, TowerJazz CEO added, “While we maintain our focus on moving forward our top and bottom line growth, we have not and cannot lose sight of our responsibility as global citizens. This includes the energy conservation activities in Southern California as well as worldwide alternative energy programs, including our cooperation with </w:t>
      </w:r>
      <w:r>
        <w:rPr>
          <w:rFonts w:ascii="Arial" w:cs="Arial" w:eastAsia="Arial" w:hAnsi="Arial"/>
          <w:sz w:val="18"/>
          <w:szCs w:val="18"/>
          <w:u w:val="single" w:color="auto"/>
          <w:color w:val="auto"/>
        </w:rPr>
        <w:t>Better Place</w:t>
      </w:r>
      <w:r>
        <w:rPr>
          <w:rFonts w:ascii="Arial" w:cs="Arial" w:eastAsia="Arial" w:hAnsi="Arial"/>
          <w:sz w:val="18"/>
          <w:szCs w:val="18"/>
          <w:color w:val="auto"/>
        </w:rPr>
        <w:t>, the global provider of electric vehicle networks and services, on their first implementation of electric car leasing and infrastructure in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211455</wp:posOffset>
            </wp:positionV>
            <wp:extent cx="725360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98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TowerJazz</w:t>
      </w:r>
    </w:p>
    <w:p>
      <w:pPr>
        <w:spacing w:after="0" w:line="22"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 xml:space="preserve">Tower Semiconductor Ltd. (NASDAQ: </w:t>
      </w:r>
      <w:r>
        <w:rPr>
          <w:rFonts w:ascii="Arial" w:cs="Arial" w:eastAsia="Arial" w:hAnsi="Arial"/>
          <w:sz w:val="15"/>
          <w:szCs w:val="15"/>
          <w:u w:val="single" w:color="auto"/>
          <w:color w:val="auto"/>
        </w:rPr>
        <w:t>TSEM</w:t>
      </w:r>
      <w:r>
        <w:rPr>
          <w:rFonts w:ascii="Arial" w:cs="Arial" w:eastAsia="Arial" w:hAnsi="Arial"/>
          <w:sz w:val="15"/>
          <w:szCs w:val="15"/>
          <w:color w:val="auto"/>
        </w:rPr>
        <w:t xml:space="preserve">,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5"/>
          <w:szCs w:val="15"/>
          <w:u w:val="single" w:color="auto"/>
          <w:color w:val="auto"/>
        </w:rPr>
        <w:t>www.towerjazz.com</w:t>
      </w:r>
      <w:r>
        <w:rPr>
          <w:rFonts w:ascii="Arial" w:cs="Arial" w:eastAsia="Arial" w:hAnsi="Arial"/>
          <w:sz w:val="15"/>
          <w:szCs w:val="15"/>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215900</wp:posOffset>
            </wp:positionV>
            <wp:extent cx="1102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Company Contact:</w:t>
            </w:r>
          </w:p>
        </w:tc>
        <w:tc>
          <w:tcPr>
            <w:tcW w:w="7440" w:type="dxa"/>
            <w:vAlign w:val="bottom"/>
            <w:gridSpan w:val="3"/>
          </w:tcPr>
          <w:p>
            <w:pPr>
              <w:ind w:left="1740"/>
              <w:spacing w:after="0"/>
              <w:rPr>
                <w:sz w:val="20"/>
                <w:szCs w:val="20"/>
                <w:color w:val="auto"/>
              </w:rPr>
            </w:pPr>
            <w:r>
              <w:rPr>
                <w:rFonts w:ascii="Arial" w:cs="Arial" w:eastAsia="Arial" w:hAnsi="Arial"/>
                <w:sz w:val="18"/>
                <w:szCs w:val="18"/>
                <w:b w:val="1"/>
                <w:bCs w:val="1"/>
                <w:color w:val="auto"/>
              </w:rPr>
              <w:t>Media Contact:</w:t>
            </w:r>
          </w:p>
        </w:tc>
      </w:tr>
      <w:tr>
        <w:trPr>
          <w:trHeight w:val="212"/>
        </w:trPr>
        <w:tc>
          <w:tcPr>
            <w:tcW w:w="3980" w:type="dxa"/>
            <w:vAlign w:val="bottom"/>
            <w:gridSpan w:val="3"/>
          </w:tcPr>
          <w:p>
            <w:pPr>
              <w:spacing w:after="0"/>
              <w:rPr>
                <w:sz w:val="20"/>
                <w:szCs w:val="20"/>
                <w:color w:val="auto"/>
              </w:rPr>
            </w:pPr>
            <w:r>
              <w:rPr>
                <w:rFonts w:ascii="Arial" w:cs="Arial" w:eastAsia="Arial" w:hAnsi="Arial"/>
                <w:sz w:val="18"/>
                <w:szCs w:val="18"/>
                <w:color w:val="auto"/>
              </w:rPr>
              <w:t>Melinda Jarrell</w:t>
            </w:r>
          </w:p>
        </w:tc>
        <w:tc>
          <w:tcPr>
            <w:tcW w:w="7440" w:type="dxa"/>
            <w:vAlign w:val="bottom"/>
            <w:gridSpan w:val="3"/>
          </w:tcPr>
          <w:p>
            <w:pPr>
              <w:ind w:left="1740"/>
              <w:spacing w:after="0"/>
              <w:rPr>
                <w:sz w:val="20"/>
                <w:szCs w:val="20"/>
                <w:color w:val="auto"/>
              </w:rPr>
            </w:pPr>
            <w:r>
              <w:rPr>
                <w:rFonts w:ascii="Arial" w:cs="Arial" w:eastAsia="Arial" w:hAnsi="Arial"/>
                <w:sz w:val="18"/>
                <w:szCs w:val="18"/>
                <w:color w:val="auto"/>
              </w:rPr>
              <w:t>Lauri Julian</w:t>
            </w:r>
          </w:p>
        </w:tc>
      </w:tr>
      <w:tr>
        <w:trPr>
          <w:trHeight w:val="212"/>
        </w:trPr>
        <w:tc>
          <w:tcPr>
            <w:tcW w:w="1780" w:type="dxa"/>
            <w:vAlign w:val="bottom"/>
          </w:tcPr>
          <w:p>
            <w:pPr>
              <w:spacing w:after="0"/>
              <w:rPr>
                <w:sz w:val="20"/>
                <w:szCs w:val="20"/>
                <w:color w:val="auto"/>
              </w:rPr>
            </w:pPr>
            <w:r>
              <w:rPr>
                <w:rFonts w:ascii="Arial" w:cs="Arial" w:eastAsia="Arial" w:hAnsi="Arial"/>
                <w:sz w:val="18"/>
                <w:szCs w:val="18"/>
                <w:color w:val="auto"/>
              </w:rPr>
              <w:t>949/435-8181</w:t>
            </w: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700" w:type="dxa"/>
            <w:vAlign w:val="bottom"/>
            <w:gridSpan w:val="2"/>
          </w:tcPr>
          <w:p>
            <w:pPr>
              <w:ind w:left="1740"/>
              <w:spacing w:after="0"/>
              <w:rPr>
                <w:sz w:val="20"/>
                <w:szCs w:val="20"/>
                <w:color w:val="auto"/>
              </w:rPr>
            </w:pPr>
            <w:r>
              <w:rPr>
                <w:rFonts w:ascii="Arial" w:cs="Arial" w:eastAsia="Arial" w:hAnsi="Arial"/>
                <w:sz w:val="18"/>
                <w:szCs w:val="18"/>
                <w:color w:val="auto"/>
              </w:rPr>
              <w:t>949/715-3049</w:t>
            </w:r>
          </w:p>
        </w:tc>
        <w:tc>
          <w:tcPr>
            <w:tcW w:w="3740" w:type="dxa"/>
            <w:vAlign w:val="bottom"/>
          </w:tcPr>
          <w:p>
            <w:pPr>
              <w:spacing w:after="0"/>
              <w:rPr>
                <w:sz w:val="18"/>
                <w:szCs w:val="18"/>
                <w:color w:val="auto"/>
              </w:rPr>
            </w:pPr>
          </w:p>
        </w:tc>
      </w:tr>
      <w:tr>
        <w:trPr>
          <w:trHeight w:val="185"/>
        </w:trPr>
        <w:tc>
          <w:tcPr>
            <w:tcW w:w="2240" w:type="dxa"/>
            <w:vAlign w:val="bottom"/>
            <w:gridSpan w:val="2"/>
          </w:tcPr>
          <w:p>
            <w:pPr>
              <w:spacing w:after="0" w:line="185" w:lineRule="exact"/>
              <w:rPr>
                <w:sz w:val="20"/>
                <w:szCs w:val="20"/>
                <w:color w:val="auto"/>
              </w:rPr>
            </w:pPr>
            <w:r>
              <w:rPr>
                <w:rFonts w:ascii="Arial" w:cs="Arial" w:eastAsia="Arial" w:hAnsi="Arial"/>
                <w:sz w:val="18"/>
                <w:szCs w:val="18"/>
                <w:color w:val="auto"/>
                <w:w w:val="90"/>
              </w:rPr>
              <w:t>melinda.jarrell@towerjazz.com</w:t>
            </w:r>
          </w:p>
        </w:tc>
        <w:tc>
          <w:tcPr>
            <w:tcW w:w="17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5700" w:type="dxa"/>
            <w:vAlign w:val="bottom"/>
            <w:gridSpan w:val="2"/>
          </w:tcPr>
          <w:p>
            <w:pPr>
              <w:spacing w:after="0" w:line="185" w:lineRule="exact"/>
              <w:rPr>
                <w:sz w:val="20"/>
                <w:szCs w:val="20"/>
                <w:color w:val="auto"/>
              </w:rPr>
            </w:pPr>
            <w:r>
              <w:rPr>
                <w:rFonts w:ascii="Arial" w:cs="Arial" w:eastAsia="Arial" w:hAnsi="Arial"/>
                <w:sz w:val="18"/>
                <w:szCs w:val="18"/>
                <w:color w:val="auto"/>
              </w:rPr>
              <w:t>lauri.julian@towerjazz.com</w:t>
            </w:r>
          </w:p>
        </w:tc>
      </w:tr>
      <w:tr>
        <w:trPr>
          <w:trHeight w:val="432"/>
        </w:trPr>
        <w:tc>
          <w:tcPr>
            <w:tcW w:w="22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Investor Relations Contact:</w:t>
            </w:r>
          </w:p>
        </w:tc>
        <w:tc>
          <w:tcPr>
            <w:tcW w:w="1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r>
      <w:tr>
        <w:trPr>
          <w:trHeight w:val="212"/>
        </w:trPr>
        <w:tc>
          <w:tcPr>
            <w:tcW w:w="3980" w:type="dxa"/>
            <w:vAlign w:val="bottom"/>
            <w:gridSpan w:val="3"/>
          </w:tcPr>
          <w:p>
            <w:pPr>
              <w:spacing w:after="0"/>
              <w:rPr>
                <w:sz w:val="20"/>
                <w:szCs w:val="20"/>
                <w:color w:val="auto"/>
              </w:rPr>
            </w:pPr>
            <w:r>
              <w:rPr>
                <w:rFonts w:ascii="Arial" w:cs="Arial" w:eastAsia="Arial" w:hAnsi="Arial"/>
                <w:sz w:val="18"/>
                <w:szCs w:val="18"/>
                <w:color w:val="auto"/>
              </w:rPr>
              <w:t>Levi Noit</w:t>
            </w:r>
          </w:p>
        </w:tc>
        <w:tc>
          <w:tcPr>
            <w:tcW w:w="17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2"/>
        </w:trPr>
        <w:tc>
          <w:tcPr>
            <w:tcW w:w="1780" w:type="dxa"/>
            <w:vAlign w:val="bottom"/>
          </w:tcPr>
          <w:p>
            <w:pPr>
              <w:spacing w:after="0"/>
              <w:rPr>
                <w:sz w:val="20"/>
                <w:szCs w:val="20"/>
                <w:color w:val="auto"/>
              </w:rPr>
            </w:pPr>
            <w:r>
              <w:rPr>
                <w:rFonts w:ascii="Arial" w:cs="Arial" w:eastAsia="Arial" w:hAnsi="Arial"/>
                <w:sz w:val="18"/>
                <w:szCs w:val="18"/>
                <w:color w:val="auto"/>
              </w:rPr>
              <w:t>+972 4 604 7066</w:t>
            </w:r>
          </w:p>
        </w:tc>
        <w:tc>
          <w:tcPr>
            <w:tcW w:w="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185"/>
        </w:trPr>
        <w:tc>
          <w:tcPr>
            <w:tcW w:w="3980" w:type="dxa"/>
            <w:vAlign w:val="bottom"/>
            <w:gridSpan w:val="3"/>
          </w:tcPr>
          <w:p>
            <w:pPr>
              <w:spacing w:after="0" w:line="185" w:lineRule="exact"/>
              <w:rPr>
                <w:sz w:val="20"/>
                <w:szCs w:val="20"/>
                <w:color w:val="auto"/>
              </w:rPr>
            </w:pPr>
            <w:r>
              <w:rPr>
                <w:rFonts w:ascii="Arial" w:cs="Arial" w:eastAsia="Arial" w:hAnsi="Arial"/>
                <w:sz w:val="18"/>
                <w:szCs w:val="18"/>
                <w:color w:val="auto"/>
              </w:rPr>
              <w:t>noit.levi@towerjazz.com</w:t>
            </w:r>
          </w:p>
        </w:tc>
        <w:tc>
          <w:tcPr>
            <w:tcW w:w="17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740" w:type="dxa"/>
            <w:vAlign w:val="bottom"/>
          </w:tcPr>
          <w:p>
            <w:pPr>
              <w:spacing w:after="0"/>
              <w:rPr>
                <w:sz w:val="16"/>
                <w:szCs w:val="16"/>
                <w:color w:val="auto"/>
              </w:rPr>
            </w:pPr>
          </w:p>
        </w:tc>
      </w:tr>
      <w:tr>
        <w:trPr>
          <w:trHeight w:val="321"/>
        </w:trPr>
        <w:tc>
          <w:tcPr>
            <w:tcW w:w="1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70"/>
        </w:trPr>
        <w:tc>
          <w:tcPr>
            <w:tcW w:w="1780" w:type="dxa"/>
            <w:vAlign w:val="bottom"/>
            <w:shd w:val="clear" w:color="auto" w:fill="808080"/>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1740" w:type="dxa"/>
            <w:vAlign w:val="bottom"/>
            <w:shd w:val="clear" w:color="auto" w:fill="808080"/>
          </w:tcPr>
          <w:p>
            <w:pPr>
              <w:spacing w:after="0"/>
              <w:rPr>
                <w:sz w:val="6"/>
                <w:szCs w:val="6"/>
                <w:color w:val="auto"/>
              </w:rPr>
            </w:pPr>
          </w:p>
        </w:tc>
        <w:tc>
          <w:tcPr>
            <w:tcW w:w="1740" w:type="dxa"/>
            <w:vAlign w:val="bottom"/>
            <w:shd w:val="clear" w:color="auto" w:fill="808080"/>
          </w:tcPr>
          <w:p>
            <w:pPr>
              <w:spacing w:after="0"/>
              <w:rPr>
                <w:sz w:val="6"/>
                <w:szCs w:val="6"/>
                <w:color w:val="auto"/>
              </w:rPr>
            </w:pPr>
          </w:p>
        </w:tc>
        <w:tc>
          <w:tcPr>
            <w:tcW w:w="1960" w:type="dxa"/>
            <w:vAlign w:val="bottom"/>
            <w:shd w:val="clear" w:color="auto" w:fill="808080"/>
          </w:tcPr>
          <w:p>
            <w:pPr>
              <w:spacing w:after="0"/>
              <w:rPr>
                <w:sz w:val="6"/>
                <w:szCs w:val="6"/>
                <w:color w:val="auto"/>
              </w:rPr>
            </w:pPr>
          </w:p>
        </w:tc>
        <w:tc>
          <w:tcPr>
            <w:tcW w:w="374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2019-12-10T12:33:29Z</dcterms:created>
  <dcterms:modified xsi:type="dcterms:W3CDTF">2019-12-10T12:33:29Z</dcterms:modified>
</cp:coreProperties>
</file>