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6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SCHEDULE 13G</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4)*</w:t>
      </w: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u w:val="single" w:color="auto"/>
          <w:color w:val="auto"/>
        </w:rPr>
        <w:t>Tower Semiconductor Ltd.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(Name of Issuer)</w:t>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Ordinary Shares, par value NIS 15.00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(Title of Class of Securities)</w:t>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M87915274</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(CUSIP Number)</w:t>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22"/>
          <w:szCs w:val="22"/>
          <w:u w:val="single" w:color="auto"/>
          <w:color w:val="auto"/>
        </w:rPr>
        <w:t>December 31, 2020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Event Which Requires Filing of this Statement)</w:t>
      </w:r>
    </w:p>
    <w:p>
      <w:pPr>
        <w:spacing w:after="0" w:line="283"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13d-1(b)</w:t>
      </w:r>
    </w:p>
    <w:p>
      <w:pPr>
        <w:spacing w:after="0" w:line="287" w:lineRule="exact"/>
        <w:rPr>
          <w:sz w:val="24"/>
          <w:szCs w:val="24"/>
          <w:color w:val="auto"/>
        </w:rPr>
      </w:pPr>
    </w:p>
    <w:p>
      <w:pPr>
        <w:ind w:left="900" w:hanging="244"/>
        <w:spacing w:after="0"/>
        <w:tabs>
          <w:tab w:leader="none" w:pos="90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Rule 13d-1(c)</w:t>
      </w:r>
    </w:p>
    <w:p>
      <w:pPr>
        <w:spacing w:after="0" w:line="287" w:lineRule="exact"/>
        <w:rPr>
          <w:sz w:val="24"/>
          <w:szCs w:val="24"/>
          <w:color w:val="auto"/>
        </w:rPr>
      </w:pPr>
    </w:p>
    <w:p>
      <w:pPr>
        <w:ind w:left="900" w:hanging="244"/>
        <w:spacing w:after="0"/>
        <w:tabs>
          <w:tab w:leader="none" w:pos="900" w:val="left"/>
        </w:tabs>
        <w:numPr>
          <w:ilvl w:val="0"/>
          <w:numId w:val="3"/>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87" w:lineRule="exact"/>
        <w:rPr>
          <w:sz w:val="24"/>
          <w:szCs w:val="24"/>
          <w:color w:val="auto"/>
        </w:rPr>
      </w:pPr>
    </w:p>
    <w:p>
      <w:pPr>
        <w:jc w:val="both"/>
        <w:spacing w:after="0" w:line="266" w:lineRule="auto"/>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39" w:lineRule="exact"/>
        <w:rPr>
          <w:sz w:val="24"/>
          <w:szCs w:val="24"/>
          <w:color w:val="auto"/>
        </w:rPr>
      </w:pPr>
    </w:p>
    <w:p>
      <w:pPr>
        <w:jc w:val="both"/>
        <w:spacing w:after="0" w:line="266" w:lineRule="auto"/>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w:t>
      </w:r>
      <w:r>
        <w:rPr>
          <w:rFonts w:ascii="Arial" w:cs="Arial" w:eastAsia="Arial" w:hAnsi="Arial"/>
          <w:sz w:val="22"/>
          <w:szCs w:val="22"/>
          <w:i w:val="1"/>
          <w:iCs w:val="1"/>
          <w:color w:val="auto"/>
        </w:rPr>
        <w:t>Securities Exchange Act</w:t>
      </w:r>
      <w:r>
        <w:rPr>
          <w:rFonts w:ascii="Arial" w:cs="Arial" w:eastAsia="Arial" w:hAnsi="Arial"/>
          <w:sz w:val="22"/>
          <w:szCs w:val="22"/>
          <w:color w:val="auto"/>
        </w:rPr>
        <w:t xml:space="preserve">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1361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298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 w:name="page2"/>
    <w:bookmarkEnd w:id="1"/>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245745</wp:posOffset>
            </wp:positionV>
            <wp:extent cx="2609850" cy="167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09850" cy="16700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b w:val="1"/>
          <w:bCs w:val="1"/>
          <w:color w:val="auto"/>
        </w:rPr>
        <w:t>CUSIP No. M87915274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220345</wp:posOffset>
            </wp:positionV>
            <wp:extent cx="7132320" cy="6103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6103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center"/>
        <w:ind w:right="1800"/>
        <w:spacing w:after="0"/>
        <w:rPr>
          <w:sz w:val="20"/>
          <w:szCs w:val="20"/>
          <w:color w:val="auto"/>
        </w:rPr>
      </w:pPr>
      <w:r>
        <w:rPr>
          <w:rFonts w:ascii="Arial" w:cs="Arial" w:eastAsia="Arial" w:hAnsi="Arial"/>
          <w:sz w:val="15"/>
          <w:szCs w:val="15"/>
          <w:b w:val="1"/>
          <w:bCs w:val="1"/>
          <w:color w:val="auto"/>
        </w:rPr>
        <w:t>Page 2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-112395</wp:posOffset>
            </wp:positionV>
            <wp:extent cx="1992630" cy="167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92630" cy="16700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5240" w:space="720"/>
            <w:col w:w="1440" w:space="720"/>
            <w:col w:w="3120"/>
          </w:cols>
          <w:pgMar w:left="320" w:top="364" w:right="339" w:bottom="1440" w:gutter="0" w:footer="0" w:header="0"/>
        </w:sectPr>
      </w:pPr>
    </w:p>
    <w:p>
      <w:pPr>
        <w:spacing w:after="0" w:line="97" w:lineRule="exact"/>
        <w:rPr>
          <w:sz w:val="20"/>
          <w:szCs w:val="20"/>
          <w:color w:val="auto"/>
        </w:rPr>
      </w:pPr>
    </w:p>
    <w:p>
      <w:pPr>
        <w:ind w:left="1980" w:hanging="1056"/>
        <w:spacing w:after="0"/>
        <w:tabs>
          <w:tab w:leader="none" w:pos="1980" w:val="left"/>
        </w:tabs>
        <w:numPr>
          <w:ilvl w:val="0"/>
          <w:numId w:val="4"/>
        </w:numPr>
        <w:rPr>
          <w:rFonts w:ascii="Arial" w:cs="Arial" w:eastAsia="Arial" w:hAnsi="Arial"/>
          <w:sz w:val="29"/>
          <w:szCs w:val="29"/>
          <w:b w:val="1"/>
          <w:bCs w:val="1"/>
          <w:color w:val="auto"/>
          <w:vertAlign w:val="superscript"/>
        </w:rPr>
      </w:pPr>
      <w:r>
        <w:rPr>
          <w:rFonts w:ascii="Arial" w:cs="Arial" w:eastAsia="Arial" w:hAnsi="Arial"/>
          <w:sz w:val="18"/>
          <w:szCs w:val="18"/>
          <w:color w:val="auto"/>
        </w:rPr>
        <w:t>NAME OF REPORTING PERSONS</w:t>
      </w:r>
    </w:p>
    <w:p>
      <w:pPr>
        <w:spacing w:after="0" w:line="20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The Phoenix Holdings Ltd.</w:t>
      </w:r>
    </w:p>
    <w:p>
      <w:pPr>
        <w:spacing w:after="0" w:line="68" w:lineRule="exact"/>
        <w:rPr>
          <w:sz w:val="20"/>
          <w:szCs w:val="20"/>
          <w:color w:val="auto"/>
        </w:rPr>
      </w:pPr>
    </w:p>
    <w:p>
      <w:pPr>
        <w:ind w:left="1980" w:hanging="1056"/>
        <w:spacing w:after="0"/>
        <w:tabs>
          <w:tab w:leader="none" w:pos="1980" w:val="left"/>
        </w:tabs>
        <w:numPr>
          <w:ilvl w:val="0"/>
          <w:numId w:val="5"/>
        </w:numPr>
        <w:rPr>
          <w:rFonts w:ascii="Arial" w:cs="Arial" w:eastAsia="Arial" w:hAnsi="Arial"/>
          <w:sz w:val="29"/>
          <w:szCs w:val="29"/>
          <w:b w:val="1"/>
          <w:bCs w:val="1"/>
          <w:color w:val="auto"/>
          <w:vertAlign w:val="superscript"/>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29"/>
          <w:szCs w:val="29"/>
          <w:b w:val="1"/>
          <w:bCs w:val="1"/>
          <w:color w:val="auto"/>
          <w:vertAlign w:val="superscript"/>
        </w:rPr>
      </w:pPr>
    </w:p>
    <w:p>
      <w:pPr>
        <w:ind w:left="2380" w:hanging="239"/>
        <w:spacing w:after="0" w:line="207" w:lineRule="exact"/>
        <w:tabs>
          <w:tab w:leader="none" w:pos="23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9" w:lineRule="exact"/>
        <w:rPr>
          <w:rFonts w:ascii="Arial" w:cs="Arial" w:eastAsia="Arial" w:hAnsi="Arial"/>
          <w:sz w:val="18"/>
          <w:szCs w:val="18"/>
          <w:color w:val="auto"/>
        </w:rPr>
      </w:pPr>
    </w:p>
    <w:p>
      <w:pPr>
        <w:ind w:left="2400" w:hanging="259"/>
        <w:spacing w:after="0" w:line="207" w:lineRule="exact"/>
        <w:tabs>
          <w:tab w:leader="none" w:pos="240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3</w:t>
            </w:r>
          </w:p>
        </w:tc>
        <w:tc>
          <w:tcPr>
            <w:tcW w:w="138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96"/>
              </w:rPr>
              <w:t>SEC USE ONLY</w:t>
            </w:r>
          </w:p>
        </w:tc>
        <w:tc>
          <w:tcPr>
            <w:tcW w:w="7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92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CCEEFF"/>
            </w:tcBorders>
            <w:shd w:val="clear" w:color="auto" w:fill="CCEEFF"/>
          </w:tcPr>
          <w:p>
            <w:pPr>
              <w:spacing w:after="0"/>
              <w:rPr>
                <w:sz w:val="24"/>
                <w:szCs w:val="24"/>
                <w:color w:val="auto"/>
              </w:rPr>
            </w:pPr>
          </w:p>
        </w:tc>
        <w:tc>
          <w:tcPr>
            <w:tcW w:w="680" w:type="dxa"/>
            <w:vAlign w:val="bottom"/>
            <w:tcBorders>
              <w:bottom w:val="single" w:sz="8" w:color="auto"/>
              <w:right w:val="single" w:sz="8" w:color="CCEEFF"/>
            </w:tcBorders>
            <w:shd w:val="clear" w:color="auto" w:fill="CCEEFF"/>
          </w:tcPr>
          <w:p>
            <w:pPr>
              <w:spacing w:after="0"/>
              <w:rPr>
                <w:sz w:val="24"/>
                <w:szCs w:val="24"/>
                <w:color w:val="auto"/>
              </w:rPr>
            </w:pPr>
          </w:p>
        </w:tc>
        <w:tc>
          <w:tcPr>
            <w:tcW w:w="79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20" w:type="dxa"/>
            <w:vAlign w:val="bottom"/>
          </w:tcPr>
          <w:p>
            <w:pPr>
              <w:jc w:val="center"/>
              <w:spacing w:after="0"/>
              <w:rPr>
                <w:sz w:val="20"/>
                <w:szCs w:val="20"/>
                <w:color w:val="auto"/>
              </w:rPr>
            </w:pPr>
            <w:r>
              <w:rPr>
                <w:rFonts w:ascii="Arial" w:cs="Arial" w:eastAsia="Arial" w:hAnsi="Arial"/>
                <w:sz w:val="14"/>
                <w:szCs w:val="14"/>
                <w:b w:val="1"/>
                <w:bCs w:val="1"/>
                <w:color w:val="auto"/>
              </w:rPr>
              <w:t>4</w:t>
            </w:r>
          </w:p>
        </w:tc>
        <w:tc>
          <w:tcPr>
            <w:tcW w:w="9320" w:type="dxa"/>
            <w:vAlign w:val="bottom"/>
            <w:gridSpan w:val="3"/>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color w:val="auto"/>
              </w:rPr>
              <w:t>Israel</w:t>
            </w:r>
          </w:p>
        </w:tc>
        <w:tc>
          <w:tcPr>
            <w:tcW w:w="7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7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19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5</w:t>
            </w:r>
          </w:p>
        </w:tc>
        <w:tc>
          <w:tcPr>
            <w:tcW w:w="794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94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1920" w:type="dxa"/>
            <w:vAlign w:val="bottom"/>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7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1920" w:type="dxa"/>
            <w:vAlign w:val="bottom"/>
            <w:vMerge w:val="restart"/>
          </w:tcPr>
          <w:p>
            <w:pPr>
              <w:jc w:val="center"/>
              <w:ind w:left="78"/>
              <w:spacing w:after="0"/>
              <w:rPr>
                <w:sz w:val="20"/>
                <w:szCs w:val="20"/>
                <w:color w:val="auto"/>
              </w:rPr>
            </w:pPr>
            <w:r>
              <w:rPr>
                <w:rFonts w:ascii="Arial" w:cs="Arial" w:eastAsia="Arial" w:hAnsi="Arial"/>
                <w:sz w:val="18"/>
                <w:szCs w:val="18"/>
                <w:color w:val="auto"/>
                <w:w w:val="96"/>
              </w:rPr>
              <w:t>NUMBER OF</w:t>
            </w:r>
          </w:p>
        </w:tc>
        <w:tc>
          <w:tcPr>
            <w:tcW w:w="70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6</w:t>
            </w:r>
          </w:p>
        </w:tc>
        <w:tc>
          <w:tcPr>
            <w:tcW w:w="794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67"/>
        </w:trPr>
        <w:tc>
          <w:tcPr>
            <w:tcW w:w="1920" w:type="dxa"/>
            <w:vAlign w:val="bottom"/>
            <w:vMerge w:val="continue"/>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7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920" w:type="dxa"/>
            <w:vAlign w:val="bottom"/>
          </w:tcPr>
          <w:p>
            <w:pPr>
              <w:jc w:val="center"/>
              <w:ind w:left="98"/>
              <w:spacing w:after="0"/>
              <w:rPr>
                <w:sz w:val="20"/>
                <w:szCs w:val="20"/>
                <w:color w:val="auto"/>
              </w:rPr>
            </w:pPr>
            <w:r>
              <w:rPr>
                <w:rFonts w:ascii="Arial" w:cs="Arial" w:eastAsia="Arial" w:hAnsi="Arial"/>
                <w:sz w:val="18"/>
                <w:szCs w:val="18"/>
                <w:color w:val="auto"/>
                <w:w w:val="94"/>
              </w:rPr>
              <w:t>SHARES</w:t>
            </w: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940" w:type="dxa"/>
            <w:vAlign w:val="bottom"/>
            <w:vMerge w:val="restart"/>
          </w:tcPr>
          <w:p>
            <w:pPr>
              <w:ind w:left="120"/>
              <w:spacing w:after="0"/>
              <w:rPr>
                <w:sz w:val="20"/>
                <w:szCs w:val="20"/>
                <w:color w:val="auto"/>
              </w:rPr>
            </w:pPr>
            <w:r>
              <w:rPr>
                <w:rFonts w:ascii="Arial" w:cs="Arial" w:eastAsia="Arial" w:hAnsi="Arial"/>
                <w:sz w:val="18"/>
                <w:szCs w:val="18"/>
                <w:color w:val="auto"/>
              </w:rPr>
              <w:t>6,441,697.06 (*)</w:t>
            </w:r>
          </w:p>
        </w:tc>
        <w:tc>
          <w:tcPr>
            <w:tcW w:w="0" w:type="dxa"/>
            <w:vAlign w:val="bottom"/>
          </w:tcPr>
          <w:p>
            <w:pPr>
              <w:spacing w:after="0"/>
              <w:rPr>
                <w:sz w:val="1"/>
                <w:szCs w:val="1"/>
                <w:color w:val="auto"/>
              </w:rPr>
            </w:pPr>
          </w:p>
        </w:tc>
      </w:tr>
      <w:tr>
        <w:trPr>
          <w:trHeight w:val="149"/>
        </w:trPr>
        <w:tc>
          <w:tcPr>
            <w:tcW w:w="1920" w:type="dxa"/>
            <w:vAlign w:val="bottom"/>
            <w:vMerge w:val="restart"/>
          </w:tcPr>
          <w:p>
            <w:pPr>
              <w:jc w:val="center"/>
              <w:ind w:left="98"/>
              <w:spacing w:after="0"/>
              <w:rPr>
                <w:sz w:val="20"/>
                <w:szCs w:val="20"/>
                <w:color w:val="auto"/>
              </w:rPr>
            </w:pPr>
            <w:r>
              <w:rPr>
                <w:rFonts w:ascii="Arial" w:cs="Arial" w:eastAsia="Arial" w:hAnsi="Arial"/>
                <w:sz w:val="18"/>
                <w:szCs w:val="18"/>
                <w:color w:val="auto"/>
                <w:w w:val="99"/>
              </w:rPr>
              <w:t>BENEFICIALLY</w:t>
            </w:r>
          </w:p>
        </w:tc>
        <w:tc>
          <w:tcPr>
            <w:tcW w:w="7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920" w:type="dxa"/>
            <w:vAlign w:val="bottom"/>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7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1920" w:type="dxa"/>
            <w:vAlign w:val="bottom"/>
          </w:tcPr>
          <w:p>
            <w:pPr>
              <w:jc w:val="center"/>
              <w:ind w:left="78"/>
              <w:spacing w:after="0" w:line="189" w:lineRule="exact"/>
              <w:rPr>
                <w:sz w:val="20"/>
                <w:szCs w:val="20"/>
                <w:color w:val="auto"/>
              </w:rPr>
            </w:pPr>
            <w:r>
              <w:rPr>
                <w:rFonts w:ascii="Arial" w:cs="Arial" w:eastAsia="Arial" w:hAnsi="Arial"/>
                <w:sz w:val="18"/>
                <w:szCs w:val="18"/>
                <w:color w:val="auto"/>
                <w:w w:val="97"/>
              </w:rPr>
              <w:t>OWNED BY</w:t>
            </w:r>
          </w:p>
        </w:tc>
        <w:tc>
          <w:tcPr>
            <w:tcW w:w="70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vMerge w:val="restart"/>
          </w:tcPr>
          <w:p>
            <w:pPr>
              <w:jc w:val="right"/>
              <w:ind w:right="248"/>
              <w:spacing w:after="0"/>
              <w:rPr>
                <w:sz w:val="20"/>
                <w:szCs w:val="20"/>
                <w:color w:val="auto"/>
              </w:rPr>
            </w:pPr>
            <w:r>
              <w:rPr>
                <w:rFonts w:ascii="Arial" w:cs="Arial" w:eastAsia="Arial" w:hAnsi="Arial"/>
                <w:sz w:val="14"/>
                <w:szCs w:val="14"/>
                <w:b w:val="1"/>
                <w:bCs w:val="1"/>
                <w:color w:val="auto"/>
              </w:rPr>
              <w:t>7</w:t>
            </w:r>
          </w:p>
        </w:tc>
        <w:tc>
          <w:tcPr>
            <w:tcW w:w="794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95"/>
        </w:trPr>
        <w:tc>
          <w:tcPr>
            <w:tcW w:w="1920" w:type="dxa"/>
            <w:vAlign w:val="bottom"/>
            <w:vMerge w:val="restart"/>
          </w:tcPr>
          <w:p>
            <w:pPr>
              <w:jc w:val="center"/>
              <w:ind w:left="98"/>
              <w:spacing w:after="0"/>
              <w:rPr>
                <w:sz w:val="20"/>
                <w:szCs w:val="20"/>
                <w:color w:val="auto"/>
              </w:rPr>
            </w:pPr>
            <w:r>
              <w:rPr>
                <w:rFonts w:ascii="Arial" w:cs="Arial" w:eastAsia="Arial" w:hAnsi="Arial"/>
                <w:sz w:val="18"/>
                <w:szCs w:val="18"/>
                <w:color w:val="auto"/>
                <w:w w:val="99"/>
              </w:rPr>
              <w:t>EACH</w:t>
            </w:r>
          </w:p>
        </w:tc>
        <w:tc>
          <w:tcPr>
            <w:tcW w:w="70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7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920" w:type="dxa"/>
            <w:vAlign w:val="bottom"/>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7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920" w:type="dxa"/>
            <w:vAlign w:val="bottom"/>
          </w:tcPr>
          <w:p>
            <w:pPr>
              <w:jc w:val="center"/>
              <w:ind w:left="78"/>
              <w:spacing w:after="0"/>
              <w:rPr>
                <w:sz w:val="20"/>
                <w:szCs w:val="20"/>
                <w:color w:val="auto"/>
              </w:rPr>
            </w:pPr>
            <w:r>
              <w:rPr>
                <w:rFonts w:ascii="Arial" w:cs="Arial" w:eastAsia="Arial" w:hAnsi="Arial"/>
                <w:sz w:val="18"/>
                <w:szCs w:val="18"/>
                <w:color w:val="auto"/>
                <w:w w:val="93"/>
              </w:rPr>
              <w:t>REPORTING</w:t>
            </w:r>
          </w:p>
        </w:tc>
        <w:tc>
          <w:tcPr>
            <w:tcW w:w="7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79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5"/>
        </w:trPr>
        <w:tc>
          <w:tcPr>
            <w:tcW w:w="1920" w:type="dxa"/>
            <w:vAlign w:val="bottom"/>
            <w:vMerge w:val="restart"/>
          </w:tcPr>
          <w:p>
            <w:pPr>
              <w:jc w:val="center"/>
              <w:ind w:left="78"/>
              <w:spacing w:after="0" w:line="170" w:lineRule="exact"/>
              <w:rPr>
                <w:sz w:val="20"/>
                <w:szCs w:val="20"/>
                <w:color w:val="auto"/>
              </w:rPr>
            </w:pPr>
            <w:r>
              <w:rPr>
                <w:rFonts w:ascii="Arial" w:cs="Arial" w:eastAsia="Arial" w:hAnsi="Arial"/>
                <w:sz w:val="18"/>
                <w:szCs w:val="18"/>
                <w:color w:val="auto"/>
                <w:w w:val="94"/>
              </w:rPr>
              <w:t>PERSON WITH</w:t>
            </w:r>
          </w:p>
        </w:tc>
        <w:tc>
          <w:tcPr>
            <w:tcW w:w="70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7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1920" w:type="dxa"/>
            <w:vAlign w:val="bottom"/>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7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8</w:t>
            </w:r>
          </w:p>
        </w:tc>
        <w:tc>
          <w:tcPr>
            <w:tcW w:w="7940" w:type="dxa"/>
            <w:vAlign w:val="bottom"/>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7940" w:type="dxa"/>
            <w:vAlign w:val="bottom"/>
          </w:tcPr>
          <w:p>
            <w:pPr>
              <w:ind w:left="120"/>
              <w:spacing w:after="0"/>
              <w:rPr>
                <w:sz w:val="20"/>
                <w:szCs w:val="20"/>
                <w:color w:val="auto"/>
              </w:rPr>
            </w:pPr>
            <w:r>
              <w:rPr>
                <w:rFonts w:ascii="Arial" w:cs="Arial" w:eastAsia="Arial" w:hAnsi="Arial"/>
                <w:sz w:val="18"/>
                <w:szCs w:val="18"/>
                <w:color w:val="auto"/>
              </w:rPr>
              <w:t>6,441,697.06 (*)</w:t>
            </w: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tcBorders>
          </w:tcPr>
          <w:p>
            <w:pPr>
              <w:spacing w:after="0"/>
              <w:rPr>
                <w:sz w:val="6"/>
                <w:szCs w:val="6"/>
                <w:color w:val="auto"/>
              </w:rPr>
            </w:pPr>
          </w:p>
        </w:tc>
        <w:tc>
          <w:tcPr>
            <w:tcW w:w="70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7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9</w:t>
            </w:r>
          </w:p>
        </w:tc>
        <w:tc>
          <w:tcPr>
            <w:tcW w:w="9320" w:type="dxa"/>
            <w:vAlign w:val="bottom"/>
            <w:gridSpan w:val="3"/>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w w:val="96"/>
              </w:rPr>
              <w:t>6,441,697.06 (*)</w:t>
            </w:r>
          </w:p>
        </w:tc>
        <w:tc>
          <w:tcPr>
            <w:tcW w:w="7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1920" w:type="dxa"/>
            <w:vAlign w:val="bottom"/>
            <w:tcBorders>
              <w:bottom w:val="single" w:sz="8" w:color="auto"/>
              <w:right w:val="single" w:sz="8" w:color="auto"/>
            </w:tcBorders>
          </w:tcPr>
          <w:p>
            <w:pPr>
              <w:spacing w:after="0"/>
              <w:rPr>
                <w:sz w:val="6"/>
                <w:szCs w:val="6"/>
                <w:color w:val="auto"/>
              </w:rPr>
            </w:pPr>
          </w:p>
        </w:tc>
        <w:tc>
          <w:tcPr>
            <w:tcW w:w="932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10</w:t>
            </w:r>
          </w:p>
        </w:tc>
        <w:tc>
          <w:tcPr>
            <w:tcW w:w="9320" w:type="dxa"/>
            <w:vAlign w:val="bottom"/>
            <w:gridSpan w:val="3"/>
          </w:tcPr>
          <w:p>
            <w:pPr>
              <w:ind w:left="6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52"/>
        </w:trPr>
        <w:tc>
          <w:tcPr>
            <w:tcW w:w="1920" w:type="dxa"/>
            <w:vAlign w:val="bottom"/>
            <w:tcBorders>
              <w:right w:val="single" w:sz="8" w:color="auto"/>
            </w:tcBorders>
          </w:tcPr>
          <w:p>
            <w:pPr>
              <w:spacing w:after="0"/>
              <w:rPr>
                <w:sz w:val="24"/>
                <w:szCs w:val="24"/>
                <w:color w:val="auto"/>
              </w:rPr>
            </w:pPr>
          </w:p>
        </w:tc>
        <w:tc>
          <w:tcPr>
            <w:tcW w:w="1380" w:type="dxa"/>
            <w:vAlign w:val="bottom"/>
            <w:gridSpan w:val="2"/>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7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920" w:type="dxa"/>
            <w:vAlign w:val="bottom"/>
            <w:tcBorders>
              <w:bottom w:val="single" w:sz="8" w:color="auto"/>
              <w:right w:val="single" w:sz="8" w:color="auto"/>
            </w:tcBorders>
          </w:tcPr>
          <w:p>
            <w:pPr>
              <w:spacing w:after="0"/>
              <w:rPr>
                <w:sz w:val="4"/>
                <w:szCs w:val="4"/>
                <w:color w:val="auto"/>
              </w:rPr>
            </w:pPr>
          </w:p>
        </w:tc>
        <w:tc>
          <w:tcPr>
            <w:tcW w:w="932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11</w:t>
            </w:r>
          </w:p>
        </w:tc>
        <w:tc>
          <w:tcPr>
            <w:tcW w:w="9320" w:type="dxa"/>
            <w:vAlign w:val="bottom"/>
            <w:gridSpan w:val="3"/>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color w:val="auto"/>
              </w:rPr>
              <w:t>5.99% (*)(**)</w:t>
            </w:r>
          </w:p>
        </w:tc>
        <w:tc>
          <w:tcPr>
            <w:tcW w:w="7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920" w:type="dxa"/>
            <w:vAlign w:val="bottom"/>
            <w:tcBorders>
              <w:bottom w:val="single" w:sz="8" w:color="auto"/>
              <w:right w:val="single" w:sz="8" w:color="auto"/>
            </w:tcBorders>
          </w:tcPr>
          <w:p>
            <w:pPr>
              <w:spacing w:after="0"/>
              <w:rPr>
                <w:sz w:val="6"/>
                <w:szCs w:val="6"/>
                <w:color w:val="auto"/>
              </w:rPr>
            </w:pPr>
          </w:p>
        </w:tc>
        <w:tc>
          <w:tcPr>
            <w:tcW w:w="932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12</w:t>
            </w:r>
          </w:p>
        </w:tc>
        <w:tc>
          <w:tcPr>
            <w:tcW w:w="9320" w:type="dxa"/>
            <w:vAlign w:val="bottom"/>
            <w:gridSpan w:val="3"/>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1920" w:type="dxa"/>
            <w:vAlign w:val="bottom"/>
            <w:tcBorders>
              <w:right w:val="single" w:sz="8" w:color="auto"/>
            </w:tcBorders>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Arial" w:cs="Arial" w:eastAsia="Arial" w:hAnsi="Arial"/>
                <w:sz w:val="18"/>
                <w:szCs w:val="18"/>
                <w:color w:val="auto"/>
              </w:rPr>
              <w:t>CO</w:t>
            </w:r>
          </w:p>
        </w:tc>
        <w:tc>
          <w:tcPr>
            <w:tcW w:w="7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920" w:type="dxa"/>
            <w:vAlign w:val="bottom"/>
            <w:tcBorders>
              <w:bottom w:val="single" w:sz="8" w:color="auto"/>
              <w:right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79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 The beneficial ownership of the securities reported herein is described in Item 4(a).</w:t>
      </w:r>
    </w:p>
    <w:p>
      <w:pPr>
        <w:spacing w:after="0" w:line="287" w:lineRule="exact"/>
        <w:rPr>
          <w:sz w:val="20"/>
          <w:szCs w:val="20"/>
          <w:color w:val="auto"/>
        </w:rPr>
      </w:pPr>
    </w:p>
    <w:p>
      <w:pPr>
        <w:ind w:left="5580" w:right="1340" w:hanging="5572"/>
        <w:spacing w:after="0" w:line="776" w:lineRule="auto"/>
        <w:tabs>
          <w:tab w:leader="none" w:pos="432" w:val="left"/>
        </w:tabs>
        <w:numPr>
          <w:ilvl w:val="0"/>
          <w:numId w:val="6"/>
        </w:numPr>
        <w:rPr>
          <w:rFonts w:ascii="Arial" w:cs="Arial" w:eastAsia="Arial" w:hAnsi="Arial"/>
          <w:sz w:val="22"/>
          <w:szCs w:val="22"/>
          <w:color w:val="auto"/>
        </w:rPr>
      </w:pPr>
      <w:r>
        <w:rPr>
          <w:rFonts w:ascii="Arial" w:cs="Arial" w:eastAsia="Arial" w:hAnsi="Arial"/>
          <w:sz w:val="22"/>
          <w:szCs w:val="22"/>
          <w:color w:val="auto"/>
        </w:rPr>
        <w:t>Based on 107,544,989 Ordinary Shares outstanding as of December 31, 2020 (as reported on Bloomberg LP).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-297815</wp:posOffset>
            </wp:positionV>
            <wp:extent cx="71361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98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2" w:name="page3"/>
    <w:bookmarkEnd w:id="2"/>
    <w:p>
      <w:pPr>
        <w:spacing w:after="0"/>
        <w:tabs>
          <w:tab w:leader="none" w:pos="1900" w:val="left"/>
        </w:tabs>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color w:val="auto"/>
        </w:rPr>
        <w:t>(a)</w:t>
      </w:r>
      <w:r>
        <w:rPr>
          <w:sz w:val="20"/>
          <w:szCs w:val="20"/>
          <w:color w:val="auto"/>
        </w:rPr>
        <w:tab/>
      </w:r>
      <w:r>
        <w:rPr>
          <w:rFonts w:ascii="Arial" w:cs="Arial" w:eastAsia="Arial" w:hAnsi="Arial"/>
          <w:sz w:val="19"/>
          <w:szCs w:val="19"/>
          <w:u w:val="single" w:color="auto"/>
          <w:color w:val="auto"/>
        </w:rPr>
        <w:t>Name of Issuer</w:t>
      </w:r>
      <w:r>
        <w:rPr>
          <w:rFonts w:ascii="Arial" w:cs="Arial" w:eastAsia="Arial" w:hAnsi="Arial"/>
          <w:sz w:val="19"/>
          <w:szCs w:val="19"/>
          <w:color w:val="auto"/>
        </w:rPr>
        <w:t>:</w:t>
      </w:r>
    </w:p>
    <w:p>
      <w:pPr>
        <w:spacing w:after="0" w:line="239"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Tower Semiconductor Ltd.</w:t>
      </w:r>
    </w:p>
    <w:p>
      <w:pPr>
        <w:spacing w:after="0" w:line="240" w:lineRule="exact"/>
        <w:rPr>
          <w:sz w:val="20"/>
          <w:szCs w:val="20"/>
          <w:color w:val="auto"/>
        </w:rPr>
      </w:pPr>
    </w:p>
    <w:p>
      <w:pPr>
        <w:ind w:left="1460" w:hanging="867"/>
        <w:spacing w:after="0"/>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Address of Issuer's Principal Executive Offices</w:t>
      </w:r>
      <w:r>
        <w:rPr>
          <w:rFonts w:ascii="Arial" w:cs="Arial" w:eastAsia="Arial" w:hAnsi="Arial"/>
          <w:sz w:val="18"/>
          <w:szCs w:val="18"/>
          <w:color w:val="auto"/>
        </w:rPr>
        <w:t>:</w:t>
      </w:r>
    </w:p>
    <w:p>
      <w:pPr>
        <w:spacing w:after="0" w:line="245"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Ramat Gavriel Industrial Park, P.O. Box 619, Migdal Haemek 2310502, Israel</w:t>
      </w:r>
    </w:p>
    <w:p>
      <w:pPr>
        <w:spacing w:after="0" w:line="236"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color w:val="auto"/>
        </w:rPr>
        <w:t>(a)</w:t>
      </w:r>
      <w:r>
        <w:rPr>
          <w:sz w:val="20"/>
          <w:szCs w:val="20"/>
          <w:color w:val="auto"/>
        </w:rPr>
        <w:tab/>
      </w:r>
      <w:r>
        <w:rPr>
          <w:rFonts w:ascii="Arial" w:cs="Arial" w:eastAsia="Arial" w:hAnsi="Arial"/>
          <w:sz w:val="16"/>
          <w:szCs w:val="16"/>
          <w:u w:val="single" w:color="auto"/>
          <w:color w:val="auto"/>
        </w:rPr>
        <w:t>Name of Person Filing</w:t>
      </w:r>
      <w:r>
        <w:rPr>
          <w:rFonts w:ascii="Arial" w:cs="Arial" w:eastAsia="Arial" w:hAnsi="Arial"/>
          <w:sz w:val="16"/>
          <w:szCs w:val="16"/>
          <w:color w:val="auto"/>
        </w:rPr>
        <w:t>:</w:t>
      </w:r>
    </w:p>
    <w:p>
      <w:pPr>
        <w:spacing w:after="0" w:line="22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The Phoenix Holdings Ltd.</w:t>
      </w:r>
    </w:p>
    <w:p>
      <w:pPr>
        <w:spacing w:after="0" w:line="258" w:lineRule="exact"/>
        <w:rPr>
          <w:sz w:val="20"/>
          <w:szCs w:val="20"/>
          <w:color w:val="auto"/>
        </w:rPr>
      </w:pPr>
    </w:p>
    <w:p>
      <w:pPr>
        <w:jc w:val="both"/>
        <w:ind w:left="1420"/>
        <w:spacing w:after="0" w:line="260" w:lineRule="auto"/>
        <w:rPr>
          <w:sz w:val="20"/>
          <w:szCs w:val="20"/>
          <w:color w:val="auto"/>
        </w:rPr>
      </w:pPr>
      <w:r>
        <w:rPr>
          <w:rFonts w:ascii="Arial" w:cs="Arial" w:eastAsia="Arial" w:hAnsi="Arial"/>
          <w:sz w:val="22"/>
          <w:szCs w:val="22"/>
          <w:color w:val="auto"/>
        </w:rPr>
        <w:t>The securities reported herein are beneficially owned by various direct or indirect, majority or wholly-owned subsidiaries of the Phoenix Holdings Ltd. (the "Subsidiaries"). The Subsidiaries manage their own funds and/or the funds of others, including for holders of exchange-traded notes or various insurance policies, members of pension or provident funds, unit holders of mutual funds, and portfolio management clients. Each of the Subsidiaries operates under independent management and makes its own independent voting and investment decisions.</w:t>
      </w:r>
    </w:p>
    <w:p>
      <w:pPr>
        <w:spacing w:after="0" w:line="239" w:lineRule="exact"/>
        <w:rPr>
          <w:sz w:val="20"/>
          <w:szCs w:val="20"/>
          <w:color w:val="auto"/>
        </w:rPr>
      </w:pPr>
    </w:p>
    <w:p>
      <w:pPr>
        <w:ind w:left="1480" w:hanging="649"/>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Address of Principal Business Office</w:t>
      </w:r>
      <w:r>
        <w:rPr>
          <w:rFonts w:ascii="Arial" w:cs="Arial" w:eastAsia="Arial" w:hAnsi="Arial"/>
          <w:sz w:val="18"/>
          <w:szCs w:val="18"/>
          <w:color w:val="auto"/>
        </w:rPr>
        <w:t>:</w:t>
      </w:r>
    </w:p>
    <w:p>
      <w:pPr>
        <w:spacing w:after="0" w:line="245"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The address of the Phoenix Holdings Ltd. is Derech Hashalom 53, Givataim, 53454, Israel.</w:t>
      </w:r>
    </w:p>
    <w:p>
      <w:pPr>
        <w:spacing w:after="0" w:line="240" w:lineRule="exact"/>
        <w:rPr>
          <w:sz w:val="20"/>
          <w:szCs w:val="20"/>
          <w:color w:val="auto"/>
        </w:rPr>
      </w:pPr>
    </w:p>
    <w:p>
      <w:pPr>
        <w:ind w:left="1480" w:hanging="649"/>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Citizenship</w:t>
      </w:r>
      <w:r>
        <w:rPr>
          <w:rFonts w:ascii="Arial" w:cs="Arial" w:eastAsia="Arial" w:hAnsi="Arial"/>
          <w:sz w:val="18"/>
          <w:szCs w:val="18"/>
          <w:color w:val="auto"/>
        </w:rPr>
        <w:t>:</w:t>
      </w:r>
    </w:p>
    <w:p>
      <w:pPr>
        <w:spacing w:after="0" w:line="252"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The Phoenix Holdings Ltd. - Israel</w:t>
      </w:r>
    </w:p>
    <w:p>
      <w:pPr>
        <w:spacing w:after="0" w:line="252" w:lineRule="exact"/>
        <w:rPr>
          <w:sz w:val="20"/>
          <w:szCs w:val="20"/>
          <w:color w:val="auto"/>
        </w:rPr>
      </w:pPr>
    </w:p>
    <w:p>
      <w:pPr>
        <w:ind w:left="1480" w:hanging="649"/>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Title of Class of Securities</w:t>
      </w:r>
      <w:r>
        <w:rPr>
          <w:rFonts w:ascii="Arial" w:cs="Arial" w:eastAsia="Arial" w:hAnsi="Arial"/>
          <w:sz w:val="18"/>
          <w:szCs w:val="18"/>
          <w:color w:val="auto"/>
        </w:rPr>
        <w:t>:</w:t>
      </w:r>
    </w:p>
    <w:p>
      <w:pPr>
        <w:spacing w:after="0" w:line="258"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Ordinary Shares, par value NIS 15.00 per share</w:t>
      </w:r>
    </w:p>
    <w:p>
      <w:pPr>
        <w:spacing w:after="0" w:line="254" w:lineRule="exact"/>
        <w:rPr>
          <w:sz w:val="20"/>
          <w:szCs w:val="20"/>
          <w:color w:val="auto"/>
        </w:rPr>
      </w:pPr>
    </w:p>
    <w:p>
      <w:pPr>
        <w:ind w:left="1480" w:hanging="649"/>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CUSIP Number</w:t>
      </w:r>
      <w:r>
        <w:rPr>
          <w:rFonts w:ascii="Arial" w:cs="Arial" w:eastAsia="Arial" w:hAnsi="Arial"/>
          <w:sz w:val="18"/>
          <w:szCs w:val="18"/>
          <w:color w:val="auto"/>
        </w:rPr>
        <w: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460" w:type="dxa"/>
            <w:vAlign w:val="bottom"/>
          </w:tcPr>
          <w:p>
            <w:pPr>
              <w:spacing w:after="0"/>
              <w:rPr>
                <w:sz w:val="23"/>
                <w:szCs w:val="23"/>
                <w:color w:val="auto"/>
              </w:rPr>
            </w:pPr>
          </w:p>
        </w:tc>
        <w:tc>
          <w:tcPr>
            <w:tcW w:w="1100" w:type="dxa"/>
            <w:vAlign w:val="bottom"/>
            <w:gridSpan w:val="2"/>
          </w:tcPr>
          <w:p>
            <w:pPr>
              <w:spacing w:after="0"/>
              <w:rPr>
                <w:sz w:val="20"/>
                <w:szCs w:val="20"/>
                <w:color w:val="auto"/>
              </w:rPr>
            </w:pPr>
            <w:r>
              <w:rPr>
                <w:rFonts w:ascii="Arial" w:cs="Arial" w:eastAsia="Arial" w:hAnsi="Arial"/>
                <w:sz w:val="22"/>
                <w:szCs w:val="22"/>
                <w:color w:val="auto"/>
                <w:w w:val="92"/>
              </w:rPr>
              <w:t>M87915274</w:t>
            </w:r>
          </w:p>
        </w:tc>
      </w:tr>
      <w:tr>
        <w:trPr>
          <w:trHeight w:val="449"/>
        </w:trPr>
        <w:tc>
          <w:tcPr>
            <w:tcW w:w="1460" w:type="dxa"/>
            <w:vAlign w:val="bottom"/>
          </w:tcPr>
          <w:p>
            <w:pPr>
              <w:spacing w:after="0"/>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color w:val="auto"/>
              </w:rPr>
              <w:t>.</w:t>
            </w:r>
          </w:p>
        </w:tc>
        <w:tc>
          <w:tcPr>
            <w:tcW w:w="1100" w:type="dxa"/>
            <w:vAlign w:val="bottom"/>
            <w:gridSpan w:val="2"/>
          </w:tcPr>
          <w:p>
            <w:pPr>
              <w:spacing w:after="0"/>
              <w:rPr>
                <w:sz w:val="20"/>
                <w:szCs w:val="20"/>
                <w:color w:val="auto"/>
              </w:rPr>
            </w:pPr>
            <w:r>
              <w:rPr>
                <w:rFonts w:ascii="Arial" w:cs="Arial" w:eastAsia="Arial" w:hAnsi="Arial"/>
                <w:sz w:val="18"/>
                <w:szCs w:val="18"/>
                <w:color w:val="auto"/>
                <w:w w:val="90"/>
              </w:rPr>
              <w:t>Not applicable.</w:t>
            </w:r>
          </w:p>
        </w:tc>
      </w:tr>
      <w:tr>
        <w:trPr>
          <w:trHeight w:val="418"/>
        </w:trPr>
        <w:tc>
          <w:tcPr>
            <w:tcW w:w="1460" w:type="dxa"/>
            <w:vAlign w:val="bottom"/>
          </w:tcPr>
          <w:p>
            <w:pPr>
              <w:spacing w:after="0"/>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color w:val="auto"/>
              </w:rPr>
              <w:t>.</w:t>
            </w:r>
          </w:p>
        </w:tc>
        <w:tc>
          <w:tcPr>
            <w:tcW w:w="1100" w:type="dxa"/>
            <w:vAlign w:val="bottom"/>
            <w:gridSpan w:val="2"/>
          </w:tcPr>
          <w:p>
            <w:pPr>
              <w:spacing w:after="0"/>
              <w:rPr>
                <w:sz w:val="20"/>
                <w:szCs w:val="20"/>
                <w:color w:val="auto"/>
              </w:rPr>
            </w:pPr>
            <w:r>
              <w:rPr>
                <w:rFonts w:ascii="Arial" w:cs="Arial" w:eastAsia="Arial" w:hAnsi="Arial"/>
                <w:sz w:val="18"/>
                <w:szCs w:val="18"/>
                <w:color w:val="auto"/>
              </w:rPr>
              <w:t>Ownership:</w:t>
            </w:r>
          </w:p>
        </w:tc>
      </w:tr>
      <w:tr>
        <w:trPr>
          <w:trHeight w:val="20"/>
        </w:trPr>
        <w:tc>
          <w:tcPr>
            <w:tcW w:w="1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56" w:lineRule="exact"/>
        <w:rPr>
          <w:sz w:val="20"/>
          <w:szCs w:val="20"/>
          <w:color w:val="auto"/>
        </w:rPr>
      </w:pPr>
    </w:p>
    <w:p>
      <w:pPr>
        <w:ind w:left="1420" w:hanging="656"/>
        <w:spacing w:after="0"/>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See row 9 of cover page of each reporting person.</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361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298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 w:name="page4"/>
    <w:bookmarkEnd w:id="3"/>
    <w:p>
      <w:pPr>
        <w:jc w:val="both"/>
        <w:ind w:left="656"/>
        <w:spacing w:after="0" w:line="254" w:lineRule="auto"/>
        <w:rPr>
          <w:sz w:val="20"/>
          <w:szCs w:val="20"/>
          <w:color w:val="auto"/>
        </w:rPr>
      </w:pPr>
      <w:r>
        <w:rPr>
          <w:rFonts w:ascii="Arial" w:cs="Arial" w:eastAsia="Arial" w:hAnsi="Arial"/>
          <w:sz w:val="18"/>
          <w:szCs w:val="18"/>
          <w:color w:val="auto"/>
        </w:rPr>
        <w:t>Each of the Subsidiaries operates under independent management and makes its own independent voting and investment decisions. Neither the filing of this Schedule 13G nor any of its contents shall be deemed to constitute an admission by either the Filing Persons or Subsidiaries that a group exists for purposes of Section 13(d) of the Securities Exchange Act of 1934 or for any other purpose, and each reporting person disclaims the existence of any such group. In addition, each of the Filing Persons and Subsidiaries disclaims any beneficial ownership of the securities covered by this report in excess of their actual pecuniary interest therein. This Statement shall not be construed as an admission by the Filing Persons or Subsidiaries that they are the beneficial owners of any of the Ordinary Shares covered by this Statement, and each of Filing Persons and Subsidiaries disclaims beneficial ownership of any such Ordinary Shares.</w:t>
      </w:r>
    </w:p>
    <w:p>
      <w:pPr>
        <w:spacing w:after="0" w:line="225" w:lineRule="exact"/>
        <w:rPr>
          <w:sz w:val="20"/>
          <w:szCs w:val="20"/>
          <w:color w:val="auto"/>
        </w:rPr>
      </w:pPr>
    </w:p>
    <w:p>
      <w:pPr>
        <w:ind w:left="756"/>
        <w:spacing w:after="0"/>
        <w:rPr>
          <w:sz w:val="20"/>
          <w:szCs w:val="20"/>
          <w:color w:val="auto"/>
        </w:rPr>
      </w:pPr>
      <w:r>
        <w:rPr>
          <w:rFonts w:ascii="Arial" w:cs="Arial" w:eastAsia="Arial" w:hAnsi="Arial"/>
          <w:sz w:val="22"/>
          <w:szCs w:val="22"/>
          <w:color w:val="auto"/>
        </w:rPr>
        <w:t>As of December 31, 2020, the securities reported herein were held as follows:</w:t>
      </w:r>
    </w:p>
    <w:p>
      <w:pPr>
        <w:sectPr>
          <w:pgSz w:w="11900" w:h="16838" w:orient="portrait"/>
          <w:cols w:equalWidth="0" w:num="1">
            <w:col w:w="10476"/>
          </w:cols>
          <w:pgMar w:left="1084" w:top="5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76"/>
        <w:spacing w:after="0"/>
        <w:rPr>
          <w:sz w:val="20"/>
          <w:szCs w:val="20"/>
          <w:color w:val="auto"/>
        </w:rPr>
      </w:pPr>
      <w:r>
        <w:rPr>
          <w:rFonts w:ascii="Arial" w:cs="Arial" w:eastAsia="Arial" w:hAnsi="Arial"/>
          <w:sz w:val="18"/>
          <w:szCs w:val="18"/>
          <w:color w:val="auto"/>
        </w:rPr>
        <w:t>Excellence "nostro"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-121920</wp:posOffset>
            </wp:positionV>
            <wp:extent cx="641223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6" w:lineRule="exact"/>
        <w:rPr>
          <w:sz w:val="20"/>
          <w:szCs w:val="20"/>
          <w:color w:val="auto"/>
        </w:rPr>
      </w:pPr>
    </w:p>
    <w:p>
      <w:pPr>
        <w:ind w:left="376"/>
        <w:spacing w:after="0"/>
        <w:rPr>
          <w:sz w:val="20"/>
          <w:szCs w:val="20"/>
          <w:color w:val="auto"/>
        </w:rPr>
      </w:pPr>
      <w:r>
        <w:rPr>
          <w:rFonts w:ascii="Arial" w:cs="Arial" w:eastAsia="Arial" w:hAnsi="Arial"/>
          <w:sz w:val="18"/>
          <w:szCs w:val="18"/>
          <w:color w:val="auto"/>
        </w:rPr>
        <w:t>Excellence provident funds</w:t>
      </w:r>
    </w:p>
    <w:p>
      <w:pPr>
        <w:spacing w:after="0" w:line="36" w:lineRule="exact"/>
        <w:rPr>
          <w:sz w:val="20"/>
          <w:szCs w:val="20"/>
          <w:color w:val="auto"/>
        </w:rPr>
      </w:pPr>
    </w:p>
    <w:p>
      <w:pPr>
        <w:ind w:left="376"/>
        <w:spacing w:after="0"/>
        <w:rPr>
          <w:sz w:val="20"/>
          <w:szCs w:val="20"/>
          <w:color w:val="auto"/>
        </w:rPr>
      </w:pPr>
      <w:r>
        <w:rPr>
          <w:rFonts w:ascii="Arial" w:cs="Arial" w:eastAsia="Arial" w:hAnsi="Arial"/>
          <w:sz w:val="18"/>
          <w:szCs w:val="18"/>
          <w:color w:val="auto"/>
        </w:rPr>
        <w:t>Excellence trust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-121920</wp:posOffset>
            </wp:positionV>
            <wp:extent cx="641223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6" w:lineRule="exact"/>
        <w:rPr>
          <w:sz w:val="20"/>
          <w:szCs w:val="20"/>
          <w:color w:val="auto"/>
        </w:rPr>
      </w:pPr>
    </w:p>
    <w:p>
      <w:pPr>
        <w:ind w:left="376"/>
        <w:spacing w:after="0"/>
        <w:rPr>
          <w:sz w:val="20"/>
          <w:szCs w:val="20"/>
          <w:color w:val="auto"/>
        </w:rPr>
      </w:pPr>
      <w:r>
        <w:rPr>
          <w:rFonts w:ascii="Arial" w:cs="Arial" w:eastAsia="Arial" w:hAnsi="Arial"/>
          <w:sz w:val="18"/>
          <w:szCs w:val="18"/>
          <w:color w:val="auto"/>
        </w:rPr>
        <w:t>Excellence ETF's</w:t>
      </w:r>
    </w:p>
    <w:p>
      <w:pPr>
        <w:spacing w:after="0" w:line="36" w:lineRule="exact"/>
        <w:rPr>
          <w:sz w:val="20"/>
          <w:szCs w:val="20"/>
          <w:color w:val="auto"/>
        </w:rPr>
      </w:pPr>
    </w:p>
    <w:p>
      <w:pPr>
        <w:ind w:left="376"/>
        <w:spacing w:after="0"/>
        <w:rPr>
          <w:sz w:val="20"/>
          <w:szCs w:val="20"/>
          <w:color w:val="auto"/>
        </w:rPr>
      </w:pPr>
      <w:r>
        <w:rPr>
          <w:rFonts w:ascii="Arial" w:cs="Arial" w:eastAsia="Arial" w:hAnsi="Arial"/>
          <w:sz w:val="18"/>
          <w:szCs w:val="18"/>
          <w:color w:val="auto"/>
        </w:rPr>
        <w:t>The Phoenix "nostro"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-121920</wp:posOffset>
            </wp:positionV>
            <wp:extent cx="641223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6" w:lineRule="exact"/>
        <w:rPr>
          <w:sz w:val="20"/>
          <w:szCs w:val="20"/>
          <w:color w:val="auto"/>
        </w:rPr>
      </w:pPr>
    </w:p>
    <w:p>
      <w:pPr>
        <w:ind w:left="376"/>
        <w:spacing w:after="0"/>
        <w:rPr>
          <w:sz w:val="20"/>
          <w:szCs w:val="20"/>
          <w:color w:val="auto"/>
        </w:rPr>
      </w:pPr>
      <w:r>
        <w:rPr>
          <w:rFonts w:ascii="Arial" w:cs="Arial" w:eastAsia="Arial" w:hAnsi="Arial"/>
          <w:sz w:val="18"/>
          <w:szCs w:val="18"/>
          <w:color w:val="auto"/>
        </w:rPr>
        <w:t>The Phoenix pension</w:t>
      </w:r>
    </w:p>
    <w:p>
      <w:pPr>
        <w:spacing w:after="0" w:line="36" w:lineRule="exact"/>
        <w:rPr>
          <w:sz w:val="20"/>
          <w:szCs w:val="20"/>
          <w:color w:val="auto"/>
        </w:rPr>
      </w:pPr>
    </w:p>
    <w:p>
      <w:pPr>
        <w:ind w:left="376"/>
        <w:spacing w:after="0"/>
        <w:rPr>
          <w:sz w:val="20"/>
          <w:szCs w:val="20"/>
          <w:color w:val="auto"/>
        </w:rPr>
      </w:pPr>
      <w:r>
        <w:rPr>
          <w:rFonts w:ascii="Arial" w:cs="Arial" w:eastAsia="Arial" w:hAnsi="Arial"/>
          <w:sz w:val="18"/>
          <w:szCs w:val="18"/>
          <w:color w:val="auto"/>
        </w:rPr>
        <w:t>Linked insurance policies of Phoenix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-121920</wp:posOffset>
            </wp:positionV>
            <wp:extent cx="641223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6" w:lineRule="exact"/>
        <w:rPr>
          <w:sz w:val="20"/>
          <w:szCs w:val="20"/>
          <w:color w:val="auto"/>
        </w:rPr>
      </w:pPr>
    </w:p>
    <w:p>
      <w:pPr>
        <w:ind w:left="376"/>
        <w:spacing w:after="0"/>
        <w:rPr>
          <w:sz w:val="20"/>
          <w:szCs w:val="20"/>
          <w:color w:val="auto"/>
        </w:rPr>
      </w:pPr>
      <w:r>
        <w:rPr>
          <w:rFonts w:ascii="Arial" w:cs="Arial" w:eastAsia="Arial" w:hAnsi="Arial"/>
          <w:sz w:val="18"/>
          <w:szCs w:val="18"/>
          <w:color w:val="auto"/>
        </w:rPr>
        <w:t>Partnership for Israeli shares (1)</w:t>
      </w:r>
    </w:p>
    <w:p>
      <w:pPr>
        <w:spacing w:after="0" w:line="36" w:lineRule="exact"/>
        <w:rPr>
          <w:sz w:val="20"/>
          <w:szCs w:val="20"/>
          <w:color w:val="auto"/>
        </w:rPr>
      </w:pPr>
    </w:p>
    <w:p>
      <w:pPr>
        <w:ind w:left="376"/>
        <w:spacing w:after="0"/>
        <w:rPr>
          <w:sz w:val="20"/>
          <w:szCs w:val="20"/>
          <w:color w:val="auto"/>
        </w:rPr>
      </w:pPr>
      <w:r>
        <w:rPr>
          <w:rFonts w:ascii="Arial" w:cs="Arial" w:eastAsia="Arial" w:hAnsi="Arial"/>
          <w:sz w:val="16"/>
          <w:szCs w:val="16"/>
          <w:color w:val="auto"/>
        </w:rPr>
        <w:t>Partnership for investing in shares indexes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-107315</wp:posOffset>
            </wp:positionV>
            <wp:extent cx="641223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39" w:lineRule="exact"/>
        <w:rPr>
          <w:sz w:val="20"/>
          <w:szCs w:val="20"/>
          <w:color w:val="auto"/>
        </w:rPr>
      </w:pPr>
    </w:p>
    <w:p>
      <w:pPr>
        <w:ind w:left="376"/>
        <w:spacing w:after="0"/>
        <w:rPr>
          <w:sz w:val="20"/>
          <w:szCs w:val="20"/>
          <w:color w:val="auto"/>
        </w:rPr>
      </w:pPr>
      <w:r>
        <w:rPr>
          <w:rFonts w:ascii="Arial" w:cs="Arial" w:eastAsia="Arial" w:hAnsi="Arial"/>
          <w:sz w:val="18"/>
          <w:szCs w:val="18"/>
          <w:color w:val="auto"/>
        </w:rPr>
        <w:t>Partnership for international shares (1)</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Percentage</w:t>
            </w:r>
          </w:p>
        </w:tc>
      </w:tr>
      <w:tr>
        <w:trPr>
          <w:trHeight w:val="216"/>
        </w:trPr>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of total</w:t>
            </w:r>
          </w:p>
        </w:tc>
      </w:tr>
      <w:tr>
        <w:trPr>
          <w:trHeight w:val="216"/>
        </w:trPr>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5"/>
              </w:rPr>
              <w:t>Ordinary</w:t>
            </w:r>
          </w:p>
        </w:tc>
      </w:tr>
      <w:tr>
        <w:trPr>
          <w:trHeight w:val="216"/>
        </w:trPr>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8"/>
              </w:rPr>
              <w:t>Ordinary</w:t>
            </w: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w:t>
            </w:r>
          </w:p>
        </w:tc>
      </w:tr>
      <w:tr>
        <w:trPr>
          <w:trHeight w:val="241"/>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Shares</w:t>
            </w:r>
          </w:p>
        </w:tc>
        <w:tc>
          <w:tcPr>
            <w:tcW w:w="2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outstanding</w:t>
            </w:r>
          </w:p>
        </w:tc>
        <w:tc>
          <w:tcPr>
            <w:tcW w:w="140" w:type="dxa"/>
            <w:vAlign w:val="bottom"/>
          </w:tcPr>
          <w:p>
            <w:pPr>
              <w:spacing w:after="0"/>
              <w:rPr>
                <w:sz w:val="20"/>
                <w:szCs w:val="20"/>
                <w:color w:val="auto"/>
              </w:rPr>
            </w:pPr>
          </w:p>
        </w:tc>
      </w:tr>
      <w:tr>
        <w:trPr>
          <w:trHeight w:val="243"/>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57"/>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1,520,959.31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1.41%</w:t>
            </w:r>
          </w:p>
        </w:tc>
      </w:tr>
      <w:tr>
        <w:trPr>
          <w:trHeight w:val="229"/>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57"/>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385,589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0.36%</w:t>
            </w:r>
          </w:p>
        </w:tc>
      </w:tr>
      <w:tr>
        <w:trPr>
          <w:trHeight w:val="229"/>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16,523.71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0.01%</w:t>
            </w:r>
          </w:p>
        </w:tc>
      </w:tr>
      <w:tr>
        <w:trPr>
          <w:trHeight w:val="243"/>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3,850,603.54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3.58%</w:t>
            </w:r>
          </w:p>
        </w:tc>
      </w:tr>
      <w:tr>
        <w:trPr>
          <w:trHeight w:val="257"/>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668,021.50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0.62%</w:t>
            </w:r>
          </w:p>
        </w:tc>
      </w:tr>
      <w:tr>
        <w:trPr>
          <w:trHeight w:val="243"/>
        </w:trPr>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2">
            <w:col w:w="7376" w:space="720"/>
            <w:col w:w="2380"/>
          </w:cols>
          <w:pgMar w:left="1084" w:top="584" w:right="339" w:bottom="1440" w:gutter="0" w:footer="0" w:header="0"/>
          <w:type w:val="continuous"/>
        </w:sectPr>
      </w:pPr>
    </w:p>
    <w:p>
      <w:pPr>
        <w:spacing w:after="0" w:line="29" w:lineRule="exact"/>
        <w:rPr>
          <w:sz w:val="20"/>
          <w:szCs w:val="20"/>
          <w:color w:val="auto"/>
        </w:rPr>
      </w:pPr>
    </w:p>
    <w:p>
      <w:pPr>
        <w:ind w:left="976" w:hanging="342"/>
        <w:spacing w:after="0" w:line="342" w:lineRule="auto"/>
        <w:tabs>
          <w:tab w:leader="none" w:pos="976"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ownership rights in this partnership belong to companies that are part of Phoenix Group. The amount of ownership rights held by such companies in the partnership changes frequently according to a mechanism provided in the partnership agreement.</w:t>
      </w:r>
    </w:p>
    <w:p>
      <w:pPr>
        <w:spacing w:after="0" w:line="150" w:lineRule="exact"/>
        <w:rPr>
          <w:rFonts w:ascii="Arial" w:cs="Arial" w:eastAsia="Arial" w:hAnsi="Arial"/>
          <w:sz w:val="16"/>
          <w:szCs w:val="16"/>
          <w:color w:val="auto"/>
        </w:rPr>
      </w:pPr>
    </w:p>
    <w:p>
      <w:pPr>
        <w:ind w:left="656" w:hanging="656"/>
        <w:spacing w:after="0"/>
        <w:tabs>
          <w:tab w:leader="none" w:pos="656"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Percent of class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656"/>
        <w:spacing w:after="0"/>
        <w:rPr>
          <w:rFonts w:ascii="Arial" w:cs="Arial" w:eastAsia="Arial" w:hAnsi="Arial"/>
          <w:sz w:val="18"/>
          <w:szCs w:val="18"/>
          <w:color w:val="auto"/>
        </w:rPr>
      </w:pPr>
      <w:r>
        <w:rPr>
          <w:rFonts w:ascii="Arial" w:cs="Arial" w:eastAsia="Arial" w:hAnsi="Arial"/>
          <w:sz w:val="18"/>
          <w:szCs w:val="18"/>
          <w:color w:val="auto"/>
        </w:rPr>
        <w:t>See row 11 of cover page of each reporting person</w:t>
      </w:r>
    </w:p>
    <w:p>
      <w:pPr>
        <w:spacing w:after="0" w:line="252" w:lineRule="exact"/>
        <w:rPr>
          <w:rFonts w:ascii="Arial" w:cs="Arial" w:eastAsia="Arial" w:hAnsi="Arial"/>
          <w:sz w:val="18"/>
          <w:szCs w:val="18"/>
          <w:color w:val="auto"/>
        </w:rPr>
      </w:pPr>
    </w:p>
    <w:p>
      <w:pPr>
        <w:ind w:left="656" w:hanging="656"/>
        <w:spacing w:after="0"/>
        <w:tabs>
          <w:tab w:leader="none" w:pos="656"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Number of shares as to which such person has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416" w:hanging="647"/>
        <w:spacing w:after="0"/>
        <w:tabs>
          <w:tab w:leader="none" w:pos="1416"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1416"/>
        <w:spacing w:after="0"/>
        <w:rPr>
          <w:rFonts w:ascii="Arial" w:cs="Arial" w:eastAsia="Arial" w:hAnsi="Arial"/>
          <w:sz w:val="18"/>
          <w:szCs w:val="18"/>
          <w:color w:val="auto"/>
        </w:rPr>
      </w:pPr>
      <w:r>
        <w:rPr>
          <w:rFonts w:ascii="Arial" w:cs="Arial" w:eastAsia="Arial" w:hAnsi="Arial"/>
          <w:sz w:val="18"/>
          <w:szCs w:val="18"/>
          <w:color w:val="auto"/>
        </w:rPr>
        <w:t>See row 5 of cover page of each reporting person</w:t>
      </w:r>
    </w:p>
    <w:p>
      <w:pPr>
        <w:spacing w:after="0" w:line="252" w:lineRule="exact"/>
        <w:rPr>
          <w:rFonts w:ascii="Arial" w:cs="Arial" w:eastAsia="Arial" w:hAnsi="Arial"/>
          <w:sz w:val="18"/>
          <w:szCs w:val="18"/>
          <w:color w:val="auto"/>
        </w:rPr>
      </w:pPr>
    </w:p>
    <w:p>
      <w:pPr>
        <w:ind w:left="1416" w:hanging="647"/>
        <w:spacing w:after="0"/>
        <w:tabs>
          <w:tab w:leader="none" w:pos="1416"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1416"/>
        <w:spacing w:after="0"/>
        <w:rPr>
          <w:rFonts w:ascii="Arial" w:cs="Arial" w:eastAsia="Arial" w:hAnsi="Arial"/>
          <w:sz w:val="18"/>
          <w:szCs w:val="18"/>
          <w:color w:val="auto"/>
        </w:rPr>
      </w:pPr>
      <w:r>
        <w:rPr>
          <w:rFonts w:ascii="Arial" w:cs="Arial" w:eastAsia="Arial" w:hAnsi="Arial"/>
          <w:sz w:val="18"/>
          <w:szCs w:val="18"/>
          <w:color w:val="auto"/>
        </w:rPr>
        <w:t>See row 6 of cover page of each reporting person and note in Item 4(a) above</w:t>
      </w:r>
    </w:p>
    <w:p>
      <w:pPr>
        <w:spacing w:after="0" w:line="23" w:lineRule="exact"/>
        <w:rPr>
          <w:rFonts w:ascii="Arial" w:cs="Arial" w:eastAsia="Arial" w:hAnsi="Arial"/>
          <w:sz w:val="18"/>
          <w:szCs w:val="18"/>
          <w:color w:val="auto"/>
        </w:rPr>
      </w:pPr>
    </w:p>
    <w:p>
      <w:pPr>
        <w:ind w:left="1416" w:right="5300" w:hanging="647"/>
        <w:spacing w:after="0" w:line="571" w:lineRule="auto"/>
        <w:tabs>
          <w:tab w:leader="none" w:pos="1416" w:val="left"/>
        </w:tabs>
        <w:numPr>
          <w:ilvl w:val="2"/>
          <w:numId w:val="14"/>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See row 7 of cover page of each reporting person</w:t>
      </w:r>
    </w:p>
    <w:p>
      <w:pPr>
        <w:spacing w:after="0" w:line="1" w:lineRule="exact"/>
        <w:rPr>
          <w:rFonts w:ascii="Arial" w:cs="Arial" w:eastAsia="Arial" w:hAnsi="Arial"/>
          <w:sz w:val="16"/>
          <w:szCs w:val="16"/>
          <w:color w:val="auto"/>
        </w:rPr>
      </w:pPr>
    </w:p>
    <w:p>
      <w:pPr>
        <w:ind w:left="1416" w:hanging="647"/>
        <w:spacing w:after="0"/>
        <w:tabs>
          <w:tab w:leader="none" w:pos="1416"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1416"/>
        <w:spacing w:after="0"/>
        <w:rPr>
          <w:rFonts w:ascii="Arial" w:cs="Arial" w:eastAsia="Arial" w:hAnsi="Arial"/>
          <w:sz w:val="18"/>
          <w:szCs w:val="18"/>
          <w:color w:val="auto"/>
        </w:rPr>
      </w:pPr>
      <w:r>
        <w:rPr>
          <w:rFonts w:ascii="Arial" w:cs="Arial" w:eastAsia="Arial" w:hAnsi="Arial"/>
          <w:sz w:val="18"/>
          <w:szCs w:val="18"/>
          <w:color w:val="auto"/>
        </w:rPr>
        <w:t>See row 8 of cover page of each reporting person and note in Item 4(a) above</w:t>
      </w:r>
    </w:p>
    <w:p>
      <w:pPr>
        <w:spacing w:after="0" w:line="200" w:lineRule="exact"/>
        <w:rPr>
          <w:sz w:val="20"/>
          <w:szCs w:val="20"/>
          <w:color w:val="auto"/>
        </w:rPr>
      </w:pPr>
    </w:p>
    <w:p>
      <w:pPr>
        <w:spacing w:after="0" w:line="220" w:lineRule="exact"/>
        <w:rPr>
          <w:sz w:val="20"/>
          <w:szCs w:val="20"/>
          <w:color w:val="auto"/>
        </w:rPr>
      </w:pPr>
    </w:p>
    <w:p>
      <w:pPr>
        <w:ind w:left="4816"/>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-479425</wp:posOffset>
            </wp:positionH>
            <wp:positionV relativeFrom="paragraph">
              <wp:posOffset>41275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76"/>
          </w:cols>
          <w:pgMar w:left="1084" w:top="584" w:right="339" w:bottom="1440" w:gutter="0" w:footer="0" w:header="0"/>
          <w:type w:val="continuous"/>
        </w:sectPr>
      </w:pPr>
    </w:p>
    <w:bookmarkStart w:id="4" w:name="page5"/>
    <w:bookmarkEnd w:id="4"/>
    <w:p>
      <w:pPr>
        <w:spacing w:after="0"/>
        <w:tabs>
          <w:tab w:leader="none" w:pos="1440" w:val="left"/>
        </w:tabs>
        <w:rPr>
          <w:sz w:val="20"/>
          <w:szCs w:val="20"/>
          <w:color w:val="auto"/>
        </w:rPr>
      </w:pPr>
      <w:r>
        <w:rPr>
          <w:rFonts w:ascii="Arial" w:cs="Arial" w:eastAsia="Arial" w:hAnsi="Arial"/>
          <w:sz w:val="18"/>
          <w:szCs w:val="18"/>
          <w:b w:val="1"/>
          <w:bCs w:val="1"/>
          <w:color w:val="auto"/>
        </w:rPr>
        <w:t>Item 5</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 of Five Percent or Less of a Class</w:t>
      </w:r>
      <w:r>
        <w:rPr>
          <w:rFonts w:ascii="Arial" w:cs="Arial" w:eastAsia="Arial" w:hAnsi="Arial"/>
          <w:sz w:val="16"/>
          <w:szCs w:val="16"/>
          <w:color w:val="auto"/>
        </w:rPr>
        <w:t>:</w:t>
      </w:r>
    </w:p>
    <w:p>
      <w:pPr>
        <w:spacing w:after="0" w:line="262"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Not applicable.</w:t>
      </w:r>
    </w:p>
    <w:p>
      <w:pPr>
        <w:spacing w:after="0" w:line="250"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6</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Ownership of More than Five Percent on Behalf of Another</w:t>
      </w:r>
      <w:r>
        <w:rPr>
          <w:rFonts w:ascii="Arial" w:cs="Arial" w:eastAsia="Arial" w:hAnsi="Arial"/>
          <w:sz w:val="16"/>
          <w:szCs w:val="16"/>
          <w:color w:val="auto"/>
        </w:rPr>
        <w:t>:</w:t>
      </w:r>
    </w:p>
    <w:p>
      <w:pPr>
        <w:spacing w:after="0" w:line="249"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7</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Identification and Classification of the Subsidiary Which Acquired the Security Being Reported on by the Parent Holding Company or</w:t>
      </w:r>
    </w:p>
    <w:p>
      <w:pPr>
        <w:spacing w:after="0" w:line="27" w:lineRule="exact"/>
        <w:rPr>
          <w:sz w:val="20"/>
          <w:szCs w:val="20"/>
          <w:color w:val="auto"/>
        </w:rPr>
      </w:pPr>
    </w:p>
    <w:p>
      <w:pPr>
        <w:ind w:left="1460"/>
        <w:spacing w:after="0"/>
        <w:rPr>
          <w:sz w:val="20"/>
          <w:szCs w:val="20"/>
          <w:color w:val="auto"/>
        </w:rPr>
      </w:pPr>
      <w:r>
        <w:rPr>
          <w:rFonts w:ascii="Arial" w:cs="Arial" w:eastAsia="Arial" w:hAnsi="Arial"/>
          <w:sz w:val="18"/>
          <w:szCs w:val="18"/>
          <w:u w:val="single" w:color="auto"/>
          <w:color w:val="auto"/>
        </w:rPr>
        <w:t>Control Person</w:t>
      </w:r>
      <w:r>
        <w:rPr>
          <w:rFonts w:ascii="Arial" w:cs="Arial" w:eastAsia="Arial" w:hAnsi="Arial"/>
          <w:sz w:val="18"/>
          <w:szCs w:val="18"/>
          <w:color w:val="auto"/>
        </w:rPr>
        <w:t>:</w:t>
      </w:r>
    </w:p>
    <w:p>
      <w:pPr>
        <w:spacing w:after="0" w:line="231"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8</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Identification and Classification of Members of the Group</w:t>
      </w:r>
      <w:r>
        <w:rPr>
          <w:rFonts w:ascii="Arial" w:cs="Arial" w:eastAsia="Arial" w:hAnsi="Arial"/>
          <w:sz w:val="16"/>
          <w:szCs w:val="16"/>
          <w:color w:val="auto"/>
        </w:rPr>
        <w:t>:</w:t>
      </w:r>
    </w:p>
    <w:p>
      <w:pPr>
        <w:spacing w:after="0" w:line="249"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1440" w:val="left"/>
        </w:tabs>
        <w:rPr>
          <w:sz w:val="20"/>
          <w:szCs w:val="20"/>
          <w:color w:val="auto"/>
        </w:rPr>
      </w:pPr>
      <w:r>
        <w:rPr>
          <w:rFonts w:ascii="Arial" w:cs="Arial" w:eastAsia="Arial" w:hAnsi="Arial"/>
          <w:sz w:val="18"/>
          <w:szCs w:val="18"/>
          <w:b w:val="1"/>
          <w:bCs w:val="1"/>
          <w:color w:val="auto"/>
        </w:rPr>
        <w:t>Item 9</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Notice of Dissolution of Group</w:t>
      </w:r>
      <w:r>
        <w:rPr>
          <w:rFonts w:ascii="Arial" w:cs="Arial" w:eastAsia="Arial" w:hAnsi="Arial"/>
          <w:sz w:val="16"/>
          <w:szCs w:val="16"/>
          <w:color w:val="auto"/>
        </w:rPr>
        <w:t>:</w:t>
      </w:r>
    </w:p>
    <w:p>
      <w:pPr>
        <w:spacing w:after="0" w:line="249" w:lineRule="exact"/>
        <w:rPr>
          <w:sz w:val="20"/>
          <w:szCs w:val="20"/>
          <w:color w:val="auto"/>
        </w:rPr>
      </w:pPr>
    </w:p>
    <w:p>
      <w:pPr>
        <w:ind w:left="1460"/>
        <w:spacing w:after="0"/>
        <w:rPr>
          <w:sz w:val="20"/>
          <w:szCs w:val="20"/>
          <w:color w:val="auto"/>
        </w:rPr>
      </w:pPr>
      <w:r>
        <w:rPr>
          <w:rFonts w:ascii="Arial" w:cs="Arial" w:eastAsia="Arial" w:hAnsi="Arial"/>
          <w:sz w:val="22"/>
          <w:szCs w:val="22"/>
          <w:color w:val="auto"/>
        </w:rPr>
        <w:t>Not applicable.</w:t>
      </w:r>
    </w:p>
    <w:p>
      <w:pPr>
        <w:spacing w:after="0" w:line="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1361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298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 w:name="page6"/>
    <w:bookmarkEnd w:id="5"/>
    <w:p>
      <w:pPr>
        <w:spacing w:after="0"/>
        <w:tabs>
          <w:tab w:leader="none" w:pos="14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u w:val="single" w:color="auto"/>
          <w:color w:val="auto"/>
        </w:rPr>
        <w:t>Certification</w:t>
      </w:r>
      <w:r>
        <w:rPr>
          <w:rFonts w:ascii="Arial" w:cs="Arial" w:eastAsia="Arial" w:hAnsi="Arial"/>
          <w:sz w:val="17"/>
          <w:szCs w:val="17"/>
          <w:color w:val="auto"/>
        </w:rPr>
        <w:t>:</w:t>
      </w:r>
    </w:p>
    <w:p>
      <w:pPr>
        <w:spacing w:after="0" w:line="24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361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298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right="760"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February 10, 2021</w:t>
      </w:r>
    </w:p>
    <w:p>
      <w:pPr>
        <w:spacing w:after="0" w:line="277"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The Phoenix Holdings Ltd.</w:t>
      </w:r>
    </w:p>
    <w:p>
      <w:pPr>
        <w:spacing w:after="0" w:line="229" w:lineRule="exact"/>
        <w:rPr>
          <w:sz w:val="20"/>
          <w:szCs w:val="20"/>
          <w:color w:val="auto"/>
        </w:rPr>
      </w:pPr>
    </w:p>
    <w:p>
      <w:pPr>
        <w:ind w:left="4900"/>
        <w:spacing w:after="0"/>
        <w:rPr>
          <w:sz w:val="20"/>
          <w:szCs w:val="20"/>
          <w:color w:val="auto"/>
        </w:rPr>
      </w:pPr>
      <w:r>
        <w:rPr>
          <w:rFonts w:ascii="Arial" w:cs="Arial" w:eastAsia="Arial" w:hAnsi="Arial"/>
          <w:sz w:val="18"/>
          <w:szCs w:val="18"/>
          <w:u w:val="single" w:color="auto"/>
          <w:color w:val="auto"/>
        </w:rPr>
        <w:t>/s/ Eli Schwartz</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By: Eli Schwartz*</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Title: Executive Vice President - Chief Financial Officer</w:t>
      </w:r>
    </w:p>
    <w:p>
      <w:pPr>
        <w:spacing w:after="0" w:line="238" w:lineRule="exact"/>
        <w:rPr>
          <w:sz w:val="20"/>
          <w:szCs w:val="20"/>
          <w:color w:val="auto"/>
        </w:rPr>
      </w:pPr>
    </w:p>
    <w:p>
      <w:pPr>
        <w:ind w:left="4900"/>
        <w:spacing w:after="0"/>
        <w:rPr>
          <w:sz w:val="20"/>
          <w:szCs w:val="20"/>
          <w:color w:val="auto"/>
        </w:rPr>
      </w:pPr>
      <w:r>
        <w:rPr>
          <w:rFonts w:ascii="Arial" w:cs="Arial" w:eastAsia="Arial" w:hAnsi="Arial"/>
          <w:sz w:val="18"/>
          <w:szCs w:val="18"/>
          <w:u w:val="single" w:color="auto"/>
          <w:color w:val="auto"/>
        </w:rPr>
        <w:t>/s/ Menachem Neeman</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By: Menachem Neeman*</w:t>
      </w:r>
    </w:p>
    <w:p>
      <w:pPr>
        <w:spacing w:after="0" w:line="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Title: Executive Vice President - Chief Legal Counsel and Corporate Secretary</w:t>
      </w:r>
    </w:p>
    <w:p>
      <w:pPr>
        <w:spacing w:after="0" w:line="244"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9"/>
          <w:szCs w:val="19"/>
          <w:color w:val="auto"/>
        </w:rPr>
      </w:pPr>
      <w:r>
        <w:rPr>
          <w:rFonts w:ascii="Arial" w:cs="Arial" w:eastAsia="Arial" w:hAnsi="Arial"/>
          <w:sz w:val="19"/>
          <w:szCs w:val="19"/>
          <w:color w:val="auto"/>
        </w:rPr>
        <w:t>Signature duly authorized by resolution of the Board of Directors, notice of which is attached as Exhibit 1 to this Schedule 13G.</w:t>
      </w:r>
    </w:p>
    <w:p>
      <w:pPr>
        <w:spacing w:after="0" w:line="308" w:lineRule="exact"/>
        <w:rPr>
          <w:rFonts w:ascii="Arial" w:cs="Arial" w:eastAsia="Arial" w:hAnsi="Arial"/>
          <w:sz w:val="19"/>
          <w:szCs w:val="19"/>
          <w:color w:val="auto"/>
        </w:rPr>
      </w:pPr>
    </w:p>
    <w:p>
      <w:pPr>
        <w:ind w:left="5580"/>
        <w:spacing w:after="0"/>
        <w:rPr>
          <w:rFonts w:ascii="Arial" w:cs="Arial" w:eastAsia="Arial" w:hAnsi="Arial"/>
          <w:sz w:val="19"/>
          <w:szCs w:val="19"/>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361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298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 w:name="page8"/>
    <w:bookmarkEnd w:id="7"/>
    <w:p>
      <w:pPr>
        <w:spacing w:after="0"/>
        <w:tabs>
          <w:tab w:leader="none" w:pos="110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t>
      </w:r>
    </w:p>
    <w:p>
      <w:pPr>
        <w:spacing w:after="0" w:line="211" w:lineRule="exact"/>
        <w:rPr>
          <w:sz w:val="20"/>
          <w:szCs w:val="20"/>
          <w:color w:val="auto"/>
        </w:rPr>
      </w:pPr>
    </w:p>
    <w:p>
      <w:pPr>
        <w:ind w:left="1120" w:hanging="1106"/>
        <w:spacing w:after="0" w:line="277" w:lineRule="auto"/>
        <w:tabs>
          <w:tab w:leader="none" w:pos="110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8"/>
          <w:szCs w:val="18"/>
          <w:color w:val="auto"/>
        </w:rPr>
        <w:t>Notice of resolution of the Board of Directors of the Phoenix Holdings Ltd., dated as of December 12, 2019 (incorporated herein by reference to Exhibit 3 to the Schedule 13G filed on February 18, 2020).</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136130" cy="450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45085"/>
                    </a:xfrm>
                    <a:prstGeom prst="rect">
                      <a:avLst/>
                    </a:prstGeom>
                    <a:noFill/>
                  </pic:spPr>
                </pic:pic>
              </a:graphicData>
            </a:graphic>
          </wp:anchor>
        </w:drawing>
      </w:r>
    </w:p>
    <w:sectPr>
      <w:pgSz w:w="11900" w:h="16838" w:orient="portrait"/>
      <w:cols w:equalWidth="0" w:num="1">
        <w:col w:w="11220"/>
      </w:cols>
      <w:pgMar w:left="320" w:top="36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bullet"/>
      <w:start w:val="1"/>
    </w:lvl>
  </w:abstractNum>
  <w:abstractNum w:abstractNumId="4">
    <w:nsid w:val="4DB127F8"/>
    <w:multiLevelType w:val="hybridMultilevel"/>
    <w:lvl w:ilvl="0">
      <w:lvlJc w:val="left"/>
      <w:lvlText w:val="2"/>
      <w:numFmt w:val="bullet"/>
      <w:start w:val="1"/>
    </w:lvl>
    <w:lvl w:ilvl="1">
      <w:lvlJc w:val="left"/>
      <w:lvlText w:val="(%2)"/>
      <w:numFmt w:val="lowerLetter"/>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lowerLetter"/>
      <w:start w:val="2"/>
    </w:lvl>
  </w:abstractNum>
  <w:abstractNum w:abstractNumId="7">
    <w:nsid w:val="1190CDE7"/>
    <w:multiLevelType w:val="hybridMultilevel"/>
    <w:lvl w:ilvl="0">
      <w:lvlJc w:val="left"/>
      <w:lvlText w:val="(%1)"/>
      <w:numFmt w:val="lowerLetter"/>
      <w:start w:val="2"/>
    </w:lvl>
  </w:abstractNum>
  <w:abstractNum w:abstractNumId="8">
    <w:nsid w:val="66EF438D"/>
    <w:multiLevelType w:val="hybridMultilevel"/>
    <w:lvl w:ilvl="0">
      <w:lvlJc w:val="left"/>
      <w:lvlText w:val="(%1)"/>
      <w:numFmt w:val="lowerLetter"/>
      <w:start w:val="3"/>
    </w:lvl>
  </w:abstractNum>
  <w:abstractNum w:abstractNumId="9">
    <w:nsid w:val="140E0F76"/>
    <w:multiLevelType w:val="hybridMultilevel"/>
    <w:lvl w:ilvl="0">
      <w:lvlJc w:val="left"/>
      <w:lvlText w:val="(%1)"/>
      <w:numFmt w:val="lowerLetter"/>
      <w:start w:val="4"/>
    </w:lvl>
  </w:abstractNum>
  <w:abstractNum w:abstractNumId="10">
    <w:nsid w:val="3352255A"/>
    <w:multiLevelType w:val="hybridMultilevel"/>
    <w:lvl w:ilvl="0">
      <w:lvlJc w:val="left"/>
      <w:lvlText w:val="(%1)"/>
      <w:numFmt w:val="lowerLetter"/>
      <w:start w:val="5"/>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3">
    <w:nsid w:val="7FDCC233"/>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2021-02-11T10:09:29Z</dcterms:created>
  <dcterms:modified xsi:type="dcterms:W3CDTF">2021-02-11T10:09:29Z</dcterms:modified>
</cp:coreProperties>
</file>