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center"/>
        <w:rPr/>
      </w:pPr>
      <w:r>
        <w:rPr/>
      </w:r>
      <w:bookmarkStart w:id="0" w:name="zk2533042.htm"/>
      <w:bookmarkStart w:id="1" w:name="kszk2533042"/>
      <w:bookmarkStart w:id="2" w:name="zk2533042.htm"/>
      <w:bookmarkStart w:id="3" w:name="kszk2533042"/>
      <w:bookmarkEnd w:id="2"/>
      <w:bookmarkEnd w:id="3"/>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FORM 6-K</w:t>
      </w:r>
    </w:p>
    <w:p>
      <w:pPr>
        <w:pStyle w:val="TextBody"/>
        <w:bidi w:val="0"/>
        <w:spacing w:lineRule="auto" w:line="300" w:before="0" w:after="0"/>
        <w:jc w:val="left"/>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SECURITIES AND EXCHANGE COMMISSION</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April 2025 No. 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color w:val="000000"/>
        </w:rPr>
      </w:pPr>
      <w:r>
        <w:rPr>
          <w:color w:val="000000"/>
        </w:rPr>
        <w:t>  </w:t>
      </w: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ind w:left="0" w:right="0" w:firstLine="72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1260" w:right="1350" w:hanging="0"/>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z w:val="24"/>
          <w:shd w:fill="FFFFFF" w:val="clear"/>
        </w:rPr>
        <w:t>On April 23, 2025, the Registrant Announces First Quarter 2025 Financial Results and Conference Call</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color w:val="000000"/>
        </w:rPr>
      </w:pPr>
      <w:r>
        <w:rPr>
          <w:color w:val="000000"/>
        </w:rPr>
        <w:t>  </w:t>
      </w: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9fd597736110462d9253780fe8428512"/>
      <w:bookmarkStart w:id="5" w:name="z9fd597736110462d9253780fe8428512"/>
      <w:bookmarkEnd w:id="5"/>
    </w:p>
    <w:tbl>
      <w:tblPr>
        <w:tblW w:w="6954" w:type="dxa"/>
        <w:jc w:val="left"/>
        <w:tblInd w:w="0" w:type="dxa"/>
        <w:tblLayout w:type="fixed"/>
        <w:tblCellMar>
          <w:top w:w="0" w:type="dxa"/>
          <w:left w:w="0" w:type="dxa"/>
          <w:bottom w:w="0" w:type="dxa"/>
          <w:right w:w="0" w:type="dxa"/>
        </w:tblCellMar>
      </w:tblPr>
      <w:tblGrid>
        <w:gridCol w:w="3020"/>
        <w:gridCol w:w="497"/>
        <w:gridCol w:w="3362"/>
        <w:gridCol w:w="75"/>
      </w:tblGrid>
      <w:tr>
        <w:trPr/>
        <w:tc>
          <w:tcPr>
            <w:tcW w:w="3020" w:type="dxa"/>
            <w:tcBorders/>
            <w:vAlign w:val="center"/>
          </w:tcPr>
          <w:p>
            <w:pPr>
              <w:pStyle w:val="TableContents"/>
              <w:bidi w:val="0"/>
              <w:spacing w:lineRule="auto" w:line="300" w:before="0" w:after="0"/>
              <w:jc w:val="left"/>
              <w:rPr/>
            </w:pPr>
            <w:r>
              <w:rPr/>
              <w:t> </w:t>
            </w:r>
          </w:p>
        </w:tc>
        <w:tc>
          <w:tcPr>
            <w:tcW w:w="3859" w:type="dxa"/>
            <w:gridSpan w:val="2"/>
            <w:tcBorders/>
            <w:vAlign w:val="center"/>
          </w:tcPr>
          <w:p>
            <w:pPr>
              <w:pStyle w:val="TableContents"/>
              <w:bidi w:val="0"/>
              <w:spacing w:lineRule="auto" w:line="300" w:before="0" w:after="0"/>
              <w:jc w:val="left"/>
              <w:rPr>
                <w:b/>
              </w:rPr>
            </w:pPr>
            <w:r>
              <w:rPr>
                <w:b/>
              </w:rPr>
              <w:t>TOWER SEMICONDUCTOR LTD.</w:t>
            </w:r>
          </w:p>
        </w:tc>
        <w:tc>
          <w:tcPr>
            <w:tcW w:w="75" w:type="dxa"/>
            <w:tcBorders/>
            <w:vAlign w:val="center"/>
          </w:tcPr>
          <w:p>
            <w:pPr>
              <w:pStyle w:val="TableContents"/>
              <w:bidi w:val="0"/>
              <w:spacing w:lineRule="auto" w:line="300" w:before="0" w:after="0"/>
              <w:jc w:val="left"/>
              <w:rPr/>
            </w:pPr>
            <w:r>
              <w:rPr/>
              <w:t> </w:t>
            </w:r>
          </w:p>
        </w:tc>
      </w:tr>
      <w:tr>
        <w:trPr/>
        <w:tc>
          <w:tcPr>
            <w:tcW w:w="302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 </w:t>
            </w:r>
          </w:p>
        </w:tc>
        <w:tc>
          <w:tcPr>
            <w:tcW w:w="75" w:type="dxa"/>
            <w:tcBorders/>
            <w:vAlign w:val="center"/>
          </w:tcPr>
          <w:p>
            <w:pPr>
              <w:pStyle w:val="TableContents"/>
              <w:bidi w:val="0"/>
              <w:spacing w:lineRule="auto" w:line="300" w:before="0" w:after="0"/>
              <w:jc w:val="left"/>
              <w:rPr/>
            </w:pPr>
            <w:r>
              <w:rPr/>
              <w:t> </w:t>
            </w:r>
          </w:p>
        </w:tc>
      </w:tr>
      <w:tr>
        <w:trPr/>
        <w:tc>
          <w:tcPr>
            <w:tcW w:w="3020" w:type="dxa"/>
            <w:tcBorders/>
            <w:vAlign w:val="center"/>
          </w:tcPr>
          <w:p>
            <w:pPr>
              <w:pStyle w:val="TableContents"/>
              <w:bidi w:val="0"/>
              <w:spacing w:lineRule="auto" w:line="300" w:before="0" w:after="0"/>
              <w:jc w:val="left"/>
              <w:rPr/>
            </w:pPr>
            <w:r>
              <w:rPr/>
              <w:t xml:space="preserve">                 </w:t>
            </w:r>
            <w:r>
              <w:rPr/>
              <w:t>Date: April 23, 2025</w:t>
            </w:r>
          </w:p>
        </w:tc>
        <w:tc>
          <w:tcPr>
            <w:tcW w:w="497" w:type="dxa"/>
            <w:tcBorders/>
            <w:vAlign w:val="center"/>
          </w:tcPr>
          <w:p>
            <w:pPr>
              <w:pStyle w:val="TableContents"/>
              <w:bidi w:val="0"/>
              <w:spacing w:lineRule="auto" w:line="300" w:before="0" w:after="0"/>
              <w:jc w:val="left"/>
              <w:rPr/>
            </w:pPr>
            <w:r>
              <w:rPr/>
              <w:t>By:</w:t>
            </w:r>
          </w:p>
        </w:tc>
        <w:tc>
          <w:tcPr>
            <w:tcW w:w="3362" w:type="dxa"/>
            <w:tcBorders>
              <w:bottom w:val="single" w:sz="12" w:space="0" w:color="000000"/>
            </w:tcBorders>
            <w:tcMar>
              <w:bottom w:w="28" w:type="dxa"/>
            </w:tcMar>
            <w:vAlign w:val="center"/>
          </w:tcPr>
          <w:p>
            <w:pPr>
              <w:pStyle w:val="TableContents"/>
              <w:bidi w:val="0"/>
              <w:spacing w:lineRule="auto" w:line="300" w:before="0" w:after="0"/>
              <w:jc w:val="left"/>
              <w:rPr/>
            </w:pPr>
            <w:r>
              <w:rPr/>
              <w:t>/s/ Nati Somekh</w:t>
            </w:r>
          </w:p>
        </w:tc>
        <w:tc>
          <w:tcPr>
            <w:tcW w:w="75" w:type="dxa"/>
            <w:tcBorders/>
            <w:vAlign w:val="center"/>
          </w:tcPr>
          <w:p>
            <w:pPr>
              <w:pStyle w:val="TableContents"/>
              <w:bidi w:val="0"/>
              <w:spacing w:lineRule="auto" w:line="300" w:before="0" w:after="0"/>
              <w:jc w:val="left"/>
              <w:rPr/>
            </w:pPr>
            <w:r>
              <w:rPr/>
              <w:t> </w:t>
            </w:r>
          </w:p>
        </w:tc>
      </w:tr>
      <w:tr>
        <w:trPr/>
        <w:tc>
          <w:tcPr>
            <w:tcW w:w="302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Name: Nati Somekh</w:t>
            </w:r>
          </w:p>
        </w:tc>
        <w:tc>
          <w:tcPr>
            <w:tcW w:w="75" w:type="dxa"/>
            <w:tcBorders/>
            <w:vAlign w:val="center"/>
          </w:tcPr>
          <w:p>
            <w:pPr>
              <w:pStyle w:val="TableContents"/>
              <w:bidi w:val="0"/>
              <w:spacing w:lineRule="auto" w:line="300" w:before="0" w:after="0"/>
              <w:jc w:val="left"/>
              <w:rPr/>
            </w:pPr>
            <w:r>
              <w:rPr/>
              <w:t> </w:t>
            </w:r>
          </w:p>
        </w:tc>
      </w:tr>
      <w:tr>
        <w:trPr/>
        <w:tc>
          <w:tcPr>
            <w:tcW w:w="302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Title: Corporate Secretary</w:t>
            </w:r>
          </w:p>
        </w:tc>
        <w:tc>
          <w:tcPr>
            <w:tcW w:w="75" w:type="dxa"/>
            <w:tcBorders/>
            <w:vAlign w:val="center"/>
          </w:tcPr>
          <w:p>
            <w:pPr>
              <w:pStyle w:val="TableContents"/>
              <w:bidi w:val="0"/>
              <w:spacing w:lineRule="auto" w:line="300" w:before="0" w:after="0"/>
              <w:jc w:val="left"/>
              <w:rPr/>
            </w:pPr>
            <w:r>
              <w:rPr/>
              <w:t> </w:t>
            </w:r>
          </w:p>
        </w:tc>
      </w:tr>
      <w:tr>
        <w:trPr/>
        <w:tc>
          <w:tcPr>
            <w:tcW w:w="302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 </w:t>
            </w:r>
          </w:p>
        </w:tc>
        <w:tc>
          <w:tcPr>
            <w:tcW w:w="75" w:type="dxa"/>
            <w:tcBorders/>
            <w:vAlign w:val="center"/>
          </w:tcPr>
          <w:p>
            <w:pPr>
              <w:pStyle w:val="TableContents"/>
              <w:bidi w:val="0"/>
              <w:spacing w:lineRule="auto" w:line="300" w:before="0" w:after="0"/>
              <w:jc w:val="left"/>
              <w:rPr/>
            </w:pPr>
            <w:r>
              <w:rPr/>
              <w:t> </w:t>
            </w:r>
          </w:p>
        </w:tc>
      </w:tr>
    </w:tbl>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color w:val="000000"/>
        </w:rPr>
      </w:pPr>
      <w:r>
        <w:rPr>
          <w:color w:val="000000"/>
        </w:rPr>
        <w:drawing>
          <wp:inline distT="0" distB="0" distL="0" distR="0">
            <wp:extent cx="97155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71550" cy="561975"/>
                    </a:xfrm>
                    <a:prstGeom prst="rect">
                      <a:avLst/>
                    </a:prstGeom>
                  </pic:spPr>
                </pic:pic>
              </a:graphicData>
            </a:graphic>
          </wp:inline>
        </w:drawing>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pPr>
      <w:r>
        <w:rPr/>
      </w:r>
    </w:p>
    <w:p>
      <w:pPr>
        <w:pStyle w:val="TextBody"/>
        <w:bidi w:val="0"/>
        <w:spacing w:lineRule="auto" w:line="300" w:before="0" w:after="0"/>
        <w:ind w:left="90" w:right="90" w:hanging="0"/>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z w:val="24"/>
          <w:shd w:fill="FFFFFF" w:val="clear"/>
        </w:rPr>
        <w:t>Tower Semiconductor Announces First Quarter 2025 Financial Results and Conference Call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MIGDAL HAEMEK, Israel – April 23, 2025</w:t>
      </w:r>
      <w:r>
        <w:rPr>
          <w:rFonts w:ascii="Times New Roman;Times;serif" w:hAnsi="Times New Roman;Times;serif"/>
          <w:color w:val="000000"/>
          <w:sz w:val="20"/>
        </w:rPr>
        <w:t xml:space="preserve"> – </w:t>
      </w:r>
      <w:r>
        <w:rPr>
          <w:rFonts w:ascii="Times New Roman;Times;serif" w:hAnsi="Times New Roman;Times;serif"/>
          <w:color w:val="000000"/>
          <w:sz w:val="20"/>
          <w:u w:val="single"/>
        </w:rPr>
        <w:t>Tower Semiconductor</w:t>
      </w:r>
      <w:r>
        <w:rPr>
          <w:rFonts w:ascii="Times New Roman;Times;serif" w:hAnsi="Times New Roman;Times;serif"/>
          <w:color w:val="000000"/>
          <w:sz w:val="20"/>
        </w:rPr>
        <w:t xml:space="preserve"> (NASDAQ/ TASE: TSEM), the leading foundry of high value analog semiconductor solutions, will issue its first quarter 2025 earnings release on Wednesday, May 14, 2025. The Company will hold a conference call to discuss its first quarter 2025 financial results and second quarter 2025 guidance on Wednesday, May 14, 2025, at 10:00 a.m. Eastern Time (09:00 a.m. Central, 08:00 a.m. Mountain, 07:00 a.m. Pacific and 05:00 p.m. Israel time).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call will be webcast and available through the Investor Relations section of Tower Semiconductor’s website at </w:t>
      </w:r>
      <w:r>
        <w:rPr>
          <w:rFonts w:ascii="Times New Roman;Times;serif" w:hAnsi="Times New Roman;Times;serif"/>
          <w:color w:val="000000"/>
          <w:sz w:val="20"/>
          <w:u w:val="single"/>
        </w:rPr>
        <w:t>https://ir.towersemi.com/</w:t>
      </w:r>
      <w:r>
        <w:rPr>
          <w:rFonts w:ascii="Times New Roman;Times;serif" w:hAnsi="Times New Roman;Times;serif"/>
          <w:color w:val="000000"/>
          <w:sz w:val="20"/>
        </w:rPr>
        <w:t>, where the pre-registration form required for dial-in participation is also accessible. Upon completing the registration, participants will receive the dial-in details, a unique PIN, and a confirmation email with all necessary information. The teleconference will be available for replay for 90 days.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Contact Information:</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Liat Avraham</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Investor Relations</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u w:val="single"/>
        </w:rPr>
        <w:t>liatavra@towersemi.com</w:t>
      </w:r>
      <w:r>
        <w:rPr>
          <w:rFonts w:ascii="Times New Roman;Times;serif" w:hAnsi="Times New Roman;Times;serif"/>
          <w:color w:val="000000"/>
          <w:sz w:val="20"/>
        </w:rPr>
        <w:t xml:space="preserve"> | +972 4 650 6154</w:t>
      </w:r>
    </w:p>
    <w:p>
      <w:pPr>
        <w:pStyle w:val="TextBody"/>
        <w:bidi w:val="0"/>
        <w:spacing w:lineRule="auto" w:line="300" w:before="0" w:after="0"/>
        <w:jc w:val="left"/>
        <w:rPr/>
      </w:pPr>
      <w:r>
        <w:rPr/>
      </w:r>
    </w:p>
    <w:p>
      <w:pPr>
        <w:pStyle w:val="HorizontalLine"/>
        <w:bidi w:val="0"/>
        <w:spacing w:lineRule="auto" w:line="300"/>
        <w:jc w:val="left"/>
        <w:rPr/>
      </w:pPr>
      <w:r>
        <w:rPr/>
      </w:r>
    </w:p>
    <w:p>
      <w:pPr>
        <w:pStyle w:val="TextBody"/>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524</Words>
  <Characters>3076</Characters>
  <CharactersWithSpaces>3638</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