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201295</wp:posOffset>
            </wp:positionH>
            <wp:positionV relativeFrom="page">
              <wp:posOffset>150495</wp:posOffset>
            </wp:positionV>
            <wp:extent cx="714629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31115"/>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258445</wp:posOffset>
            </wp:positionV>
            <wp:extent cx="71462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7620"/>
                    </a:xfrm>
                    <a:prstGeom prst="rect">
                      <a:avLst/>
                    </a:prstGeom>
                    <a:noFill/>
                  </pic:spPr>
                </pic:pic>
              </a:graphicData>
            </a:graphic>
          </wp:anchor>
        </w:drawing>
        <w:t>UNITED STATES</w:t>
      </w:r>
    </w:p>
    <w:p>
      <w:pPr>
        <w:spacing w:after="0" w:line="35"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5"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25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54"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9"/>
          <w:szCs w:val="19"/>
          <w:b w:val="1"/>
          <w:bCs w:val="1"/>
          <w:color w:val="auto"/>
        </w:rPr>
        <w:t>REPORT OF FOREIGN PRIVATE ISSUER PURSUANT TO RULE 13a-16 OR 15d-16</w:t>
      </w:r>
    </w:p>
    <w:p>
      <w:pPr>
        <w:spacing w:after="0" w:line="3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9"/>
          <w:szCs w:val="19"/>
          <w:b w:val="1"/>
          <w:bCs w:val="1"/>
          <w:color w:val="auto"/>
        </w:rPr>
        <w:t>UNDER THE SECURITIES EXCHANGE ACT OF 1934</w:t>
      </w:r>
    </w:p>
    <w:p>
      <w:pPr>
        <w:spacing w:after="0" w:line="25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9"/>
          <w:szCs w:val="19"/>
          <w:color w:val="auto"/>
        </w:rPr>
        <w:t>For the month of March 2026 No.1</w:t>
      </w:r>
    </w:p>
    <w:p>
      <w:pPr>
        <w:spacing w:after="0" w:line="26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9"/>
          <w:szCs w:val="19"/>
          <w:color w:val="auto"/>
        </w:rPr>
        <w:t>Commission File Number 0-24790</w:t>
      </w:r>
    </w:p>
    <w:p>
      <w:pPr>
        <w:spacing w:after="0" w:line="25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26"/>
          <w:szCs w:val="26"/>
          <w:b w:val="1"/>
          <w:bCs w:val="1"/>
          <w:color w:val="auto"/>
        </w:rPr>
        <w:t>TOWER SEMICONDUCTOR LTD.</w:t>
      </w:r>
    </w:p>
    <w:p>
      <w:pPr>
        <w:spacing w:after="0" w:line="44"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9"/>
          <w:szCs w:val="19"/>
          <w:color w:val="auto"/>
        </w:rPr>
        <w:t>(Translation of registrant's name into English)</w:t>
      </w:r>
    </w:p>
    <w:p>
      <w:pPr>
        <w:spacing w:after="0" w:line="25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9"/>
          <w:szCs w:val="19"/>
          <w:b w:val="1"/>
          <w:bCs w:val="1"/>
          <w:color w:val="auto"/>
        </w:rPr>
        <w:t>Ramat Gavriel Industrial Park</w:t>
      </w:r>
    </w:p>
    <w:p>
      <w:pPr>
        <w:spacing w:after="0" w:line="3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9"/>
          <w:szCs w:val="19"/>
          <w:b w:val="1"/>
          <w:bCs w:val="1"/>
          <w:color w:val="auto"/>
        </w:rPr>
        <w:t>P.O. Box 619, Migdal Haemek, Israel 2310502</w:t>
      </w:r>
    </w:p>
    <w:p>
      <w:pPr>
        <w:spacing w:after="0" w:line="24"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9"/>
          <w:szCs w:val="19"/>
          <w:color w:val="auto"/>
        </w:rPr>
        <w:t>(Address of principal executive offices)</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Indicate by check mark whether the registrant files or will file annual reports under cover of Form 20-F or Form 40-F:</w:t>
      </w:r>
    </w:p>
    <w:p>
      <w:pPr>
        <w:spacing w:after="0" w:line="224" w:lineRule="exact"/>
        <w:rPr>
          <w:sz w:val="24"/>
          <w:szCs w:val="24"/>
          <w:color w:val="auto"/>
        </w:rPr>
      </w:pPr>
    </w:p>
    <w:p>
      <w:pPr>
        <w:ind w:left="3740"/>
        <w:spacing w:after="0" w:line="219" w:lineRule="exact"/>
        <w:tabs>
          <w:tab w:leader="none" w:pos="5260" w:val="left"/>
        </w:tabs>
        <w:rPr>
          <w:sz w:val="20"/>
          <w:szCs w:val="20"/>
          <w:color w:val="auto"/>
        </w:rPr>
      </w:pPr>
      <w:r>
        <w:rPr>
          <w:rFonts w:ascii="Times New Roman" w:cs="Times New Roman" w:eastAsia="Times New Roman" w:hAnsi="Times New Roman"/>
          <w:sz w:val="19"/>
          <w:szCs w:val="19"/>
          <w:color w:val="auto"/>
        </w:rPr>
        <w:t xml:space="preserve">Form 20-F </w:t>
      </w:r>
      <w:r>
        <w:rPr>
          <w:rFonts w:ascii="MS PGothic" w:cs="MS PGothic" w:eastAsia="MS PGothic" w:hAnsi="MS PGothic"/>
          <w:sz w:val="19"/>
          <w:szCs w:val="19"/>
          <w:color w:val="auto"/>
        </w:rPr>
        <w:t>☒</w:t>
      </w:r>
      <w:r>
        <w:rPr>
          <w:sz w:val="20"/>
          <w:szCs w:val="20"/>
          <w:color w:val="auto"/>
        </w:rPr>
        <w:tab/>
      </w:r>
      <w:r>
        <w:rPr>
          <w:rFonts w:ascii="Times New Roman" w:cs="Times New Roman" w:eastAsia="Times New Roman" w:hAnsi="Times New Roman"/>
          <w:sz w:val="19"/>
          <w:szCs w:val="19"/>
          <w:color w:val="auto"/>
        </w:rPr>
        <w:t xml:space="preserve">Form 40-F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-369570</wp:posOffset>
            </wp:positionH>
            <wp:positionV relativeFrom="paragraph">
              <wp:posOffset>305435</wp:posOffset>
            </wp:positionV>
            <wp:extent cx="714629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9559"/>
          </w:cols>
          <w:pgMar w:left="900" w:top="721" w:right="1440" w:bottom="1440" w:gutter="0" w:footer="0" w:header="0"/>
        </w:sectPr>
      </w:pPr>
    </w:p>
    <w:bookmarkStart w:id="1" w:name="page2"/>
    <w:bookmarkEnd w:id="1"/>
    <w:p>
      <w:pPr>
        <w:jc w:val="both"/>
        <w:ind w:right="680" w:firstLine="583"/>
        <w:spacing w:after="0" w:line="285" w:lineRule="auto"/>
        <w:rPr>
          <w:sz w:val="20"/>
          <w:szCs w:val="20"/>
          <w:color w:val="auto"/>
        </w:rPr>
      </w:pPr>
      <w:r>
        <w:rPr>
          <w:rFonts w:ascii="Times New Roman" w:cs="Times New Roman" w:eastAsia="Times New Roman" w:hAnsi="Times New Roman"/>
          <w:sz w:val="19"/>
          <w:szCs w:val="19"/>
          <w:color w:val="auto"/>
        </w:rPr>
        <w:t>This Form 6-K comprises Tower Semiconductor Ltd.’s consolidated financial statements for the year ended December 31, 2025, Management’s Discussion and Analysis of Financial Condition and Results of Operations and consent of independent registered public accounting firm, which is attached hereto as Exhibit 99.1, Exhibit 99.2 and Exhibit 99.3, respectively:</w:t>
      </w:r>
    </w:p>
    <w:p>
      <w:pPr>
        <w:spacing w:after="0" w:line="189" w:lineRule="exact"/>
        <w:rPr>
          <w:sz w:val="20"/>
          <w:szCs w:val="20"/>
          <w:color w:val="auto"/>
        </w:rPr>
      </w:pPr>
    </w:p>
    <w:p>
      <w:pPr>
        <w:ind w:left="1120" w:hanging="1128"/>
        <w:spacing w:after="0" w:line="271" w:lineRule="auto"/>
        <w:tabs>
          <w:tab w:leader="none" w:pos="1100" w:val="left"/>
        </w:tabs>
        <w:rPr>
          <w:sz w:val="20"/>
          <w:szCs w:val="20"/>
          <w:color w:val="auto"/>
        </w:rPr>
      </w:pPr>
      <w:r>
        <w:rPr>
          <w:rFonts w:ascii="Times New Roman" w:cs="Times New Roman" w:eastAsia="Times New Roman" w:hAnsi="Times New Roman"/>
          <w:sz w:val="16"/>
          <w:szCs w:val="16"/>
          <w:u w:val="single" w:color="auto"/>
          <w:color w:val="0000EE"/>
        </w:rPr>
        <w:t>Exhibit 99.1</w:t>
      </w:r>
      <w:r>
        <w:rPr>
          <w:sz w:val="20"/>
          <w:szCs w:val="20"/>
          <w:color w:val="auto"/>
        </w:rPr>
        <w:tab/>
      </w:r>
      <w:r>
        <w:rPr>
          <w:rFonts w:ascii="Times New Roman" w:cs="Times New Roman" w:eastAsia="Times New Roman" w:hAnsi="Times New Roman"/>
          <w:sz w:val="16"/>
          <w:szCs w:val="16"/>
          <w:u w:val="single" w:color="auto"/>
          <w:color w:val="0000EE"/>
        </w:rPr>
        <w:t>Registrant’s consolidated financial statements as of December 31, 2025 and 2024, and for each of the years in the three-year period ended December 31, 2025, and the report thereon dated March 2, 2026 of Brightman Almagor Zohar &amp; Co.</w:t>
      </w:r>
    </w:p>
    <w:p>
      <w:pPr>
        <w:spacing w:after="0" w:line="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u w:val="single" w:color="auto"/>
          <w:color w:val="0000EE"/>
        </w:rPr>
        <w:t>Exhibit 99.2</w:t>
      </w:r>
      <w:r>
        <w:rPr>
          <w:sz w:val="20"/>
          <w:szCs w:val="20"/>
          <w:color w:val="auto"/>
        </w:rPr>
        <w:tab/>
      </w:r>
      <w:r>
        <w:rPr>
          <w:rFonts w:ascii="Times New Roman" w:cs="Times New Roman" w:eastAsia="Times New Roman" w:hAnsi="Times New Roman"/>
          <w:sz w:val="16"/>
          <w:szCs w:val="16"/>
          <w:u w:val="single" w:color="auto"/>
          <w:color w:val="0000EE"/>
        </w:rPr>
        <w:t>Management’s Discussion and Analysis of Financial Condition and Results of Operations</w:t>
      </w:r>
    </w:p>
    <w:p>
      <w:pPr>
        <w:spacing w:after="0" w:line="1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u w:val="single" w:color="auto"/>
          <w:color w:val="0000EE"/>
        </w:rPr>
        <w:t>Exhibit 99.3</w:t>
      </w:r>
      <w:r>
        <w:rPr>
          <w:sz w:val="20"/>
          <w:szCs w:val="20"/>
          <w:color w:val="auto"/>
        </w:rPr>
        <w:tab/>
      </w:r>
      <w:r>
        <w:rPr>
          <w:rFonts w:ascii="Times New Roman" w:cs="Times New Roman" w:eastAsia="Times New Roman" w:hAnsi="Times New Roman"/>
          <w:sz w:val="16"/>
          <w:szCs w:val="16"/>
          <w:u w:val="single" w:color="auto"/>
          <w:color w:val="0000EE"/>
        </w:rPr>
        <w:t>Consent of Independent Registered Accounting Firm</w:t>
      </w:r>
    </w:p>
    <w:p>
      <w:pPr>
        <w:spacing w:after="0" w:line="265" w:lineRule="exact"/>
        <w:rPr>
          <w:sz w:val="20"/>
          <w:szCs w:val="20"/>
          <w:color w:val="auto"/>
        </w:rPr>
      </w:pPr>
    </w:p>
    <w:p>
      <w:pPr>
        <w:ind w:right="100" w:firstLine="583"/>
        <w:spacing w:after="0" w:line="304" w:lineRule="auto"/>
        <w:rPr>
          <w:sz w:val="20"/>
          <w:szCs w:val="20"/>
          <w:color w:val="auto"/>
        </w:rPr>
      </w:pPr>
      <w:r>
        <w:rPr>
          <w:rFonts w:ascii="Times New Roman" w:cs="Times New Roman" w:eastAsia="Times New Roman" w:hAnsi="Times New Roman"/>
          <w:sz w:val="19"/>
          <w:szCs w:val="19"/>
          <w:color w:val="auto"/>
        </w:rPr>
        <w:t>This Form 6-K, including all exhibits hereto, is hereby incorporated by reference into the Registrant’s Registration Statements on Form S-8 (Registration Nos. 333-204173 and 333-277536).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219710</wp:posOffset>
            </wp:positionV>
            <wp:extent cx="714629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71" w:lineRule="exact"/>
        <w:rPr>
          <w:sz w:val="20"/>
          <w:szCs w:val="20"/>
          <w:color w:val="auto"/>
        </w:rPr>
      </w:pPr>
    </w:p>
    <w:p>
      <w:pPr>
        <w:ind w:firstLine="574"/>
        <w:spacing w:after="0" w:line="304"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b w:val="1"/>
          <w:bCs w:val="1"/>
          <w:color w:val="auto"/>
        </w:rPr>
        <w:t>TOWER SEMICONDUCTOR LTD.</w:t>
      </w:r>
    </w:p>
    <w:p>
      <w:pPr>
        <w:spacing w:after="0" w:line="206" w:lineRule="exact"/>
        <w:rPr>
          <w:sz w:val="20"/>
          <w:szCs w:val="20"/>
          <w:color w:val="auto"/>
        </w:rPr>
      </w:pPr>
    </w:p>
    <w:p>
      <w:pPr>
        <w:spacing w:after="0"/>
        <w:tabs>
          <w:tab w:leader="none" w:pos="5540" w:val="left"/>
          <w:tab w:leader="none" w:pos="5980" w:val="left"/>
        </w:tabs>
        <w:rPr>
          <w:sz w:val="20"/>
          <w:szCs w:val="20"/>
          <w:color w:val="auto"/>
        </w:rPr>
      </w:pPr>
      <w:r>
        <w:rPr>
          <w:rFonts w:ascii="Times New Roman" w:cs="Times New Roman" w:eastAsia="Times New Roman" w:hAnsi="Times New Roman"/>
          <w:sz w:val="16"/>
          <w:szCs w:val="16"/>
          <w:color w:val="auto"/>
        </w:rPr>
        <w:t>Date: March 2, 2026.</w:t>
      </w:r>
      <w:r>
        <w:rPr>
          <w:sz w:val="20"/>
          <w:szCs w:val="20"/>
          <w:color w:val="auto"/>
        </w:rPr>
        <w:tab/>
      </w:r>
      <w:r>
        <w:rPr>
          <w:rFonts w:ascii="Times New Roman" w:cs="Times New Roman" w:eastAsia="Times New Roman" w:hAnsi="Times New Roman"/>
          <w:sz w:val="16"/>
          <w:szCs w:val="16"/>
          <w:color w:val="auto"/>
        </w:rPr>
        <w:t>By:</w:t>
        <w:tab/>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17145</wp:posOffset>
            </wp:positionV>
            <wp:extent cx="248221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82215" cy="15240"/>
                    </a:xfrm>
                    <a:prstGeom prst="rect">
                      <a:avLst/>
                    </a:prstGeom>
                    <a:noFill/>
                  </pic:spPr>
                </pic:pic>
              </a:graphicData>
            </a:graphic>
          </wp:anchor>
        </w:drawing>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Name:Nati Somekh</w:t>
      </w:r>
    </w:p>
    <w:p>
      <w:pPr>
        <w:spacing w:after="0" w:line="2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Title: Senior Vice President,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207010</wp:posOffset>
            </wp:positionV>
            <wp:extent cx="71462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292100</wp:posOffset>
            </wp:positionV>
            <wp:extent cx="714629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290" cy="31115"/>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1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290" cy="31115"/>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196850</wp:posOffset>
            </wp:positionV>
            <wp:extent cx="71462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290" cy="7620"/>
                    </a:xfrm>
                    <a:prstGeom prst="rect">
                      <a:avLst/>
                    </a:prstGeom>
                    <a:noFill/>
                  </pic:spPr>
                </pic:pic>
              </a:graphicData>
            </a:graphic>
          </wp:anchor>
        </w:drawing>
        <w:t>Exhibit 99.1</w:t>
      </w:r>
    </w:p>
    <w:p>
      <w:pPr>
        <w:spacing w:after="0" w:line="26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TOWER SEMICONDUCTOR LTD.</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AND SUBSIDIARIES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CONSOLIDATED FINANCIAL STATEMENTS</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271780</wp:posOffset>
            </wp:positionV>
            <wp:extent cx="714629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140"/>
          </w:cols>
          <w:pgMar w:left="1440" w:top="402" w:right="3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TOWER SEMICONDUCTOR LTD. AND SUBSIDIARIES</w:t>
      </w: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INDEX TO CONSOLIDATED FINANCIAL STATEMENTS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960" w:type="dxa"/>
            <w:vAlign w:val="bottom"/>
            <w:gridSpan w:val="2"/>
          </w:tcPr>
          <w:p>
            <w:pPr>
              <w:jc w:val="center"/>
              <w:ind w:left="1379"/>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65"/>
        </w:trPr>
        <w:tc>
          <w:tcPr>
            <w:tcW w:w="830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1197)</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F-3</w:t>
            </w:r>
          </w:p>
        </w:tc>
      </w:tr>
      <w:tr>
        <w:trPr>
          <w:trHeight w:val="381"/>
        </w:trPr>
        <w:tc>
          <w:tcPr>
            <w:tcW w:w="14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BALANCE SHEETS</w:t>
            </w:r>
          </w:p>
        </w:tc>
        <w:tc>
          <w:tcPr>
            <w:tcW w:w="3820" w:type="dxa"/>
            <w:vAlign w:val="bottom"/>
            <w:tcBorders>
              <w:top w:val="single" w:sz="8" w:color="0000EE"/>
            </w:tcBorders>
            <w:gridSpan w:val="6"/>
          </w:tcPr>
          <w:p>
            <w:pPr>
              <w:spacing w:after="0"/>
              <w:rPr>
                <w:sz w:val="24"/>
                <w:szCs w:val="24"/>
                <w:color w:val="auto"/>
              </w:rPr>
            </w:pPr>
          </w:p>
        </w:tc>
        <w:tc>
          <w:tcPr>
            <w:tcW w:w="3080" w:type="dxa"/>
            <w:vAlign w:val="bottom"/>
          </w:tcPr>
          <w:p>
            <w:pPr>
              <w:spacing w:after="0"/>
              <w:rPr>
                <w:sz w:val="24"/>
                <w:szCs w:val="24"/>
                <w:color w:val="auto"/>
              </w:rPr>
            </w:pPr>
          </w:p>
        </w:tc>
        <w:tc>
          <w:tcPr>
            <w:tcW w:w="2960" w:type="dxa"/>
            <w:vAlign w:val="bottom"/>
            <w:gridSpan w:val="2"/>
          </w:tcPr>
          <w:p>
            <w:pPr>
              <w:jc w:val="center"/>
              <w:ind w:left="1379"/>
              <w:spacing w:after="0"/>
              <w:rPr>
                <w:sz w:val="20"/>
                <w:szCs w:val="20"/>
                <w:color w:val="auto"/>
              </w:rPr>
            </w:pPr>
            <w:r>
              <w:rPr>
                <w:rFonts w:ascii="Times New Roman" w:cs="Times New Roman" w:eastAsia="Times New Roman" w:hAnsi="Times New Roman"/>
                <w:sz w:val="16"/>
                <w:szCs w:val="16"/>
                <w:color w:val="auto"/>
                <w:w w:val="98"/>
              </w:rPr>
              <w:t>F-4</w:t>
            </w:r>
          </w:p>
        </w:tc>
      </w:tr>
      <w:tr>
        <w:trPr>
          <w:trHeight w:val="381"/>
        </w:trPr>
        <w:tc>
          <w:tcPr>
            <w:tcW w:w="23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8"/>
              </w:rPr>
              <w:t>STATEMENTS OF OPERATIONS</w:t>
            </w:r>
          </w:p>
        </w:tc>
        <w:tc>
          <w:tcPr>
            <w:tcW w:w="6000" w:type="dxa"/>
            <w:vAlign w:val="bottom"/>
            <w:gridSpan w:val="6"/>
          </w:tcPr>
          <w:p>
            <w:pPr>
              <w:spacing w:after="0"/>
              <w:rPr>
                <w:sz w:val="24"/>
                <w:szCs w:val="24"/>
                <w:color w:val="auto"/>
              </w:rPr>
            </w:pPr>
          </w:p>
        </w:tc>
        <w:tc>
          <w:tcPr>
            <w:tcW w:w="2960" w:type="dxa"/>
            <w:vAlign w:val="bottom"/>
            <w:gridSpan w:val="2"/>
          </w:tcPr>
          <w:p>
            <w:pPr>
              <w:jc w:val="center"/>
              <w:ind w:left="1379"/>
              <w:spacing w:after="0"/>
              <w:rPr>
                <w:sz w:val="20"/>
                <w:szCs w:val="20"/>
                <w:color w:val="auto"/>
              </w:rPr>
            </w:pPr>
            <w:r>
              <w:rPr>
                <w:rFonts w:ascii="Times New Roman" w:cs="Times New Roman" w:eastAsia="Times New Roman" w:hAnsi="Times New Roman"/>
                <w:sz w:val="16"/>
                <w:szCs w:val="16"/>
                <w:color w:val="auto"/>
                <w:w w:val="98"/>
              </w:rPr>
              <w:t>F-5</w:t>
            </w:r>
          </w:p>
        </w:tc>
      </w:tr>
      <w:tr>
        <w:trPr>
          <w:trHeight w:val="381"/>
        </w:trPr>
        <w:tc>
          <w:tcPr>
            <w:tcW w:w="830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STATEMENTS OF COMPREHENSIVE INCOME</w:t>
            </w:r>
          </w:p>
        </w:tc>
        <w:tc>
          <w:tcPr>
            <w:tcW w:w="2960" w:type="dxa"/>
            <w:vAlign w:val="bottom"/>
            <w:gridSpan w:val="2"/>
          </w:tcPr>
          <w:p>
            <w:pPr>
              <w:jc w:val="center"/>
              <w:ind w:left="1379"/>
              <w:spacing w:after="0"/>
              <w:rPr>
                <w:sz w:val="20"/>
                <w:szCs w:val="20"/>
                <w:color w:val="auto"/>
              </w:rPr>
            </w:pPr>
            <w:r>
              <w:rPr>
                <w:rFonts w:ascii="Times New Roman" w:cs="Times New Roman" w:eastAsia="Times New Roman" w:hAnsi="Times New Roman"/>
                <w:sz w:val="16"/>
                <w:szCs w:val="16"/>
                <w:color w:val="auto"/>
                <w:w w:val="98"/>
              </w:rPr>
              <w:t>F-6</w:t>
            </w:r>
          </w:p>
        </w:tc>
      </w:tr>
      <w:tr>
        <w:trPr>
          <w:trHeight w:val="20"/>
        </w:trPr>
        <w:tc>
          <w:tcPr>
            <w:tcW w:w="23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r>
      <w:tr>
        <w:trPr>
          <w:trHeight w:val="381"/>
        </w:trPr>
        <w:tc>
          <w:tcPr>
            <w:tcW w:w="4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w w:val="99"/>
              </w:rPr>
              <w:t>STATEMENTS OF CHANGES IN SHAREHOLDERS’ EQUITY</w:t>
            </w:r>
          </w:p>
        </w:tc>
        <w:tc>
          <w:tcPr>
            <w:tcW w:w="4000" w:type="dxa"/>
            <w:vAlign w:val="bottom"/>
            <w:gridSpan w:val="2"/>
          </w:tcPr>
          <w:p>
            <w:pPr>
              <w:spacing w:after="0"/>
              <w:rPr>
                <w:sz w:val="24"/>
                <w:szCs w:val="24"/>
                <w:color w:val="auto"/>
              </w:rPr>
            </w:pPr>
          </w:p>
        </w:tc>
        <w:tc>
          <w:tcPr>
            <w:tcW w:w="2960" w:type="dxa"/>
            <w:vAlign w:val="bottom"/>
            <w:gridSpan w:val="2"/>
          </w:tcPr>
          <w:p>
            <w:pPr>
              <w:jc w:val="center"/>
              <w:ind w:left="1379"/>
              <w:spacing w:after="0"/>
              <w:rPr>
                <w:sz w:val="20"/>
                <w:szCs w:val="20"/>
                <w:color w:val="auto"/>
              </w:rPr>
            </w:pPr>
            <w:r>
              <w:rPr>
                <w:rFonts w:ascii="Times New Roman" w:cs="Times New Roman" w:eastAsia="Times New Roman" w:hAnsi="Times New Roman"/>
                <w:sz w:val="16"/>
                <w:szCs w:val="16"/>
                <w:color w:val="auto"/>
                <w:w w:val="98"/>
              </w:rPr>
              <w:t>F-7</w:t>
            </w:r>
          </w:p>
        </w:tc>
      </w:tr>
      <w:tr>
        <w:trPr>
          <w:trHeight w:val="381"/>
        </w:trPr>
        <w:tc>
          <w:tcPr>
            <w:tcW w:w="830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STATEMENTS OF CASH FLOWS</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F-8</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F-9</w:t>
            </w:r>
          </w:p>
        </w:tc>
      </w:tr>
      <w:tr>
        <w:trPr>
          <w:trHeight w:val="20"/>
        </w:trPr>
        <w:tc>
          <w:tcPr>
            <w:tcW w:w="23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81"/>
        </w:trPr>
        <w:tc>
          <w:tcPr>
            <w:tcW w:w="830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NOTES TO FINANCIAL STATEMENTS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F-10</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F-43</w:t>
            </w:r>
          </w:p>
        </w:tc>
      </w:tr>
      <w:tr>
        <w:trPr>
          <w:trHeight w:val="433"/>
        </w:trPr>
        <w:tc>
          <w:tcPr>
            <w:tcW w:w="1400" w:type="dxa"/>
            <w:vAlign w:val="bottom"/>
            <w:tcBorders>
              <w:top w:val="single" w:sz="8" w:color="0000EE"/>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1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the Board of Directors of Tower Semiconductor Ltd.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6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Tower Semiconductor Ltd. and subsidiaries (the "Company") as of December 31, 2025 and 2024, the related consolidated statements of operations, comprehensive income, changes in shareholders'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67"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26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 – Income Tax Provision – Refer to Note 18 to the financial statements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 Description</w:t>
      </w:r>
    </w:p>
    <w:p>
      <w:pPr>
        <w:spacing w:after="0" w:line="26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color w:val="auto"/>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the Company’s operations and business mode of work, and result in applicable local taxable income attributable to those locations. For the year-ended December 31, 2025, the consolidated provision for income taxes was $21.6 million comprised of amounts related to Israel, Japan, U.S. and Italy operations, as detailed in Note 18.</w:t>
      </w:r>
    </w:p>
    <w:p>
      <w:pPr>
        <w:spacing w:after="0" w:line="201"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6"/>
          <w:szCs w:val="16"/>
          <w:color w:val="auto"/>
        </w:rPr>
        <w:t>We identified management’s determination of the taxable income and its related income tax provision as a critical audit matter because of the significant judgements and estimates management makes related to the charges between the sites located in different tax jurisdictions and the consideration of different tax status in each jurisdiction. This required a high degree of auditor judgement and an increased extent of effort, including the need to involve our income tax specialists, when performing audit procedures to evaluate the reasonableness of management’s estimate of the income tax provision.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How the Critical Audit Matter Was Addressed in the Audit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determination of the taxable income allocation and income tax provision included the following, among others:</w:t>
      </w:r>
    </w:p>
    <w:p>
      <w:pPr>
        <w:spacing w:after="0" w:line="107" w:lineRule="exact"/>
        <w:rPr>
          <w:sz w:val="20"/>
          <w:szCs w:val="20"/>
          <w:color w:val="auto"/>
        </w:rPr>
      </w:pPr>
    </w:p>
    <w:p>
      <w:pPr>
        <w:ind w:left="340" w:hanging="287"/>
        <w:spacing w:after="0" w:line="303"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obtained the taxable income allocation used in calculating the income tax provision and tested that the taxable income allocation between Israel and corporate operations and the other subsidiaries is appropriate based on the specified services and margins determined in the Company's transfer pricing studies.</w:t>
      </w:r>
    </w:p>
    <w:p>
      <w:pPr>
        <w:spacing w:after="0" w:line="33" w:lineRule="exact"/>
        <w:rPr>
          <w:rFonts w:ascii="Times New Roman" w:cs="Times New Roman" w:eastAsia="Times New Roman" w:hAnsi="Times New Roman"/>
          <w:sz w:val="16"/>
          <w:szCs w:val="16"/>
          <w:color w:val="auto"/>
        </w:rPr>
      </w:pPr>
    </w:p>
    <w:p>
      <w:pPr>
        <w:ind w:left="340" w:hanging="287"/>
        <w:spacing w:after="0" w:line="303"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effectiveness of controls over the Company’s process to allocate its taxable income between the different subsidiaries based on the Company's transfer pricing studies.</w:t>
      </w:r>
    </w:p>
    <w:p>
      <w:pPr>
        <w:spacing w:after="0" w:line="33" w:lineRule="exact"/>
        <w:rPr>
          <w:rFonts w:ascii="Times New Roman" w:cs="Times New Roman" w:eastAsia="Times New Roman" w:hAnsi="Times New Roman"/>
          <w:sz w:val="16"/>
          <w:szCs w:val="16"/>
          <w:color w:val="auto"/>
        </w:rPr>
      </w:pPr>
    </w:p>
    <w:p>
      <w:pPr>
        <w:ind w:left="340" w:hanging="287"/>
        <w:spacing w:after="0" w:line="303"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read and evaluated management’s documentation, including information obtained by management from external tax specialists that detailed the basis of the uncertain tax positions.</w:t>
      </w:r>
    </w:p>
    <w:p>
      <w:pPr>
        <w:spacing w:after="0" w:line="33" w:lineRule="exact"/>
        <w:rPr>
          <w:rFonts w:ascii="Times New Roman" w:cs="Times New Roman" w:eastAsia="Times New Roman" w:hAnsi="Times New Roman"/>
          <w:sz w:val="16"/>
          <w:szCs w:val="16"/>
          <w:color w:val="auto"/>
        </w:rPr>
      </w:pPr>
    </w:p>
    <w:p>
      <w:pPr>
        <w:ind w:left="340" w:hanging="287"/>
        <w:spacing w:after="0"/>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assistance of our income tax specialists, we evaluated:</w:t>
      </w:r>
    </w:p>
    <w:p>
      <w:pPr>
        <w:spacing w:after="0" w:line="119" w:lineRule="exact"/>
        <w:rPr>
          <w:rFonts w:ascii="Times New Roman" w:cs="Times New Roman" w:eastAsia="Times New Roman" w:hAnsi="Times New Roman"/>
          <w:sz w:val="16"/>
          <w:szCs w:val="16"/>
          <w:color w:val="auto"/>
        </w:rPr>
      </w:pPr>
    </w:p>
    <w:p>
      <w:pPr>
        <w:ind w:left="580" w:hanging="289"/>
        <w:spacing w:after="0" w:line="303" w:lineRule="auto"/>
        <w:tabs>
          <w:tab w:leader="none" w:pos="580"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appropriateness of the transfer pricing analysis, including the transfer pricing methods and profit level indicators and ranges provided within the transfer pricing studies conducted by the Company’s external tax specialists.</w:t>
      </w:r>
    </w:p>
    <w:p>
      <w:pPr>
        <w:spacing w:after="0" w:line="33" w:lineRule="exact"/>
        <w:rPr>
          <w:rFonts w:ascii="Times New Roman" w:cs="Times New Roman" w:eastAsia="Times New Roman" w:hAnsi="Times New Roman"/>
          <w:sz w:val="16"/>
          <w:szCs w:val="16"/>
          <w:color w:val="auto"/>
        </w:rPr>
      </w:pPr>
    </w:p>
    <w:p>
      <w:pPr>
        <w:ind w:left="580" w:hanging="289"/>
        <w:spacing w:after="0"/>
        <w:tabs>
          <w:tab w:leader="none" w:pos="580"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appropriateness of the transfer pricing methodology implemented by management as provided in the transfer pricing studies.</w:t>
      </w:r>
    </w:p>
    <w:p>
      <w:pPr>
        <w:spacing w:after="0" w:line="119" w:lineRule="exact"/>
        <w:rPr>
          <w:rFonts w:ascii="Times New Roman" w:cs="Times New Roman" w:eastAsia="Times New Roman" w:hAnsi="Times New Roman"/>
          <w:sz w:val="16"/>
          <w:szCs w:val="16"/>
          <w:color w:val="auto"/>
        </w:rPr>
      </w:pPr>
    </w:p>
    <w:p>
      <w:pPr>
        <w:ind w:left="580" w:hanging="289"/>
        <w:spacing w:after="0"/>
        <w:tabs>
          <w:tab w:leader="none" w:pos="580"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relevant facts by reading the Company’s correspondence with the relevant tax authorities and any third-party advice obtained by the Company.</w:t>
      </w:r>
    </w:p>
    <w:p>
      <w:pPr>
        <w:spacing w:after="0" w:line="119" w:lineRule="exact"/>
        <w:rPr>
          <w:rFonts w:ascii="Times New Roman" w:cs="Times New Roman" w:eastAsia="Times New Roman" w:hAnsi="Times New Roman"/>
          <w:sz w:val="16"/>
          <w:szCs w:val="16"/>
          <w:color w:val="auto"/>
        </w:rPr>
      </w:pPr>
    </w:p>
    <w:p>
      <w:pPr>
        <w:ind w:left="580" w:hanging="289"/>
        <w:spacing w:after="0" w:line="303" w:lineRule="auto"/>
        <w:tabs>
          <w:tab w:leader="none" w:pos="580"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measurement of uncertain tax positions related to transfer pricing based on our knowledge of international and local income tax laws, as well as historical settlement activity from income tax authorities.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Brightman Almagor Zohar &amp; Co.</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Brightman Almagor Zohar &amp; Co.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Certified Public Accountants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Firm in the Deloitte Global Network</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 Aviv, Israel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1993.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(dollars and shares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9"/>
        </w:trPr>
        <w:tc>
          <w:tcPr>
            <w:tcW w:w="7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r>
      <w:tr>
        <w:trPr>
          <w:trHeight w:val="20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6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235,369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271,894</w:t>
            </w: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Short-term deposits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916,541</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946,351</w:t>
            </w:r>
          </w:p>
        </w:tc>
        <w:tc>
          <w:tcPr>
            <w:tcW w:w="120" w:type="dxa"/>
            <w:vAlign w:val="bottom"/>
          </w:tcPr>
          <w:p>
            <w:pPr>
              <w:spacing w:after="0"/>
              <w:rPr>
                <w:sz w:val="17"/>
                <w:szCs w:val="17"/>
                <w:color w:val="auto"/>
              </w:rPr>
            </w:pPr>
          </w:p>
        </w:tc>
      </w:tr>
      <w:tr>
        <w:trPr>
          <w:trHeight w:val="20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Trade accounts receivable</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222,795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211,932</w:t>
            </w: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256,855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268,295</w:t>
            </w:r>
          </w:p>
        </w:tc>
        <w:tc>
          <w:tcPr>
            <w:tcW w:w="120" w:type="dxa"/>
            <w:vAlign w:val="bottom"/>
          </w:tcPr>
          <w:p>
            <w:pPr>
              <w:spacing w:after="0"/>
              <w:rPr>
                <w:sz w:val="17"/>
                <w:szCs w:val="17"/>
                <w:color w:val="auto"/>
              </w:rPr>
            </w:pPr>
          </w:p>
        </w:tc>
      </w:tr>
      <w:tr>
        <w:trPr>
          <w:trHeight w:val="211"/>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78,062</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61,817</w:t>
            </w:r>
          </w:p>
        </w:tc>
      </w:tr>
      <w:tr>
        <w:trPr>
          <w:trHeight w:val="206"/>
        </w:trPr>
        <w:tc>
          <w:tcPr>
            <w:tcW w:w="7300" w:type="dxa"/>
            <w:vAlign w:val="bottom"/>
            <w:tcBorders>
              <w:top w:val="single" w:sz="8" w:color="CCEEFF"/>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3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1,709,622</w:t>
            </w: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1,760,289</w:t>
            </w:r>
          </w:p>
        </w:tc>
        <w:tc>
          <w:tcPr>
            <w:tcW w:w="120" w:type="dxa"/>
            <w:vAlign w:val="bottom"/>
            <w:tcBorders>
              <w:top w:val="single" w:sz="8" w:color="CCEEFF"/>
            </w:tcBorders>
          </w:tcPr>
          <w:p>
            <w:pPr>
              <w:spacing w:after="0"/>
              <w:rPr>
                <w:sz w:val="17"/>
                <w:szCs w:val="17"/>
                <w:color w:val="auto"/>
              </w:rPr>
            </w:pPr>
          </w:p>
        </w:tc>
      </w:tr>
      <w:tr>
        <w:trPr>
          <w:trHeight w:val="20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1,463,056</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1,286,622</w:t>
            </w: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3,196</w:t>
            </w:r>
          </w:p>
        </w:tc>
        <w:tc>
          <w:tcPr>
            <w:tcW w:w="120" w:type="dxa"/>
            <w:vAlign w:val="bottom"/>
          </w:tcPr>
          <w:p>
            <w:pPr>
              <w:spacing w:after="0"/>
              <w:rPr>
                <w:sz w:val="17"/>
                <w:szCs w:val="17"/>
                <w:color w:val="auto"/>
              </w:rPr>
            </w:pPr>
          </w:p>
        </w:tc>
      </w:tr>
      <w:tr>
        <w:trPr>
          <w:trHeight w:val="20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7,000</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7,000</w:t>
            </w:r>
          </w:p>
        </w:tc>
        <w:tc>
          <w:tcPr>
            <w:tcW w:w="120" w:type="dxa"/>
            <w:vAlign w:val="bottom"/>
            <w:shd w:val="clear" w:color="auto" w:fill="CCEEFF"/>
          </w:tcPr>
          <w:p>
            <w:pPr>
              <w:spacing w:after="0"/>
              <w:rPr>
                <w:sz w:val="17"/>
                <w:szCs w:val="17"/>
                <w:color w:val="auto"/>
              </w:rPr>
            </w:pPr>
          </w:p>
        </w:tc>
      </w:tr>
      <w:tr>
        <w:trPr>
          <w:trHeight w:val="211"/>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OTHER LONG-TERM ASSETS, NET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141,082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23,378</w:t>
            </w:r>
          </w:p>
        </w:tc>
      </w:tr>
      <w:tr>
        <w:trPr>
          <w:trHeight w:val="246"/>
        </w:trPr>
        <w:tc>
          <w:tcPr>
            <w:tcW w:w="7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3,322,290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3,080,485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5"/>
        </w:trPr>
        <w:tc>
          <w:tcPr>
            <w:tcW w:w="7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Current maturities of long-term debt</w:t>
            </w:r>
          </w:p>
        </w:tc>
        <w:tc>
          <w:tcPr>
            <w:tcW w:w="16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28,112</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48,376</w:t>
            </w:r>
          </w:p>
        </w:tc>
      </w:tr>
      <w:tr>
        <w:trPr>
          <w:trHeight w:val="20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Trade accounts payable</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123,915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130,624</w:t>
            </w: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Deferred revenue and customers' advances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25,581</w:t>
            </w: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21,655</w:t>
            </w:r>
          </w:p>
        </w:tc>
      </w:tr>
      <w:tr>
        <w:trPr>
          <w:trHeight w:val="20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Employee related liabilities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70,299</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65,199</w:t>
            </w:r>
          </w:p>
        </w:tc>
      </w:tr>
      <w:tr>
        <w:trPr>
          <w:trHeight w:val="211"/>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Other current liabilities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15,840</w:t>
            </w:r>
          </w:p>
        </w:tc>
        <w:tc>
          <w:tcPr>
            <w:tcW w:w="3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19,210</w:t>
            </w:r>
          </w:p>
        </w:tc>
      </w:tr>
      <w:tr>
        <w:trPr>
          <w:trHeight w:val="206"/>
        </w:trPr>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3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263,747</w:t>
            </w: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285,064</w:t>
            </w: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133,406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132,437</w:t>
            </w:r>
          </w:p>
        </w:tc>
        <w:tc>
          <w:tcPr>
            <w:tcW w:w="120" w:type="dxa"/>
            <w:vAlign w:val="bottom"/>
          </w:tcPr>
          <w:p>
            <w:pPr>
              <w:spacing w:after="0"/>
              <w:rPr>
                <w:sz w:val="17"/>
                <w:szCs w:val="17"/>
                <w:color w:val="auto"/>
              </w:rPr>
            </w:pPr>
          </w:p>
        </w:tc>
      </w:tr>
      <w:tr>
        <w:trPr>
          <w:trHeight w:val="20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LONG-TERM CUSTOMERS' ADVANCES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7,690</w:t>
            </w: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EMPLOYEE RELATED LIABILITIES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6,448</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4,985</w:t>
            </w:r>
          </w:p>
        </w:tc>
        <w:tc>
          <w:tcPr>
            <w:tcW w:w="120" w:type="dxa"/>
            <w:vAlign w:val="bottom"/>
          </w:tcPr>
          <w:p>
            <w:pPr>
              <w:spacing w:after="0"/>
              <w:rPr>
                <w:sz w:val="17"/>
                <w:szCs w:val="17"/>
                <w:color w:val="auto"/>
              </w:rPr>
            </w:pPr>
          </w:p>
        </w:tc>
      </w:tr>
      <w:tr>
        <w:trPr>
          <w:trHeight w:val="211"/>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OTHER LONG-TERM LIABILITIES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12,174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10,129</w:t>
            </w:r>
          </w:p>
        </w:tc>
      </w:tr>
      <w:tr>
        <w:trPr>
          <w:trHeight w:val="211"/>
        </w:trPr>
        <w:tc>
          <w:tcPr>
            <w:tcW w:w="7300" w:type="dxa"/>
            <w:vAlign w:val="bottom"/>
            <w:tcBorders>
              <w:top w:val="single" w:sz="8" w:color="CCEEFF"/>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3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417,707</w:t>
            </w: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440,305</w:t>
            </w:r>
          </w:p>
        </w:tc>
        <w:tc>
          <w:tcPr>
            <w:tcW w:w="120" w:type="dxa"/>
            <w:vAlign w:val="bottom"/>
            <w:tcBorders>
              <w:top w:val="single" w:sz="8" w:color="CCEEFF"/>
            </w:tcBorders>
          </w:tcPr>
          <w:p>
            <w:pPr>
              <w:spacing w:after="0"/>
              <w:rPr>
                <w:sz w:val="18"/>
                <w:szCs w:val="18"/>
                <w:color w:val="auto"/>
              </w:rPr>
            </w:pPr>
          </w:p>
        </w:tc>
      </w:tr>
      <w:tr>
        <w:trPr>
          <w:trHeight w:val="20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Ordinary shares of NIS 15 par value:</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450,905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446,562</w:t>
            </w: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150,000 authorized as of December 31, 2025 and 2024</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112,621 and 112,534 issued and outstanding, respectively, as of December 31, 2025</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111,637 and 111,550 issued and outstanding, respectively, as of December 31, 2024</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Additional paid-in capital</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1,373,643</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1,377,986</w:t>
            </w: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Cumulative stock based compensation</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274,319</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236,551</w:t>
            </w:r>
          </w:p>
        </w:tc>
        <w:tc>
          <w:tcPr>
            <w:tcW w:w="120" w:type="dxa"/>
            <w:vAlign w:val="bottom"/>
          </w:tcPr>
          <w:p>
            <w:pPr>
              <w:spacing w:after="0"/>
              <w:rPr>
                <w:sz w:val="17"/>
                <w:szCs w:val="17"/>
                <w:color w:val="auto"/>
              </w:rPr>
            </w:pPr>
          </w:p>
        </w:tc>
      </w:tr>
      <w:tr>
        <w:trPr>
          <w:trHeight w:val="20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(66,457)</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(74,188)</w:t>
            </w:r>
          </w:p>
        </w:tc>
      </w:tr>
      <w:tr>
        <w:trPr>
          <w:trHeight w:val="211"/>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1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895,949</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675,479</w:t>
            </w:r>
          </w:p>
        </w:tc>
        <w:tc>
          <w:tcPr>
            <w:tcW w:w="120" w:type="dxa"/>
            <w:vAlign w:val="bottom"/>
          </w:tcPr>
          <w:p>
            <w:pPr>
              <w:spacing w:after="0"/>
              <w:rPr>
                <w:sz w:val="18"/>
                <w:szCs w:val="18"/>
                <w:color w:val="auto"/>
              </w:rPr>
            </w:pPr>
          </w:p>
        </w:tc>
      </w:tr>
      <w:tr>
        <w:trPr>
          <w:trHeight w:val="206"/>
        </w:trPr>
        <w:tc>
          <w:tcPr>
            <w:tcW w:w="7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2,928,359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2,662,390</w:t>
            </w:r>
          </w:p>
        </w:tc>
        <w:tc>
          <w:tcPr>
            <w:tcW w:w="120" w:type="dxa"/>
            <w:vAlign w:val="bottom"/>
            <w:shd w:val="clear" w:color="auto" w:fill="CCEEFF"/>
          </w:tcPr>
          <w:p>
            <w:pPr>
              <w:spacing w:after="0"/>
              <w:rPr>
                <w:sz w:val="17"/>
                <w:szCs w:val="17"/>
                <w:color w:val="auto"/>
              </w:rPr>
            </w:pPr>
          </w:p>
        </w:tc>
      </w:tr>
      <w:tr>
        <w:trPr>
          <w:trHeight w:val="211"/>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Treasury stock, at cost - 87 shares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(9,072)</w:t>
            </w: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(9,072)</w:t>
            </w:r>
          </w:p>
        </w:tc>
      </w:tr>
      <w:tr>
        <w:trPr>
          <w:trHeight w:val="20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THE COMPANY'S SHAREHOLDERS' EQUITY</w:t>
            </w:r>
          </w:p>
        </w:tc>
        <w:tc>
          <w:tcPr>
            <w:tcW w:w="13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2,919,287</w:t>
            </w: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2,653,318</w:t>
            </w:r>
          </w:p>
        </w:tc>
        <w:tc>
          <w:tcPr>
            <w:tcW w:w="120" w:type="dxa"/>
            <w:vAlign w:val="bottom"/>
            <w:shd w:val="clear" w:color="auto" w:fill="CCEEFF"/>
          </w:tcPr>
          <w:p>
            <w:pPr>
              <w:spacing w:after="0"/>
              <w:rPr>
                <w:sz w:val="17"/>
                <w:szCs w:val="17"/>
                <w:color w:val="auto"/>
              </w:rPr>
            </w:pPr>
          </w:p>
        </w:tc>
      </w:tr>
      <w:tr>
        <w:trPr>
          <w:trHeight w:val="211"/>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Non-controlling interest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(14,704)</w:t>
            </w: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(13,138)</w:t>
            </w:r>
          </w:p>
        </w:tc>
      </w:tr>
      <w:tr>
        <w:trPr>
          <w:trHeight w:val="246"/>
        </w:trPr>
        <w:tc>
          <w:tcPr>
            <w:tcW w:w="7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2,904,583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2,640,180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83"/>
        </w:trPr>
        <w:tc>
          <w:tcPr>
            <w:tcW w:w="7300" w:type="dxa"/>
            <w:vAlign w:val="bottom"/>
          </w:tcPr>
          <w:p>
            <w:pPr>
              <w:spacing w:after="0"/>
              <w:rPr>
                <w:sz w:val="15"/>
                <w:szCs w:val="15"/>
                <w:color w:val="auto"/>
              </w:rPr>
            </w:pPr>
          </w:p>
        </w:tc>
        <w:tc>
          <w:tcPr>
            <w:tcW w:w="162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46"/>
        </w:trPr>
        <w:tc>
          <w:tcPr>
            <w:tcW w:w="73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6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3,322,290</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3,080,485</w:t>
            </w:r>
          </w:p>
        </w:tc>
        <w:tc>
          <w:tcPr>
            <w:tcW w:w="120" w:type="dxa"/>
            <w:vAlign w:val="bottom"/>
            <w:shd w:val="clear" w:color="auto" w:fill="CCEEFF"/>
          </w:tcPr>
          <w:p>
            <w:pPr>
              <w:spacing w:after="0"/>
              <w:rPr>
                <w:sz w:val="21"/>
                <w:szCs w:val="21"/>
                <w:color w:val="auto"/>
              </w:rPr>
            </w:pPr>
          </w:p>
        </w:tc>
      </w:tr>
      <w:tr>
        <w:trPr>
          <w:trHeight w:val="425"/>
        </w:trPr>
        <w:tc>
          <w:tcPr>
            <w:tcW w:w="7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tc>
        <w:tc>
          <w:tcPr>
            <w:tcW w:w="13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bl>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8" w:name="page9"/>
    <w:bookmarkEnd w:id="8"/>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2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(dollars and shares in thousands, except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20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1,566,104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1,436,122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1,422,680</w:t>
            </w:r>
          </w:p>
        </w:tc>
        <w:tc>
          <w:tcPr>
            <w:tcW w:w="120" w:type="dxa"/>
            <w:vAlign w:val="bottom"/>
            <w:shd w:val="clear" w:color="auto" w:fill="CCEEFF"/>
          </w:tcPr>
          <w:p>
            <w:pPr>
              <w:spacing w:after="0"/>
              <w:rPr>
                <w:sz w:val="17"/>
                <w:szCs w:val="17"/>
                <w:color w:val="auto"/>
              </w:rPr>
            </w:pPr>
          </w:p>
        </w:tc>
      </w:tr>
      <w:tr>
        <w:trPr>
          <w:trHeight w:val="211"/>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1,202,250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1,096,680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1,069,161</w:t>
            </w:r>
          </w:p>
        </w:tc>
        <w:tc>
          <w:tcPr>
            <w:tcW w:w="120" w:type="dxa"/>
            <w:vAlign w:val="bottom"/>
          </w:tcPr>
          <w:p>
            <w:pPr>
              <w:spacing w:after="0"/>
              <w:rPr>
                <w:sz w:val="18"/>
                <w:szCs w:val="18"/>
                <w:color w:val="auto"/>
              </w:rPr>
            </w:pPr>
          </w:p>
        </w:tc>
      </w:tr>
      <w:tr>
        <w:trPr>
          <w:trHeight w:val="211"/>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363,854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339,442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353,519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6"/>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Research and development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86,496</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79,434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79,808</w:t>
            </w:r>
          </w:p>
        </w:tc>
      </w:tr>
      <w:tr>
        <w:trPr>
          <w:trHeight w:val="206"/>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Marketing, general and administrative</w:t>
            </w:r>
          </w:p>
        </w:tc>
        <w:tc>
          <w:tcPr>
            <w:tcW w:w="26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83,186</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74,964</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72,454</w:t>
            </w:r>
          </w:p>
        </w:tc>
      </w:tr>
      <w:tr>
        <w:trPr>
          <w:trHeight w:val="20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Restructuring gain from sale of machinery and equipment, net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(52,168)</w:t>
            </w:r>
          </w:p>
        </w:tc>
      </w:tr>
      <w:tr>
        <w:trPr>
          <w:trHeight w:val="206"/>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Restructuring expense (income), net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(6,270)</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19,662</w:t>
            </w:r>
          </w:p>
        </w:tc>
      </w:tr>
      <w:tr>
        <w:trPr>
          <w:trHeight w:val="20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Merger-contract termination fee, net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(313,501)</w:t>
            </w:r>
          </w:p>
        </w:tc>
      </w:tr>
      <w:tr>
        <w:trPr>
          <w:trHeight w:val="24"/>
        </w:trPr>
        <w:tc>
          <w:tcPr>
            <w:tcW w:w="73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6"/>
        </w:trPr>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169,682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148,128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(193,745)</w:t>
            </w:r>
          </w:p>
        </w:tc>
      </w:tr>
      <w:tr>
        <w:trPr>
          <w:trHeight w:val="20"/>
        </w:trPr>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6"/>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194,172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191,314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547,264</w:t>
            </w:r>
          </w:p>
        </w:tc>
        <w:tc>
          <w:tcPr>
            <w:tcW w:w="120" w:type="dxa"/>
            <w:vAlign w:val="bottom"/>
          </w:tcPr>
          <w:p>
            <w:pPr>
              <w:spacing w:after="0"/>
              <w:rPr>
                <w:sz w:val="17"/>
                <w:szCs w:val="17"/>
                <w:color w:val="auto"/>
              </w:rPr>
            </w:pPr>
          </w:p>
        </w:tc>
      </w:tr>
      <w:tr>
        <w:trPr>
          <w:trHeight w:val="20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INCOME, NET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56,738</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50,834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30,531</w:t>
            </w:r>
          </w:p>
        </w:tc>
      </w:tr>
      <w:tr>
        <w:trPr>
          <w:trHeight w:val="211"/>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(10,527)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(24,721)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7,047</w:t>
            </w:r>
          </w:p>
        </w:tc>
        <w:tc>
          <w:tcPr>
            <w:tcW w:w="120" w:type="dxa"/>
            <w:vAlign w:val="bottom"/>
          </w:tcPr>
          <w:p>
            <w:pPr>
              <w:spacing w:after="0"/>
              <w:rPr>
                <w:sz w:val="18"/>
                <w:szCs w:val="18"/>
                <w:color w:val="auto"/>
              </w:rPr>
            </w:pPr>
          </w:p>
        </w:tc>
      </w:tr>
      <w:tr>
        <w:trPr>
          <w:trHeight w:val="20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PROFIT BEFORE INCOME TAX</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240,383</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217,427</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584,842</w:t>
            </w:r>
          </w:p>
        </w:tc>
        <w:tc>
          <w:tcPr>
            <w:tcW w:w="120" w:type="dxa"/>
            <w:vAlign w:val="bottom"/>
            <w:shd w:val="clear" w:color="auto" w:fill="CCEEFF"/>
          </w:tcPr>
          <w:p>
            <w:pPr>
              <w:spacing w:after="0"/>
              <w:rPr>
                <w:sz w:val="17"/>
                <w:szCs w:val="17"/>
                <w:color w:val="auto"/>
              </w:rPr>
            </w:pPr>
          </w:p>
        </w:tc>
      </w:tr>
      <w:tr>
        <w:trPr>
          <w:trHeight w:val="211"/>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 EXPENSE, NET</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(21,569)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(10,205)</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(65,312)</w:t>
            </w:r>
          </w:p>
        </w:tc>
      </w:tr>
      <w:tr>
        <w:trPr>
          <w:trHeight w:val="20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218,814</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207,222</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519,530</w:t>
            </w:r>
          </w:p>
        </w:tc>
        <w:tc>
          <w:tcPr>
            <w:tcW w:w="120" w:type="dxa"/>
            <w:vAlign w:val="bottom"/>
            <w:shd w:val="clear" w:color="auto" w:fill="CCEEFF"/>
          </w:tcPr>
          <w:p>
            <w:pPr>
              <w:spacing w:after="0"/>
              <w:rPr>
                <w:sz w:val="17"/>
                <w:szCs w:val="17"/>
                <w:color w:val="auto"/>
              </w:rPr>
            </w:pPr>
          </w:p>
        </w:tc>
      </w:tr>
      <w:tr>
        <w:trPr>
          <w:trHeight w:val="211"/>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(income) attributable to non-controlling interest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1,656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642</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(1,036)</w:t>
            </w:r>
          </w:p>
        </w:tc>
      </w:tr>
      <w:tr>
        <w:trPr>
          <w:trHeight w:val="246"/>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PROFIT ATTRIBUTABLE TO THE COMPANY</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220,470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207,864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518,494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5"/>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EARNINGS PER SHARE:</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1.97</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1.87</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4.70</w:t>
            </w:r>
          </w:p>
        </w:tc>
      </w:tr>
      <w:tr>
        <w:trPr>
          <w:trHeight w:val="195"/>
        </w:trPr>
        <w:tc>
          <w:tcPr>
            <w:tcW w:w="732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Weighted average number of shares</w:t>
            </w: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111,981</w:t>
            </w: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111,153</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110,289</w:t>
            </w:r>
          </w:p>
        </w:tc>
        <w:tc>
          <w:tcPr>
            <w:tcW w:w="120" w:type="dxa"/>
            <w:vAlign w:val="bottom"/>
            <w:tcBorders>
              <w:top w:val="single" w:sz="8" w:color="CCEEFF"/>
            </w:tcBorders>
          </w:tcPr>
          <w:p>
            <w:pPr>
              <w:spacing w:after="0"/>
              <w:rPr>
                <w:sz w:val="16"/>
                <w:szCs w:val="16"/>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6"/>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1.94</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1.85</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4.66</w:t>
            </w:r>
          </w:p>
        </w:tc>
      </w:tr>
      <w:tr>
        <w:trPr>
          <w:trHeight w:val="20"/>
        </w:trPr>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5"/>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profit used for diluted earnings per share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220,470</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207,864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518,494</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76"/>
        </w:trPr>
        <w:tc>
          <w:tcPr>
            <w:tcW w:w="7320" w:type="dxa"/>
            <w:vAlign w:val="bottom"/>
          </w:tcPr>
          <w:p>
            <w:pPr>
              <w:ind w:left="140"/>
              <w:spacing w:after="0" w:line="177" w:lineRule="exact"/>
              <w:rPr>
                <w:sz w:val="20"/>
                <w:szCs w:val="20"/>
                <w:color w:val="auto"/>
              </w:rPr>
            </w:pPr>
            <w:r>
              <w:rPr>
                <w:rFonts w:ascii="Times New Roman" w:cs="Times New Roman" w:eastAsia="Times New Roman" w:hAnsi="Times New Roman"/>
                <w:sz w:val="16"/>
                <w:szCs w:val="16"/>
                <w:b w:val="1"/>
                <w:bCs w:val="1"/>
                <w:color w:val="auto"/>
              </w:rPr>
              <w:t>Weighted average number of shares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9"/>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used for diluted earnings per share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113,597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112,343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111,216</w:t>
            </w:r>
          </w:p>
        </w:tc>
        <w:tc>
          <w:tcPr>
            <w:tcW w:w="120" w:type="dxa"/>
            <w:vAlign w:val="bottom"/>
          </w:tcPr>
          <w:p>
            <w:pPr>
              <w:spacing w:after="0"/>
              <w:rPr>
                <w:sz w:val="19"/>
                <w:szCs w:val="19"/>
                <w:color w:val="auto"/>
              </w:rPr>
            </w:pPr>
          </w:p>
        </w:tc>
      </w:tr>
      <w:tr>
        <w:trPr>
          <w:trHeight w:val="23"/>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40"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218,814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207,222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519,530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net of tax:</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 adjustment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(2,709)</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(19,956)</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(15,761)</w:t>
            </w:r>
          </w:p>
        </w:tc>
        <w:tc>
          <w:tcPr>
            <w:tcW w:w="0" w:type="dxa"/>
            <w:vAlign w:val="bottom"/>
          </w:tcPr>
          <w:p>
            <w:pPr>
              <w:spacing w:after="0"/>
              <w:rPr>
                <w:sz w:val="1"/>
                <w:szCs w:val="1"/>
                <w:color w:val="auto"/>
              </w:rPr>
            </w:pPr>
          </w:p>
        </w:tc>
      </w:tr>
      <w:tr>
        <w:trPr>
          <w:trHeight w:val="206"/>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Unrealized gain on derivatives</w:t>
            </w:r>
          </w:p>
        </w:tc>
        <w:tc>
          <w:tcPr>
            <w:tcW w:w="26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10,584</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Realized gain on marketable securities which was previously presented in other comprehensive</w:t>
            </w:r>
          </w:p>
        </w:tc>
        <w:tc>
          <w:tcPr>
            <w:tcW w:w="2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(9,524)</w:t>
            </w:r>
          </w:p>
        </w:tc>
        <w:tc>
          <w:tcPr>
            <w:tcW w:w="2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Change in employees plan assets and benefit obligations</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126</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(222)</w:t>
            </w: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226,635</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178,933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508,316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loss attributable to non-controlling interest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7,678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the Company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228,201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186,611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513,096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40" w:right="319" w:bottom="1440" w:gutter="0" w:footer="0" w:header="0"/>
        </w:sectPr>
      </w:pPr>
    </w:p>
    <w:bookmarkStart w:id="10" w:name="page11"/>
    <w:bookmarkEnd w:id="10"/>
    <w:p>
      <w:pPr>
        <w:jc w:val="center"/>
        <w:ind w:right="80"/>
        <w:spacing w:after="0" w:line="287" w:lineRule="auto"/>
        <w:rPr>
          <w:sz w:val="20"/>
          <w:szCs w:val="20"/>
          <w:color w:val="auto"/>
        </w:rPr>
      </w:pPr>
      <w:r>
        <w:rPr>
          <w:rFonts w:ascii="Times New Roman" w:cs="Times New Roman" w:eastAsia="Times New Roman" w:hAnsi="Times New Roman"/>
          <w:sz w:val="16"/>
          <w:szCs w:val="16"/>
          <w:b w:val="1"/>
          <w:bCs w:val="1"/>
          <w:color w:val="auto"/>
        </w:rPr>
        <w:t>TOWER SEMICONDUCTOR LTD. AND SUBSIDIARIES CONSOLIDATED STATEMENT OF CHANGES IN SHAREHOLDERS' EQUITY (dollars and share data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11"/>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THE COMPANY'S SHAREHOLDERS' EQUITY</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280" w:type="dxa"/>
            <w:vAlign w:val="bottom"/>
          </w:tcPr>
          <w:p>
            <w:pPr>
              <w:spacing w:after="0"/>
              <w:rPr>
                <w:sz w:val="17"/>
                <w:szCs w:val="17"/>
                <w:color w:val="auto"/>
              </w:rPr>
            </w:pPr>
          </w:p>
        </w:tc>
        <w:tc>
          <w:tcPr>
            <w:tcW w:w="7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20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6"/>
                <w:szCs w:val="16"/>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17"/>
                <w:szCs w:val="17"/>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 based</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0" w:type="dxa"/>
            <w:vAlign w:val="bottom"/>
          </w:tcPr>
          <w:p>
            <w:pPr>
              <w:spacing w:after="0"/>
              <w:rPr>
                <w:sz w:val="17"/>
                <w:szCs w:val="17"/>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Treasury comprehensive</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60" w:type="dxa"/>
            <w:vAlign w:val="bottom"/>
          </w:tcPr>
          <w:p>
            <w:pPr>
              <w:spacing w:after="0"/>
              <w:rPr>
                <w:sz w:val="19"/>
                <w:szCs w:val="19"/>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profit (deficit)</w:t>
            </w:r>
          </w:p>
        </w:tc>
        <w:tc>
          <w:tcPr>
            <w:tcW w:w="100" w:type="dxa"/>
            <w:vAlign w:val="bottom"/>
          </w:tcPr>
          <w:p>
            <w:pPr>
              <w:spacing w:after="0"/>
              <w:rPr>
                <w:sz w:val="19"/>
                <w:szCs w:val="19"/>
                <w:color w:val="auto"/>
              </w:rPr>
            </w:pPr>
          </w:p>
        </w:tc>
        <w:tc>
          <w:tcPr>
            <w:tcW w:w="80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9"/>
                <w:szCs w:val="19"/>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110,041</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$ 440,150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$1,384,398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(45,497)</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(50,879)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(9,072)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(2,640)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$1,888,541</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Changes during</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the year ended</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Proceeds from an</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investment in a</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1,960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1,960</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options and</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issuance of</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upon vesting of</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RSUs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871</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3,481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(3,481)</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Employee stock-</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based</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28,222</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28,222</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518,494</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518,494</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1,036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519,530</w:t>
            </w:r>
          </w:p>
        </w:tc>
        <w:tc>
          <w:tcPr>
            <w:tcW w:w="0" w:type="dxa"/>
            <w:vAlign w:val="bottom"/>
          </w:tcPr>
          <w:p>
            <w:pPr>
              <w:spacing w:after="0"/>
              <w:rPr>
                <w:sz w:val="1"/>
                <w:szCs w:val="1"/>
                <w:color w:val="auto"/>
              </w:rPr>
            </w:pPr>
          </w:p>
        </w:tc>
      </w:tr>
      <w:tr>
        <w:trPr>
          <w:trHeight w:val="188"/>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(9,945)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(9,945)</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(5,816)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(15,761)</w:t>
            </w: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Unrealized gain</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4,769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4,769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4,769</w:t>
            </w: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on derivatives</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employees plan</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assets and</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(222)</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(222)</w:t>
            </w:r>
          </w:p>
        </w:tc>
        <w:tc>
          <w:tcPr>
            <w:tcW w:w="0" w:type="dxa"/>
            <w:vAlign w:val="bottom"/>
          </w:tcPr>
          <w:p>
            <w:pPr>
              <w:spacing w:after="0"/>
              <w:rPr>
                <w:sz w:val="1"/>
                <w:szCs w:val="1"/>
                <w:color w:val="auto"/>
              </w:rPr>
            </w:pPr>
          </w:p>
        </w:tc>
      </w:tr>
      <w:tr>
        <w:trPr>
          <w:trHeight w:val="212"/>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spacing w:after="0"/>
              <w:rPr>
                <w:sz w:val="16"/>
                <w:szCs w:val="16"/>
                <w:color w:val="auto"/>
              </w:rPr>
            </w:pP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513,096</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1280" w:type="dxa"/>
            <w:vAlign w:val="bottom"/>
            <w:tcBorders>
              <w:top w:val="single" w:sz="8" w:color="CCEEFF"/>
            </w:tcBorders>
          </w:tcPr>
          <w:p>
            <w:pPr>
              <w:ind w:left="280"/>
              <w:spacing w:after="0" w:line="177" w:lineRule="exact"/>
              <w:rPr>
                <w:sz w:val="20"/>
                <w:szCs w:val="20"/>
                <w:color w:val="auto"/>
              </w:rPr>
            </w:pPr>
            <w:r>
              <w:rPr>
                <w:rFonts w:ascii="Times New Roman" w:cs="Times New Roman" w:eastAsia="Times New Roman" w:hAnsi="Times New Roman"/>
                <w:sz w:val="16"/>
                <w:szCs w:val="16"/>
                <w:b w:val="1"/>
                <w:bCs w:val="1"/>
                <w:color w:val="auto"/>
              </w:rPr>
              <w:t>BALANCE</w:t>
            </w:r>
          </w:p>
        </w:tc>
        <w:tc>
          <w:tcPr>
            <w:tcW w:w="66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110,912</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443,631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1,380,917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2,507</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(55,442)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467,615</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(9,072)</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(5,460)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2,427,039</w:t>
            </w: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Changes during</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the year ended</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Proceeds from an</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investment in a</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Issuance of</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upon vesting of</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RSUs</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725</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2,931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(2,931)</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Employee stock-</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based</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34,208</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34,208</w:t>
            </w: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207,864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207,864</w:t>
            </w: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(642)</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207,222</w:t>
            </w: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(12,920)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(12,920)</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(7,036</w:t>
            </w: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(19,956</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Unrealized gain</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on derivatives</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and marketable</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1,065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1,065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1,065</w:t>
            </w: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Realized gain</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(9,524)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(9,524)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(9,524)</w:t>
            </w: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on marketable</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-376555</wp:posOffset>
            </wp:positionV>
            <wp:extent cx="7202805" cy="732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805" cy="73279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b w:val="1"/>
          <w:bCs w:val="1"/>
          <w:color w:val="auto"/>
        </w:rPr>
        <w:t>which was</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previously</w:t>
      </w:r>
    </w:p>
    <w:p>
      <w:pPr>
        <w:sectPr>
          <w:pgSz w:w="11900" w:h="16838" w:orient="portrait"/>
          <w:cols w:equalWidth="0" w:num="1">
            <w:col w:w="11340"/>
          </w:cols>
          <w:pgMar w:left="320" w:top="364"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presented in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employees plan</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assets and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126</w:t>
            </w:r>
          </w:p>
        </w:tc>
        <w:tc>
          <w:tcPr>
            <w:tcW w:w="0" w:type="dxa"/>
            <w:vAlign w:val="bottom"/>
          </w:tcPr>
          <w:p>
            <w:pPr>
              <w:spacing w:after="0"/>
              <w:rPr>
                <w:sz w:val="1"/>
                <w:szCs w:val="1"/>
                <w:color w:val="auto"/>
              </w:rPr>
            </w:pPr>
          </w:p>
        </w:tc>
      </w:tr>
      <w:tr>
        <w:trPr>
          <w:trHeight w:val="212"/>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126</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2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vMerge w:val="restart"/>
          </w:tcPr>
          <w:p>
            <w:pPr>
              <w:spacing w:after="0"/>
              <w:rPr>
                <w:sz w:val="16"/>
                <w:szCs w:val="16"/>
                <w:color w:val="auto"/>
              </w:rPr>
            </w:pPr>
          </w:p>
        </w:tc>
        <w:tc>
          <w:tcPr>
            <w:tcW w:w="3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186,611</w:t>
            </w:r>
          </w:p>
        </w:tc>
        <w:tc>
          <w:tcPr>
            <w:tcW w:w="0" w:type="dxa"/>
            <w:vAlign w:val="bottom"/>
          </w:tcPr>
          <w:p>
            <w:pPr>
              <w:spacing w:after="0"/>
              <w:rPr>
                <w:sz w:val="1"/>
                <w:szCs w:val="1"/>
                <w:color w:val="auto"/>
              </w:rPr>
            </w:pPr>
          </w:p>
        </w:tc>
      </w:tr>
      <w:tr>
        <w:trPr>
          <w:trHeight w:val="212"/>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8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111,637</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446,562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1,377,986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236,551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(5,826)</w:t>
            </w:r>
          </w:p>
        </w:tc>
        <w:tc>
          <w:tcPr>
            <w:tcW w:w="2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(68,362)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675,479</w:t>
            </w:r>
          </w:p>
        </w:tc>
        <w:tc>
          <w:tcPr>
            <w:tcW w:w="14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(9,072)</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Changes during</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the period: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Issuance of</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upon vesting of</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RSUs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984</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4,343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(4,343)</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Employee stock-</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37,768</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220,470</w:t>
            </w:r>
          </w:p>
        </w:tc>
        <w:tc>
          <w:tcPr>
            <w:tcW w:w="140" w:type="dxa"/>
            <w:vAlign w:val="bottom"/>
          </w:tcPr>
          <w:p>
            <w:pPr>
              <w:spacing w:after="0"/>
              <w:rPr>
                <w:sz w:val="17"/>
                <w:szCs w:val="17"/>
                <w:color w:val="auto"/>
              </w:rPr>
            </w:pPr>
          </w:p>
        </w:tc>
        <w:tc>
          <w:tcPr>
            <w:tcW w:w="8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220,470</w:t>
            </w: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(2,799)</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(2,799)</w:t>
            </w: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Unrealized gain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10,584</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10,584</w:t>
            </w: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on derivatives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employees plan</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assets and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r>
              <w:rPr>
                <w:rFonts w:ascii="Times New Roman" w:cs="Times New Roman" w:eastAsia="Times New Roman" w:hAnsi="Times New Roman"/>
                <w:sz w:val="32"/>
                <w:szCs w:val="32"/>
                <w:b w:val="1"/>
                <w:bCs w:val="1"/>
                <w:color w:val="auto"/>
                <w:vertAlign w:val="subscript"/>
              </w:rPr>
              <w:t>)</w:t>
            </w:r>
          </w:p>
        </w:tc>
        <w:tc>
          <w:tcPr>
            <w:tcW w:w="0" w:type="dxa"/>
            <w:vAlign w:val="bottom"/>
          </w:tcPr>
          <w:p>
            <w:pPr>
              <w:spacing w:after="0"/>
              <w:rPr>
                <w:sz w:val="1"/>
                <w:szCs w:val="1"/>
                <w:color w:val="auto"/>
              </w:rPr>
            </w:pPr>
          </w:p>
        </w:tc>
      </w:tr>
      <w:tr>
        <w:trPr>
          <w:trHeight w:val="188"/>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2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vMerge w:val="restart"/>
          </w:tcPr>
          <w:p>
            <w:pPr>
              <w:spacing w:after="0"/>
              <w:rPr>
                <w:sz w:val="16"/>
                <w:szCs w:val="16"/>
                <w:color w:val="auto"/>
              </w:rPr>
            </w:pPr>
          </w:p>
        </w:tc>
        <w:tc>
          <w:tcPr>
            <w:tcW w:w="3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228,201</w:t>
            </w:r>
          </w:p>
        </w:tc>
        <w:tc>
          <w:tcPr>
            <w:tcW w:w="0" w:type="dxa"/>
            <w:vAlign w:val="bottom"/>
          </w:tcPr>
          <w:p>
            <w:pPr>
              <w:spacing w:after="0"/>
              <w:rPr>
                <w:sz w:val="1"/>
                <w:szCs w:val="1"/>
                <w:color w:val="auto"/>
              </w:rPr>
            </w:pPr>
          </w:p>
        </w:tc>
      </w:tr>
      <w:tr>
        <w:trPr>
          <w:trHeight w:val="212"/>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8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31, 2025</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112,621</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$ 450,905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$1,373,643</w:t>
            </w:r>
          </w:p>
        </w:tc>
        <w:tc>
          <w:tcPr>
            <w:tcW w:w="12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274,319</w:t>
            </w:r>
          </w:p>
        </w:tc>
        <w:tc>
          <w:tcPr>
            <w:tcW w:w="10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4,704</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(71,161)</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895,949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(9,072)</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28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SHARES, NET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OF TREASURY</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112,534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-6690360</wp:posOffset>
            </wp:positionV>
            <wp:extent cx="7202805" cy="516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805" cy="516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-5518785</wp:posOffset>
            </wp:positionV>
            <wp:extent cx="7202805" cy="285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805" cy="285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-4717415</wp:posOffset>
            </wp:positionV>
            <wp:extent cx="7202805" cy="254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805" cy="2546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-3946525</wp:posOffset>
            </wp:positionV>
            <wp:extent cx="7202805" cy="385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805" cy="3854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-3306445</wp:posOffset>
            </wp:positionV>
            <wp:extent cx="7202805" cy="130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805" cy="1308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-2658745</wp:posOffset>
            </wp:positionV>
            <wp:extent cx="7202805" cy="254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2546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-1764665</wp:posOffset>
            </wp:positionV>
            <wp:extent cx="7202805" cy="285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805" cy="285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-932180</wp:posOffset>
            </wp:positionV>
            <wp:extent cx="7202805" cy="932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805" cy="9328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b w:val="1"/>
          <w:bCs w:val="1"/>
          <w:color w:val="auto"/>
        </w:rPr>
        <w:t>126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40"/>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(13,138)</w:t>
        <w:tab/>
        <w:t>2,640,180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37,768</w:t>
      </w:r>
    </w:p>
    <w:p>
      <w:pPr>
        <w:spacing w:after="0" w:line="200" w:lineRule="exact"/>
        <w:rPr>
          <w:sz w:val="20"/>
          <w:szCs w:val="20"/>
          <w:color w:val="auto"/>
        </w:rPr>
      </w:pPr>
    </w:p>
    <w:p>
      <w:pPr>
        <w:spacing w:after="0" w:line="223"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(1,656)</w:t>
        <w:tab/>
        <w:t>218,814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60" w:hanging="584"/>
        <w:spacing w:after="0"/>
        <w:tabs>
          <w:tab w:leader="none" w:pos="116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(2,709)</w:t>
      </w:r>
    </w:p>
    <w:p>
      <w:pPr>
        <w:spacing w:after="0" w:line="216" w:lineRule="exact"/>
        <w:rPr>
          <w:rFonts w:ascii="Times New Roman" w:cs="Times New Roman" w:eastAsia="Times New Roman" w:hAnsi="Times New Roman"/>
          <w:sz w:val="16"/>
          <w:szCs w:val="16"/>
          <w:b w:val="1"/>
          <w:bCs w:val="1"/>
          <w:color w:val="auto"/>
        </w:rPr>
      </w:pPr>
    </w:p>
    <w:p>
      <w:pPr>
        <w:ind w:left="11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10,584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tabs>
          <w:tab w:leader="none" w:pos="140" w:val="left"/>
        </w:tabs>
        <w:rPr>
          <w:sz w:val="20"/>
          <w:szCs w:val="20"/>
          <w:color w:val="auto"/>
        </w:rPr>
      </w:pPr>
      <w:r>
        <w:rPr>
          <w:rFonts w:ascii="Times New Roman" w:cs="Times New Roman" w:eastAsia="Times New Roman" w:hAnsi="Times New Roman"/>
          <w:sz w:val="16"/>
          <w:szCs w:val="16"/>
          <w:b w:val="1"/>
          <w:bCs w:val="1"/>
          <w:color w:val="auto"/>
        </w:rPr>
        <w:t>$</w:t>
        <w:tab/>
        <w:t>(14,704) $2,904,583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1009650" cy="31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09650" cy="31115"/>
                    </a:xfrm>
                    <a:prstGeom prst="rect">
                      <a:avLst/>
                    </a:prstGeom>
                    <a:noFill/>
                  </pic:spPr>
                </pic:pic>
              </a:graphicData>
            </a:graphic>
          </wp:anchor>
        </w:drawing>
      </w:r>
    </w:p>
    <w:p>
      <w:pPr>
        <w:spacing w:after="0" w:line="1758" w:lineRule="exact"/>
        <w:rPr>
          <w:sz w:val="20"/>
          <w:szCs w:val="20"/>
          <w:color w:val="auto"/>
        </w:rPr>
      </w:pPr>
    </w:p>
    <w:p>
      <w:pPr>
        <w:sectPr>
          <w:pgSz w:w="11900" w:h="16838" w:orient="portrait"/>
          <w:cols w:equalWidth="0" w:num="2">
            <w:col w:w="9640" w:space="60"/>
            <w:col w:w="1640"/>
          </w:cols>
          <w:pgMar w:left="320" w:top="121" w:right="239" w:bottom="1440" w:gutter="0" w:footer="0" w:header="0"/>
        </w:sect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3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6"/>
        </w:trPr>
        <w:tc>
          <w:tcPr>
            <w:tcW w:w="7680" w:type="dxa"/>
            <w:vAlign w:val="bottom"/>
            <w:gridSpan w:val="3"/>
          </w:tcPr>
          <w:p>
            <w:pPr>
              <w:jc w:val="center"/>
              <w:ind w:left="3379"/>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80" w:type="dxa"/>
            <w:vAlign w:val="bottom"/>
            <w:gridSpan w:val="3"/>
          </w:tcPr>
          <w:p>
            <w:pPr>
              <w:jc w:val="center"/>
              <w:ind w:left="337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200" w:type="dxa"/>
            <w:vAlign w:val="bottom"/>
          </w:tcPr>
          <w:p>
            <w:pPr>
              <w:jc w:val="center"/>
              <w:ind w:left="385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gridSpan w:val="7"/>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7"/>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 OPERATING ACTIVITIES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profit for the period</w:t>
            </w:r>
          </w:p>
        </w:tc>
        <w:tc>
          <w:tcPr>
            <w:tcW w:w="4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218,814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207,222</w:t>
            </w:r>
          </w:p>
        </w:tc>
        <w:tc>
          <w:tcPr>
            <w:tcW w:w="22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519,530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Adjustments to reconcile net profit for the period</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to net cash provided by operating activities: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Income and expense items not involving cash flows: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303,112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266,279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258,021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Exchange rate differences and fair value adjustments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133</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(1,632)</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Other expense (income), net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10,527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24,721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(7,047)</w:t>
            </w:r>
          </w:p>
        </w:tc>
        <w:tc>
          <w:tcPr>
            <w:tcW w:w="0" w:type="dxa"/>
            <w:vAlign w:val="bottom"/>
          </w:tcPr>
          <w:p>
            <w:pPr>
              <w:spacing w:after="0"/>
              <w:rPr>
                <w:sz w:val="1"/>
                <w:szCs w:val="1"/>
                <w:color w:val="auto"/>
              </w:rPr>
            </w:pPr>
          </w:p>
        </w:tc>
      </w:tr>
      <w:tr>
        <w:trPr>
          <w:trHeight w:val="206"/>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Changes in assets and liabilities: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Trade accounts receivable</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(10,498)</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(60,169)</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(3,160)</w:t>
            </w:r>
          </w:p>
        </w:tc>
        <w:tc>
          <w:tcPr>
            <w:tcW w:w="0" w:type="dxa"/>
            <w:vAlign w:val="bottom"/>
          </w:tcPr>
          <w:p>
            <w:pPr>
              <w:spacing w:after="0"/>
              <w:rPr>
                <w:sz w:val="1"/>
                <w:szCs w:val="1"/>
                <w:color w:val="auto"/>
              </w:rPr>
            </w:pPr>
          </w:p>
        </w:tc>
      </w:tr>
      <w:tr>
        <w:trPr>
          <w:trHeight w:val="206"/>
        </w:trPr>
        <w:tc>
          <w:tcPr>
            <w:tcW w:w="720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(25,453)</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(33,992)</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(9,541)</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11,800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4,778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Other long term assets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(106,188)</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Trade accounts payable</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(12,157)</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35,784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(8,254)</w:t>
            </w:r>
          </w:p>
        </w:tc>
        <w:tc>
          <w:tcPr>
            <w:tcW w:w="0" w:type="dxa"/>
            <w:vAlign w:val="bottom"/>
          </w:tcPr>
          <w:p>
            <w:pPr>
              <w:spacing w:after="0"/>
              <w:rPr>
                <w:sz w:val="1"/>
                <w:szCs w:val="1"/>
                <w:color w:val="auto"/>
              </w:rPr>
            </w:pPr>
          </w:p>
        </w:tc>
      </w:tr>
      <w:tr>
        <w:trPr>
          <w:trHeight w:val="206"/>
        </w:trPr>
        <w:tc>
          <w:tcPr>
            <w:tcW w:w="720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Deferred revenue and customers' advances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(1,832)</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(14,783)</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(35,676)</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Employee related liabilities and other current liabilities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12,029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22,021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(70,163)</w:t>
            </w:r>
          </w:p>
        </w:tc>
        <w:tc>
          <w:tcPr>
            <w:tcW w:w="0" w:type="dxa"/>
            <w:vAlign w:val="bottom"/>
          </w:tcPr>
          <w:p>
            <w:pPr>
              <w:spacing w:after="0"/>
              <w:rPr>
                <w:sz w:val="1"/>
                <w:szCs w:val="1"/>
                <w:color w:val="auto"/>
              </w:rPr>
            </w:pPr>
          </w:p>
        </w:tc>
      </w:tr>
      <w:tr>
        <w:trPr>
          <w:trHeight w:val="206"/>
        </w:trPr>
        <w:tc>
          <w:tcPr>
            <w:tcW w:w="720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Long-term employee related liabilities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(1,312)</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(1,210)</w:t>
            </w:r>
          </w:p>
        </w:tc>
        <w:tc>
          <w:tcPr>
            <w:tcW w:w="0" w:type="dxa"/>
            <w:vAlign w:val="bottom"/>
          </w:tcPr>
          <w:p>
            <w:pPr>
              <w:spacing w:after="0"/>
              <w:rPr>
                <w:sz w:val="1"/>
                <w:szCs w:val="1"/>
                <w:color w:val="auto"/>
              </w:rPr>
            </w:pPr>
          </w:p>
        </w:tc>
      </w:tr>
      <w:tr>
        <w:trPr>
          <w:trHeight w:val="211"/>
        </w:trPr>
        <w:tc>
          <w:tcPr>
            <w:tcW w:w="7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Other long-term liabilities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(6,196)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27,011</w:t>
            </w:r>
          </w:p>
        </w:tc>
        <w:tc>
          <w:tcPr>
            <w:tcW w:w="0" w:type="dxa"/>
            <w:vAlign w:val="bottom"/>
          </w:tcPr>
          <w:p>
            <w:pPr>
              <w:spacing w:after="0"/>
              <w:rPr>
                <w:sz w:val="1"/>
                <w:szCs w:val="1"/>
                <w:color w:val="auto"/>
              </w:rPr>
            </w:pPr>
          </w:p>
        </w:tc>
      </w:tr>
      <w:tr>
        <w:trPr>
          <w:trHeight w:val="211"/>
        </w:trPr>
        <w:tc>
          <w:tcPr>
            <w:tcW w:w="7200" w:type="dxa"/>
            <w:vAlign w:val="bottom"/>
            <w:tcBorders>
              <w:top w:val="single" w:sz="8" w:color="CCEEFF"/>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395,482</w:t>
            </w: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448,682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676,561</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 INVESTING ACTIVITIES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Investments in property and equipment, net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(444,425)</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(436,153)</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(444,502)</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Proceeds related to sale and disposal of property and equipment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7,864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12,318</w:t>
            </w:r>
          </w:p>
        </w:tc>
        <w:tc>
          <w:tcPr>
            <w:tcW w:w="0" w:type="dxa"/>
            <w:vAlign w:val="bottom"/>
          </w:tcPr>
          <w:p>
            <w:pPr>
              <w:spacing w:after="0"/>
              <w:rPr>
                <w:sz w:val="1"/>
                <w:szCs w:val="1"/>
                <w:color w:val="auto"/>
              </w:rPr>
            </w:pPr>
          </w:p>
        </w:tc>
      </w:tr>
      <w:tr>
        <w:trPr>
          <w:trHeight w:val="206"/>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Proceeds from investment realization</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12,458</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Investments in other assets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(530)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(605)</w:t>
            </w:r>
          </w:p>
        </w:tc>
        <w:tc>
          <w:tcPr>
            <w:tcW w:w="0" w:type="dxa"/>
            <w:vAlign w:val="bottom"/>
          </w:tcPr>
          <w:p>
            <w:pPr>
              <w:spacing w:after="0"/>
              <w:rPr>
                <w:sz w:val="1"/>
                <w:szCs w:val="1"/>
                <w:color w:val="auto"/>
              </w:rPr>
            </w:pPr>
          </w:p>
        </w:tc>
      </w:tr>
      <w:tr>
        <w:trPr>
          <w:trHeight w:val="211"/>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Deposits and marketable securities, net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38,470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31,882</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(300,516)</w:t>
            </w:r>
          </w:p>
        </w:tc>
        <w:tc>
          <w:tcPr>
            <w:tcW w:w="0" w:type="dxa"/>
            <w:vAlign w:val="bottom"/>
          </w:tcPr>
          <w:p>
            <w:pPr>
              <w:spacing w:after="0"/>
              <w:rPr>
                <w:sz w:val="1"/>
                <w:szCs w:val="1"/>
                <w:color w:val="auto"/>
              </w:rPr>
            </w:pPr>
          </w:p>
        </w:tc>
      </w:tr>
      <w:tr>
        <w:trPr>
          <w:trHeight w:val="211"/>
        </w:trPr>
        <w:tc>
          <w:tcPr>
            <w:tcW w:w="7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(398,091)</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(400,239)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(720,847)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 FINANCING ACTIVITIES</w:t>
            </w: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Proceeds from loans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13,808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81,812</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24,180</w:t>
            </w:r>
          </w:p>
        </w:tc>
        <w:tc>
          <w:tcPr>
            <w:tcW w:w="0" w:type="dxa"/>
            <w:vAlign w:val="bottom"/>
          </w:tcPr>
          <w:p>
            <w:pPr>
              <w:spacing w:after="0"/>
              <w:rPr>
                <w:sz w:val="1"/>
                <w:szCs w:val="1"/>
                <w:color w:val="auto"/>
              </w:rPr>
            </w:pPr>
          </w:p>
        </w:tc>
      </w:tr>
      <w:tr>
        <w:trPr>
          <w:trHeight w:val="206"/>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Loans repayment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(19,819)</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(76,144)</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Principal payments on account of capital lease obligation</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(27,342)</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(38,123)</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(38,033)</w:t>
            </w:r>
          </w:p>
        </w:tc>
        <w:tc>
          <w:tcPr>
            <w:tcW w:w="0" w:type="dxa"/>
            <w:vAlign w:val="bottom"/>
          </w:tcPr>
          <w:p>
            <w:pPr>
              <w:spacing w:after="0"/>
              <w:rPr>
                <w:sz w:val="1"/>
                <w:szCs w:val="1"/>
                <w:color w:val="auto"/>
              </w:rPr>
            </w:pPr>
          </w:p>
        </w:tc>
      </w:tr>
      <w:tr>
        <w:trPr>
          <w:trHeight w:val="206"/>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Debentures repayment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(18,493)</w:t>
            </w:r>
          </w:p>
        </w:tc>
        <w:tc>
          <w:tcPr>
            <w:tcW w:w="0" w:type="dxa"/>
            <w:vAlign w:val="bottom"/>
          </w:tcPr>
          <w:p>
            <w:pPr>
              <w:spacing w:after="0"/>
              <w:rPr>
                <w:sz w:val="1"/>
                <w:szCs w:val="1"/>
                <w:color w:val="auto"/>
              </w:rPr>
            </w:pPr>
          </w:p>
        </w:tc>
      </w:tr>
      <w:tr>
        <w:trPr>
          <w:trHeight w:val="211"/>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Proceeds from an investment in a subsidiary</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0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(33,353)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(32,455)</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(30,414)</w:t>
            </w:r>
          </w:p>
        </w:tc>
        <w:tc>
          <w:tcPr>
            <w:tcW w:w="0" w:type="dxa"/>
            <w:vAlign w:val="bottom"/>
          </w:tcPr>
          <w:p>
            <w:pPr>
              <w:spacing w:after="0"/>
              <w:rPr>
                <w:sz w:val="1"/>
                <w:szCs w:val="1"/>
                <w:color w:val="auto"/>
              </w:rPr>
            </w:pPr>
          </w:p>
        </w:tc>
      </w:tr>
      <w:tr>
        <w:trPr>
          <w:trHeight w:val="246"/>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EFFECT OF FOREIGN CURRENCY EXCHANGE RATE CHANGE</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(563)</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(4,758)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(5,395)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3"/>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INCREASE (DECREASE) IN CASH AND CASH EQUIVALENTS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(36,525)</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11,230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(80,095)</w:t>
            </w:r>
          </w:p>
        </w:tc>
        <w:tc>
          <w:tcPr>
            <w:tcW w:w="0" w:type="dxa"/>
            <w:vAlign w:val="bottom"/>
          </w:tcPr>
          <w:p>
            <w:pPr>
              <w:spacing w:after="0"/>
              <w:rPr>
                <w:sz w:val="1"/>
                <w:szCs w:val="1"/>
                <w:color w:val="auto"/>
              </w:rPr>
            </w:pPr>
          </w:p>
        </w:tc>
      </w:tr>
      <w:tr>
        <w:trPr>
          <w:trHeight w:val="211"/>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CASH AND CASH EQUIVALENTS - BEGINNING OF PERIOD</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271,894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260,664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340,759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 AND CASH EQUIVALENTS - END OF PERIOD</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235,369</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271,894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260,664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40"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20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Investments in property and equipment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56,515</w:t>
            </w:r>
          </w:p>
        </w:tc>
        <w:tc>
          <w:tcPr>
            <w:tcW w:w="2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50,440</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164,667</w:t>
            </w:r>
          </w:p>
        </w:tc>
        <w:tc>
          <w:tcPr>
            <w:tcW w:w="12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5"/>
        </w:trPr>
        <w:tc>
          <w:tcPr>
            <w:tcW w:w="7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Right-of-use asset recognized with corresponding lease liability,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11,709</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95"/>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Cash received during the period from interest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58,572</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53,613</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30,475</w:t>
            </w:r>
          </w:p>
        </w:tc>
      </w:tr>
      <w:tr>
        <w:trPr>
          <w:trHeight w:val="195"/>
        </w:trPr>
        <w:tc>
          <w:tcPr>
            <w:tcW w:w="732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Cash paid during the period for interest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4,736</w:t>
            </w: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4,255</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4,519</w:t>
            </w:r>
          </w:p>
        </w:tc>
        <w:tc>
          <w:tcPr>
            <w:tcW w:w="120" w:type="dxa"/>
            <w:vAlign w:val="bottom"/>
            <w:tcBorders>
              <w:top w:val="single" w:sz="8" w:color="CCEEFF"/>
            </w:tcBorders>
          </w:tcPr>
          <w:p>
            <w:pPr>
              <w:spacing w:after="0"/>
              <w:rPr>
                <w:sz w:val="16"/>
                <w:szCs w:val="16"/>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5"/>
        </w:trPr>
        <w:tc>
          <w:tcPr>
            <w:tcW w:w="7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Cash paid for income tax, net during the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20,343</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23,488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12,379</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w:t>
        <w:tab/>
        <w:t>DESCRIPTION OF BUSINESS AND GENERAL</w:t>
      </w:r>
    </w:p>
    <w:p>
      <w:pPr>
        <w:spacing w:after="0" w:line="255" w:lineRule="exact"/>
        <w:rPr>
          <w:sz w:val="20"/>
          <w:szCs w:val="20"/>
          <w:color w:val="auto"/>
        </w:rPr>
      </w:pPr>
    </w:p>
    <w:p>
      <w:pPr>
        <w:jc w:val="both"/>
        <w:ind w:left="900"/>
        <w:spacing w:after="0" w:line="267" w:lineRule="auto"/>
        <w:rPr>
          <w:sz w:val="20"/>
          <w:szCs w:val="20"/>
          <w:color w:val="auto"/>
        </w:rPr>
      </w:pPr>
      <w:r>
        <w:rPr>
          <w:rFonts w:ascii="Times New Roman" w:cs="Times New Roman" w:eastAsia="Times New Roman" w:hAnsi="Times New Roman"/>
          <w:sz w:val="16"/>
          <w:szCs w:val="16"/>
          <w:color w:val="auto"/>
        </w:rPr>
        <w:t>The consolidated financial statements of Tower Semiconductor Ltd. (“Tower”) include the financial statements of Tower, and (i) its wholly-owned subsidiary Tower US Holdings Inc., the sole owner of: (1) Tower Semiconductor NPB Holdings, Inc., its wholly-owned subsidiary, Tower Semiconductor Newport Beach, Inc., an independent semiconductor foundry and its wholly-owned subsidiary Newport Fab LLC (Tower Semiconductor NPB Holdings, Inc., Tower Semiconductor Newport Beach, Inc. and Newport Fab LLC, collectively referred to herein as “TSNB”); and (2) Tower Semiconductor San Antonio, Inc. (“TSSA”); (ii) its 51% owned subsidiary, Tower Partners Semiconductor Co., Ltd. (“TPSCo”), an independent semiconductor foundry which operated three semiconductor facilities located in Tonami, Uozu and Arai in Hokuriku Japan, (one of which, the Arai facility, ceased its operations in 2022, see Note 12B(ii), with the other 49% of TPSCo’s shares held by Nuvoton Technology Corporation Japan (“NTCJ”), formerly named “Panasonic Semiconductor Systems Co., Ltd.” (“PSCS”); and (iii) its wholly-owned subsidiary Tower Semiconductor Italy S.r.l. (“TSIT”), incorporated in 2021 following the collaborative arrangement signed in 2021 with ST Microelectronics S.r.l (“ST”) with regards to ST’s 300 mm facility in Agrate, Italy (see Note 12E).</w:t>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Tower and its subsidiaries are collectively referred to as the “Company”.</w:t>
      </w:r>
    </w:p>
    <w:p>
      <w:pPr>
        <w:spacing w:after="0" w:line="217" w:lineRule="exact"/>
        <w:rPr>
          <w:sz w:val="20"/>
          <w:szCs w:val="20"/>
          <w:color w:val="auto"/>
        </w:rPr>
      </w:pPr>
    </w:p>
    <w:p>
      <w:pPr>
        <w:jc w:val="both"/>
        <w:ind w:left="900"/>
        <w:spacing w:after="0" w:line="267" w:lineRule="auto"/>
        <w:rPr>
          <w:sz w:val="20"/>
          <w:szCs w:val="20"/>
          <w:color w:val="auto"/>
        </w:rPr>
      </w:pPr>
      <w:r>
        <w:rPr>
          <w:rFonts w:ascii="Times New Roman" w:cs="Times New Roman" w:eastAsia="Times New Roman" w:hAnsi="Times New Roman"/>
          <w:sz w:val="16"/>
          <w:szCs w:val="16"/>
          <w:color w:val="auto"/>
        </w:rPr>
        <w:t>The Company is a leading global analog foundry of high value semiconductor solutions, providing technology, development and process platforms for its customers in growing markets such as consumer, industrial, automotive, mobile, infrastructure, medical and aerospace and defense, The Company offers a broad range of advanced and innovative analog technology offering, comprised of a broad range of customizable process technologies including: SiPho, SiGe, BiCMOS, mixed signal/ CMOS, RF CMOS, CMOS image sensor, non-imaging sensors, displays and integrated power management. The Company also provides a world-class design enablement platform for a quick and accurate design cycle, as well as development, transfer and optimization services to integrated device manufacturers and fabless companies that require capacity. To provide multi-fab sourcing and expanded capacities and capabilities for its customers, as of December 31, 2025, the Company owns a facility in Israel (200mm), two facilities in the U.S. (200mm), two in Japan through its 51% holding in TPSCo (200mm and 300mm) and shares a clean room and capacity in a 300mm facility in Italy with ST.</w:t>
      </w:r>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Tower’s ordinary shares are traded on the NASDAQ Global Select Market and on the Tel-Aviv Stock Exchange (“TASE”) under the symbol TSEM.</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w:t>
      </w:r>
    </w:p>
    <w:p>
      <w:pPr>
        <w:spacing w:after="0" w:line="253" w:lineRule="exact"/>
        <w:rPr>
          <w:sz w:val="20"/>
          <w:szCs w:val="20"/>
          <w:color w:val="auto"/>
        </w:rPr>
      </w:pPr>
    </w:p>
    <w:p>
      <w:pPr>
        <w:ind w:left="1240" w:hanging="345"/>
        <w:spacing w:after="0"/>
        <w:tabs>
          <w:tab w:leader="none" w:pos="124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w:t>
      </w:r>
    </w:p>
    <w:p>
      <w:pPr>
        <w:spacing w:after="0" w:line="255"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consolidated financial statements are presented in accordance with U.S. generally accepted accounting principles (“US GAAP”).</w:t>
      </w:r>
    </w:p>
    <w:p>
      <w:pPr>
        <w:spacing w:after="0" w:line="263"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Use of Estimates in Preparation of Financial Statements</w:t>
      </w:r>
    </w:p>
    <w:p>
      <w:pPr>
        <w:spacing w:after="0" w:line="255" w:lineRule="exact"/>
        <w:rPr>
          <w:rFonts w:ascii="Times New Roman" w:cs="Times New Roman" w:eastAsia="Times New Roman" w:hAnsi="Times New Roman"/>
          <w:sz w:val="16"/>
          <w:szCs w:val="16"/>
          <w:b w:val="1"/>
          <w:bCs w:val="1"/>
          <w:color w:val="auto"/>
        </w:rPr>
      </w:pPr>
    </w:p>
    <w:p>
      <w:pPr>
        <w:jc w:val="both"/>
        <w:ind w:left="1240"/>
        <w:spacing w:after="0" w:line="27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preparation of financial statements in conformity with US GAAP requires the Company to make estimates and assumptions that affect the reported amounts of assets and liabilities, the disclosure of contingent assets and liabilities as of the date of the financial statements, and the reported amounts of revenue and expenses during the reporting periods. Actual results could differ from those estimates.</w:t>
      </w:r>
    </w:p>
    <w:p>
      <w:pPr>
        <w:spacing w:after="0" w:line="208"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Principals of Consolidation</w:t>
      </w:r>
    </w:p>
    <w:p>
      <w:pPr>
        <w:spacing w:after="0" w:line="255" w:lineRule="exact"/>
        <w:rPr>
          <w:rFonts w:ascii="Times New Roman" w:cs="Times New Roman" w:eastAsia="Times New Roman" w:hAnsi="Times New Roman"/>
          <w:sz w:val="16"/>
          <w:szCs w:val="16"/>
          <w:b w:val="1"/>
          <w:bCs w:val="1"/>
          <w:color w:val="auto"/>
        </w:rPr>
      </w:pPr>
    </w:p>
    <w:p>
      <w:pPr>
        <w:ind w:left="124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consolidated financial statements include the financial statements of Tower and its subsidiaries. The Company’s consolidated financial statements are presented after the elimination of inter-company transactions and balances.</w:t>
      </w:r>
    </w:p>
    <w:p>
      <w:pPr>
        <w:spacing w:after="0" w:line="176"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Reclassifications</w:t>
      </w:r>
    </w:p>
    <w:p>
      <w:pPr>
        <w:spacing w:after="0" w:line="255"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Certain prior year amounts have been reclassified to conform to the current financial statement presentation.</w:t>
      </w:r>
    </w:p>
    <w:p>
      <w:pPr>
        <w:spacing w:after="0" w:line="263"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 and Cash Equivalents</w:t>
      </w:r>
    </w:p>
    <w:p>
      <w:pPr>
        <w:spacing w:after="0" w:line="255" w:lineRule="exact"/>
        <w:rPr>
          <w:rFonts w:ascii="Times New Roman" w:cs="Times New Roman" w:eastAsia="Times New Roman" w:hAnsi="Times New Roman"/>
          <w:sz w:val="16"/>
          <w:szCs w:val="16"/>
          <w:b w:val="1"/>
          <w:bCs w:val="1"/>
          <w:color w:val="auto"/>
        </w:rPr>
      </w:pPr>
    </w:p>
    <w:p>
      <w:pPr>
        <w:ind w:left="124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Cash and cash equivalents consist of cash, highly liquid bank deposits and money market funds readily convertible to known amounts of cash with original maturities of three months or less as of the date of its purchase.</w:t>
      </w:r>
    </w:p>
    <w:p>
      <w:pPr>
        <w:spacing w:after="0" w:line="176"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Short Term Interest-Bearing Deposits</w:t>
      </w:r>
    </w:p>
    <w:p>
      <w:pPr>
        <w:spacing w:after="0" w:line="255" w:lineRule="exact"/>
        <w:rPr>
          <w:rFonts w:ascii="Times New Roman" w:cs="Times New Roman" w:eastAsia="Times New Roman" w:hAnsi="Times New Roman"/>
          <w:sz w:val="16"/>
          <w:szCs w:val="16"/>
          <w:b w:val="1"/>
          <w:bCs w:val="1"/>
          <w:color w:val="auto"/>
        </w:rPr>
      </w:pPr>
    </w:p>
    <w:p>
      <w:pPr>
        <w:ind w:left="124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Short-term deposits include bank deposits with original maturities greater than three months and with remaining maturities of less than one year. Such deposits are presented at cost plus accrued interest, which approximates their fair value.</w:t>
      </w:r>
    </w:p>
    <w:p>
      <w:pPr>
        <w:spacing w:after="0" w:line="176"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Trade Accounts Receivable - Allowance for Expected Credit Loss</w:t>
      </w:r>
    </w:p>
    <w:p>
      <w:pPr>
        <w:spacing w:after="0" w:line="255" w:lineRule="exact"/>
        <w:rPr>
          <w:rFonts w:ascii="Times New Roman" w:cs="Times New Roman" w:eastAsia="Times New Roman" w:hAnsi="Times New Roman"/>
          <w:sz w:val="16"/>
          <w:szCs w:val="16"/>
          <w:b w:val="1"/>
          <w:bCs w:val="1"/>
          <w:color w:val="auto"/>
        </w:rPr>
      </w:pPr>
    </w:p>
    <w:p>
      <w:pPr>
        <w:jc w:val="both"/>
        <w:ind w:left="1240"/>
        <w:spacing w:after="0" w:line="27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The Company maintains an allowance based on specific analysis of each customer account receivable’s aging, assessment of its related risk and ability of the customer to make the required payment. In addition, in accordance with ASC 326, </w:t>
      </w:r>
      <w:r>
        <w:rPr>
          <w:rFonts w:ascii="Times New Roman" w:cs="Times New Roman" w:eastAsia="Times New Roman" w:hAnsi="Times New Roman"/>
          <w:sz w:val="16"/>
          <w:szCs w:val="16"/>
          <w:i w:val="1"/>
          <w:iCs w:val="1"/>
          <w:color w:val="auto"/>
        </w:rPr>
        <w:t>"Financial Instruments - Credit Losses"</w:t>
      </w:r>
      <w:r>
        <w:rPr>
          <w:rFonts w:ascii="Times New Roman" w:cs="Times New Roman" w:eastAsia="Times New Roman" w:hAnsi="Times New Roman"/>
          <w:sz w:val="16"/>
          <w:szCs w:val="16"/>
          <w:color w:val="auto"/>
        </w:rPr>
        <w:t>, an allowance is maintained for such estimated expected losses. The amount of the allowance is determined principally on the basis of past collection experience and known financial factors regarding specific customers. Trade accounts receivable are written off using this allowance when it is probable that collection will not occur. Credit is extended to customers satisfying pre-defined credit criteria.</w:t>
      </w:r>
    </w:p>
    <w:p>
      <w:pPr>
        <w:spacing w:after="0" w:line="167"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total allowance for expected credit losses was $4,602 and $4,982 as of December 31, 2025 and 2024,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 w:name="page17"/>
    <w:bookmarkEnd w:id="16"/>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 (continued)</w:t>
      </w:r>
    </w:p>
    <w:p>
      <w:pPr>
        <w:spacing w:after="0" w:line="253" w:lineRule="exact"/>
        <w:rPr>
          <w:sz w:val="20"/>
          <w:szCs w:val="20"/>
          <w:color w:val="auto"/>
        </w:rPr>
      </w:pPr>
    </w:p>
    <w:p>
      <w:pPr>
        <w:ind w:left="1240" w:hanging="345"/>
        <w:spacing w:after="0"/>
        <w:tabs>
          <w:tab w:leader="none" w:pos="124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Inventories</w:t>
      </w:r>
    </w:p>
    <w:p>
      <w:pPr>
        <w:spacing w:after="0" w:line="255" w:lineRule="exact"/>
        <w:rPr>
          <w:rFonts w:ascii="Times New Roman" w:cs="Times New Roman" w:eastAsia="Times New Roman" w:hAnsi="Times New Roman"/>
          <w:sz w:val="16"/>
          <w:szCs w:val="16"/>
          <w:b w:val="1"/>
          <w:bCs w:val="1"/>
          <w:color w:val="auto"/>
        </w:rPr>
      </w:pP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Inventories are stated at the lower of aggregate cost or net realizable value. If inventory costs exceed expected net realizable value, the Company writes down the difference between the cost and the expected net realizable value. Cost of raw materials is determined mainly on the basis of the weighted average moving price per unit. Work in progress is measured at cost including acquisition costs, processing costs and other costs incurred in bringing the inventories to their present stage.</w:t>
      </w:r>
    </w:p>
    <w:p>
      <w:pPr>
        <w:spacing w:after="0" w:line="210"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Investments in Privately Held Companies</w:t>
      </w:r>
    </w:p>
    <w:p>
      <w:pPr>
        <w:spacing w:after="0" w:line="267"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Long-term investments include equity investments in privately-held companies without readily determinable fair values. In accordance with ASC 321 - </w:t>
      </w:r>
      <w:r>
        <w:rPr>
          <w:rFonts w:ascii="Times New Roman" w:cs="Times New Roman" w:eastAsia="Times New Roman" w:hAnsi="Times New Roman"/>
          <w:sz w:val="16"/>
          <w:szCs w:val="16"/>
          <w:i w:val="1"/>
          <w:iCs w:val="1"/>
          <w:color w:val="auto"/>
        </w:rPr>
        <w:t xml:space="preserve">“Investments - Equity Securities”, </w:t>
      </w:r>
      <w:r>
        <w:rPr>
          <w:rFonts w:ascii="Times New Roman" w:cs="Times New Roman" w:eastAsia="Times New Roman" w:hAnsi="Times New Roman"/>
          <w:sz w:val="16"/>
          <w:szCs w:val="16"/>
          <w:color w:val="auto"/>
        </w:rPr>
        <w:t>the Company may elect to measure those investments either at fair value, or at cost less any impairment and changes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resulting from observable price changes in orderly transactions for the identical or similar investment of the same issuer (“Measurement Alternative”). The Company elected to use the Measurement Alternative for each of its investments. Any adjustments resulting from impairments and/or observable price changes are recorded under “other income (expense), net” in the consolidated statements of operations. See also Note 2L below.</w:t>
      </w:r>
    </w:p>
    <w:p>
      <w:pPr>
        <w:spacing w:after="0" w:line="217"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and Equipment</w:t>
      </w:r>
    </w:p>
    <w:p>
      <w:pPr>
        <w:spacing w:after="0" w:line="265" w:lineRule="exact"/>
        <w:rPr>
          <w:rFonts w:ascii="Times New Roman" w:cs="Times New Roman" w:eastAsia="Times New Roman" w:hAnsi="Times New Roman"/>
          <w:sz w:val="16"/>
          <w:szCs w:val="16"/>
          <w:b w:val="1"/>
          <w:bCs w:val="1"/>
          <w:color w:val="auto"/>
        </w:rPr>
      </w:pPr>
    </w:p>
    <w:p>
      <w:pPr>
        <w:jc w:val="both"/>
        <w:ind w:left="124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accounts for property and equipment in accordance with Accounting Standards Codification ASC 360 “</w:t>
      </w:r>
      <w:r>
        <w:rPr>
          <w:rFonts w:ascii="Times New Roman" w:cs="Times New Roman" w:eastAsia="Times New Roman" w:hAnsi="Times New Roman"/>
          <w:sz w:val="16"/>
          <w:szCs w:val="16"/>
          <w:i w:val="1"/>
          <w:iCs w:val="1"/>
          <w:color w:val="auto"/>
        </w:rPr>
        <w:t>Accounting for the Property, Plant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Equipment</w:t>
      </w:r>
      <w:r>
        <w:rPr>
          <w:rFonts w:ascii="Times New Roman" w:cs="Times New Roman" w:eastAsia="Times New Roman" w:hAnsi="Times New Roman"/>
          <w:sz w:val="16"/>
          <w:szCs w:val="16"/>
          <w:color w:val="auto"/>
        </w:rPr>
        <w:t>”. Property and equipment are presented at cost, including capitalizable costs. Capitalizable costs include only costs that are identifiable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and related to, the property and equipment, and are incurred prior to their initial operation. Identifiable incremental direct costs include costs associated with constructing, establishing, and installing facilities and equipment, as well as technology transfer.</w:t>
      </w:r>
    </w:p>
    <w:p>
      <w:pPr>
        <w:spacing w:after="0" w:line="211"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Maintenance and repairs are charged to expenses as incurred.</w:t>
      </w:r>
    </w:p>
    <w:p>
      <w:pPr>
        <w:spacing w:after="0" w:line="265" w:lineRule="exact"/>
        <w:rPr>
          <w:rFonts w:ascii="Times New Roman" w:cs="Times New Roman" w:eastAsia="Times New Roman" w:hAnsi="Times New Roman"/>
          <w:sz w:val="16"/>
          <w:szCs w:val="16"/>
          <w:b w:val="1"/>
          <w:bCs w:val="1"/>
          <w:color w:val="auto"/>
        </w:rPr>
      </w:pPr>
    </w:p>
    <w:p>
      <w:pPr>
        <w:ind w:left="1240" w:right="1360"/>
        <w:spacing w:after="0" w:line="58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Property and equipment are presented net of investment grants and government subsidies received and less accumulated depreciation. Depreciation is calculated based on the straight-line method over the Company’s estimated useful lives of the assets, as follows:</w:t>
      </w:r>
    </w:p>
    <w:p>
      <w:pPr>
        <w:spacing w:after="0" w:line="1" w:lineRule="exact"/>
        <w:rPr>
          <w:rFonts w:ascii="Times New Roman" w:cs="Times New Roman" w:eastAsia="Times New Roman" w:hAnsi="Times New Roman"/>
          <w:sz w:val="16"/>
          <w:szCs w:val="16"/>
          <w:b w:val="1"/>
          <w:bCs w:val="1"/>
          <w:color w:val="auto"/>
        </w:rPr>
      </w:pPr>
    </w:p>
    <w:p>
      <w:pPr>
        <w:ind w:left="1620" w:hanging="360"/>
        <w:spacing w:after="0"/>
        <w:tabs>
          <w:tab w:leader="none" w:pos="162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Buildings and building improvements, including facility infrastructure: 7-25 years.</w:t>
      </w:r>
    </w:p>
    <w:p>
      <w:pPr>
        <w:spacing w:after="0" w:line="265" w:lineRule="exact"/>
        <w:rPr>
          <w:rFonts w:ascii="Times New Roman" w:cs="Times New Roman" w:eastAsia="Times New Roman" w:hAnsi="Times New Roman"/>
          <w:sz w:val="16"/>
          <w:szCs w:val="16"/>
          <w:color w:val="auto"/>
        </w:rPr>
      </w:pPr>
    </w:p>
    <w:p>
      <w:pPr>
        <w:ind w:left="1620" w:hanging="360"/>
        <w:spacing w:after="0"/>
        <w:tabs>
          <w:tab w:leader="none" w:pos="162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Machinery and equipment: 15 years.</w:t>
      </w:r>
    </w:p>
    <w:p>
      <w:pPr>
        <w:spacing w:after="0" w:line="265" w:lineRule="exact"/>
        <w:rPr>
          <w:rFonts w:ascii="Times New Roman" w:cs="Times New Roman" w:eastAsia="Times New Roman" w:hAnsi="Times New Roman"/>
          <w:sz w:val="16"/>
          <w:szCs w:val="16"/>
          <w:color w:val="auto"/>
        </w:rPr>
      </w:pPr>
    </w:p>
    <w:p>
      <w:pPr>
        <w:ind w:left="1620" w:hanging="360"/>
        <w:spacing w:after="0"/>
        <w:tabs>
          <w:tab w:leader="none" w:pos="162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Software, hardware and others: 3-11 years.</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Impairment charges, if needed, are determined based on the policy outlined in Note 2L below.</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Property and equipment also include assets under capital leases, which are depreciated over their applicable useful life.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17" w:name="page18"/>
    <w:bookmarkEnd w:id="17"/>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 (continued)</w:t>
      </w:r>
    </w:p>
    <w:p>
      <w:pPr>
        <w:spacing w:after="0" w:line="204" w:lineRule="exact"/>
        <w:rPr>
          <w:sz w:val="20"/>
          <w:szCs w:val="20"/>
          <w:color w:val="auto"/>
        </w:rPr>
      </w:pPr>
    </w:p>
    <w:p>
      <w:pPr>
        <w:ind w:left="1240" w:hanging="345"/>
        <w:spacing w:after="0"/>
        <w:tabs>
          <w:tab w:leader="none" w:pos="124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Intangible Assets and Goodwill</w:t>
      </w:r>
    </w:p>
    <w:p>
      <w:pPr>
        <w:spacing w:after="0" w:line="253" w:lineRule="exact"/>
        <w:rPr>
          <w:rFonts w:ascii="Times New Roman" w:cs="Times New Roman" w:eastAsia="Times New Roman" w:hAnsi="Times New Roman"/>
          <w:sz w:val="16"/>
          <w:szCs w:val="16"/>
          <w:b w:val="1"/>
          <w:bCs w:val="1"/>
          <w:color w:val="auto"/>
        </w:rPr>
      </w:pPr>
    </w:p>
    <w:p>
      <w:pPr>
        <w:jc w:val="both"/>
        <w:ind w:left="124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accounts for intangible assets and goodwill in accordance with ASC 350 “</w:t>
      </w:r>
      <w:r>
        <w:rPr>
          <w:rFonts w:ascii="Times New Roman" w:cs="Times New Roman" w:eastAsia="Times New Roman" w:hAnsi="Times New Roman"/>
          <w:sz w:val="16"/>
          <w:szCs w:val="16"/>
          <w:i w:val="1"/>
          <w:iCs w:val="1"/>
          <w:color w:val="auto"/>
        </w:rPr>
        <w:t>Intangibles-Goodwill and Other</w:t>
      </w:r>
      <w:r>
        <w:rPr>
          <w:rFonts w:ascii="Times New Roman" w:cs="Times New Roman" w:eastAsia="Times New Roman" w:hAnsi="Times New Roman"/>
          <w:sz w:val="16"/>
          <w:szCs w:val="16"/>
          <w:color w:val="auto"/>
        </w:rPr>
        <w:t>”. Intangible assets include the values assigned to the intangible assets as part of the purchase price allocation made at the time of acquisition. Intangible assets are amortized over the expected estimated economic life commonly used in the industry. Goodwill is not amortized and subject to impairment testing. Impairment charges on intangibles or goodwill, if needed, are determined based on the policy outlined in Note 2L below.</w:t>
      </w:r>
    </w:p>
    <w:p>
      <w:pPr>
        <w:spacing w:after="0" w:line="209"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Impairment of Assets</w:t>
      </w:r>
    </w:p>
    <w:p>
      <w:pPr>
        <w:spacing w:after="0" w:line="263"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Impairment of Property, Equipment and Intangible Assets</w:t>
      </w:r>
    </w:p>
    <w:p>
      <w:pPr>
        <w:spacing w:after="0" w:line="269" w:lineRule="exact"/>
        <w:rPr>
          <w:rFonts w:ascii="Times New Roman" w:cs="Times New Roman" w:eastAsia="Times New Roman" w:hAnsi="Times New Roman"/>
          <w:sz w:val="16"/>
          <w:szCs w:val="16"/>
          <w:b w:val="1"/>
          <w:bCs w:val="1"/>
          <w:color w:val="auto"/>
        </w:rPr>
      </w:pPr>
    </w:p>
    <w:p>
      <w:pPr>
        <w:jc w:val="both"/>
        <w:ind w:left="1240" w:right="20"/>
        <w:spacing w:after="0" w:line="27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reviews long-lived assets and intangible assets on a periodic basis, as well as when such review is required based upon relevant circumstances, to determine whether events or changes in circumstances indicate that the carrying amount of such assets may not be recoverable, considering the undiscounted cash flows expected from them. If applicable, the Company recognizes an impairment loss based upon the difference between the carrying amount and the fair value of such assets, in accordance with ASC 360-10 “</w:t>
      </w:r>
      <w:r>
        <w:rPr>
          <w:rFonts w:ascii="Times New Roman" w:cs="Times New Roman" w:eastAsia="Times New Roman" w:hAnsi="Times New Roman"/>
          <w:sz w:val="16"/>
          <w:szCs w:val="16"/>
          <w:i w:val="1"/>
          <w:iCs w:val="1"/>
          <w:color w:val="auto"/>
        </w:rPr>
        <w:t>Property, Plant and Equipment</w:t>
      </w:r>
      <w:r>
        <w:rPr>
          <w:rFonts w:ascii="Times New Roman" w:cs="Times New Roman" w:eastAsia="Times New Roman" w:hAnsi="Times New Roman"/>
          <w:sz w:val="16"/>
          <w:szCs w:val="16"/>
          <w:color w:val="auto"/>
        </w:rPr>
        <w:t>”. As of December 31, 2025, the Company concluded there was no impairment required to its long-lived assets and intangible assets.</w:t>
      </w:r>
    </w:p>
    <w:p>
      <w:pPr>
        <w:spacing w:after="0" w:line="200"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Impairment of Goodwill</w:t>
      </w:r>
    </w:p>
    <w:p>
      <w:pPr>
        <w:spacing w:after="0" w:line="269" w:lineRule="exact"/>
        <w:rPr>
          <w:rFonts w:ascii="Times New Roman" w:cs="Times New Roman" w:eastAsia="Times New Roman" w:hAnsi="Times New Roman"/>
          <w:sz w:val="16"/>
          <w:szCs w:val="16"/>
          <w:b w:val="1"/>
          <w:bCs w:val="1"/>
          <w:color w:val="auto"/>
        </w:rPr>
      </w:pPr>
    </w:p>
    <w:p>
      <w:pPr>
        <w:jc w:val="both"/>
        <w:ind w:left="1240"/>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performs a qualitative analysis when testing goodwill for impairment. A qualitative goodwill impairment test is performed when the fair value of a reporting unit historically has significantly exceeded the carrying value of its net assets and based on current operations is expected to continue to exceed it. Otherwise, the Company is required to conduct a quantitative impairment test and estimate the fair value of the reporting unit using a combination of an income approach based on discounted cash flow analysis and a market approach based on market multiples. If the fair value of a reporting unit is less than its carrying value, a goodwill impairment charge is recorded for the difference. As of December 31, 2025, the Company performed a qualitative impairment test for its reporting unit and concluded there was no impairment of goodwill.</w:t>
      </w:r>
    </w:p>
    <w:p>
      <w:pPr>
        <w:spacing w:after="0" w:line="201"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Impairment of Investment in Privately Held Companies</w:t>
      </w:r>
    </w:p>
    <w:p>
      <w:pPr>
        <w:spacing w:after="0" w:line="269" w:lineRule="exact"/>
        <w:rPr>
          <w:rFonts w:ascii="Times New Roman" w:cs="Times New Roman" w:eastAsia="Times New Roman" w:hAnsi="Times New Roman"/>
          <w:sz w:val="16"/>
          <w:szCs w:val="16"/>
          <w:b w:val="1"/>
          <w:bCs w:val="1"/>
          <w:color w:val="auto"/>
        </w:rPr>
      </w:pPr>
    </w:p>
    <w:p>
      <w:pPr>
        <w:ind w:left="1240" w:right="2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Investments in privately held companies accounted for using the Measurement Alternative are subject to periodic impairment reviews. Based on ASC 321-10-35-3, the Company’s impairment analysis considers qualitative factors to evaluate whether the investment is impaired.</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18" w:name="page19"/>
    <w:bookmarkEnd w:id="18"/>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 (continued)</w:t>
      </w:r>
    </w:p>
    <w:p>
      <w:pPr>
        <w:spacing w:after="0" w:line="253" w:lineRule="exact"/>
        <w:rPr>
          <w:sz w:val="20"/>
          <w:szCs w:val="20"/>
          <w:color w:val="auto"/>
        </w:rPr>
      </w:pPr>
    </w:p>
    <w:p>
      <w:pPr>
        <w:ind w:left="1240" w:hanging="345"/>
        <w:spacing w:after="0"/>
        <w:tabs>
          <w:tab w:leader="none" w:pos="124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Leases</w:t>
      </w:r>
    </w:p>
    <w:p>
      <w:pPr>
        <w:spacing w:after="0" w:line="255" w:lineRule="exact"/>
        <w:rPr>
          <w:rFonts w:ascii="Times New Roman" w:cs="Times New Roman" w:eastAsia="Times New Roman" w:hAnsi="Times New Roman"/>
          <w:sz w:val="16"/>
          <w:szCs w:val="16"/>
          <w:b w:val="1"/>
          <w:bCs w:val="1"/>
          <w:color w:val="auto"/>
        </w:rPr>
      </w:pPr>
    </w:p>
    <w:p>
      <w:pPr>
        <w:ind w:left="1240" w:right="20"/>
        <w:spacing w:after="0" w:line="28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recognizes a right-of-use asset (“ROU”) and lease liability for all operating and capital leases with a term greater than twelve months upon lease arrangement inception.</w:t>
      </w:r>
    </w:p>
    <w:p>
      <w:pPr>
        <w:spacing w:after="0" w:line="203"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ROU assets represent the Company’s right to use an underlying asset for the lease term and lease liabilities represent the Company’s obligation to make lease payments arising from the terms of lease contracts. ROU assets and lease liabilities are recognized at the lease commencement date based on the present value of lease payments over the lease term. Since most of the Company’s leases do not provide an implicit rate, the Company's incremental borrowing rate is used based on the information available at the commencement date in determining the present value of lease payments. The lease terms used to calculate the ROU asset and related lease liability include options to terminate the lease or extend it when it is reasonably certain that the Company will exercise that option. Lease expense for operating leases is recognized on a straight-line basis over the lease term as an operating expense. For additional information, see Notes 9D and 9E.</w:t>
      </w:r>
    </w:p>
    <w:p>
      <w:pPr>
        <w:spacing w:after="0" w:line="217"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 Recognition</w:t>
      </w:r>
    </w:p>
    <w:p>
      <w:pPr>
        <w:spacing w:after="0" w:line="265" w:lineRule="exact"/>
        <w:rPr>
          <w:rFonts w:ascii="Times New Roman" w:cs="Times New Roman" w:eastAsia="Times New Roman" w:hAnsi="Times New Roman"/>
          <w:sz w:val="16"/>
          <w:szCs w:val="16"/>
          <w:b w:val="1"/>
          <w:bCs w:val="1"/>
          <w:color w:val="auto"/>
        </w:rPr>
      </w:pPr>
    </w:p>
    <w:p>
      <w:pPr>
        <w:ind w:left="1240" w:right="20"/>
        <w:spacing w:after="0" w:line="29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recognizes revenue in accordance with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when it transfers the control of promised goods or services to customers in an amount that reflects the consideration the Company expects to be entitled to in exchange for those goods or services.</w:t>
      </w:r>
    </w:p>
    <w:p>
      <w:pPr>
        <w:spacing w:after="0" w:line="200" w:lineRule="exact"/>
        <w:rPr>
          <w:rFonts w:ascii="Times New Roman" w:cs="Times New Roman" w:eastAsia="Times New Roman" w:hAnsi="Times New Roman"/>
          <w:sz w:val="16"/>
          <w:szCs w:val="16"/>
          <w:b w:val="1"/>
          <w:bCs w:val="1"/>
          <w:color w:val="auto"/>
        </w:rPr>
      </w:pPr>
    </w:p>
    <w:p>
      <w:pPr>
        <w:jc w:val="both"/>
        <w:ind w:left="1240"/>
        <w:spacing w:after="0" w:line="27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revenue is generated principally from providing its customers with manufacturing services it performs over wafers it processes in its various fabrications located around the globe through its engineering and technological facilities’ process platforms and equipment, as well as revenue from its design and technology support services. Most of the Company’s sales are achieved through the effort of its direct sales and business development force.</w:t>
      </w:r>
    </w:p>
    <w:p>
      <w:pPr>
        <w:spacing w:after="0" w:line="200" w:lineRule="exact"/>
        <w:rPr>
          <w:rFonts w:ascii="Times New Roman" w:cs="Times New Roman" w:eastAsia="Times New Roman" w:hAnsi="Times New Roman"/>
          <w:sz w:val="16"/>
          <w:szCs w:val="16"/>
          <w:b w:val="1"/>
          <w:bCs w:val="1"/>
          <w:color w:val="auto"/>
        </w:rPr>
      </w:pPr>
    </w:p>
    <w:p>
      <w:pPr>
        <w:spacing w:after="0" w:line="214" w:lineRule="exact"/>
        <w:rPr>
          <w:rFonts w:ascii="Times New Roman" w:cs="Times New Roman" w:eastAsia="Times New Roman" w:hAnsi="Times New Roman"/>
          <w:sz w:val="16"/>
          <w:szCs w:val="16"/>
          <w:b w:val="1"/>
          <w:bCs w:val="1"/>
          <w:color w:val="auto"/>
        </w:rPr>
      </w:pPr>
    </w:p>
    <w:p>
      <w:pPr>
        <w:jc w:val="both"/>
        <w:ind w:left="1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Wafer sales typically contain a single performance obligation that is fulfilled on the date of delivery and recognized at a point in time, which is upon shipment of the Company’s products to unaffiliated customers, depending on shipping terms stipulated in the contract. Accordingly, control of the products transfers to the customer in accordance with the transaction's shipping terms. Taxes imposed by governmental authorities, such as sales taxes or value-added taxes, are excluded from net sales.</w:t>
      </w:r>
    </w:p>
    <w:p>
      <w:pPr>
        <w:spacing w:after="0" w:line="212" w:lineRule="exact"/>
        <w:rPr>
          <w:rFonts w:ascii="Times New Roman" w:cs="Times New Roman" w:eastAsia="Times New Roman" w:hAnsi="Times New Roman"/>
          <w:sz w:val="16"/>
          <w:szCs w:val="16"/>
          <w:b w:val="1"/>
          <w:bCs w:val="1"/>
          <w:color w:val="auto"/>
        </w:rPr>
      </w:pPr>
    </w:p>
    <w:p>
      <w:pPr>
        <w:ind w:left="1240" w:right="20"/>
        <w:spacing w:after="0" w:line="28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provides for sales returns allowance relating to specified yield or quality commitments as a reduction of revenue, based on past experience and specific identification of relevant events, which has been in immaterial amounts.</w:t>
      </w:r>
    </w:p>
    <w:p>
      <w:pPr>
        <w:spacing w:after="0" w:line="203" w:lineRule="exact"/>
        <w:rPr>
          <w:rFonts w:ascii="Times New Roman" w:cs="Times New Roman" w:eastAsia="Times New Roman" w:hAnsi="Times New Roman"/>
          <w:sz w:val="16"/>
          <w:szCs w:val="16"/>
          <w:b w:val="1"/>
          <w:bCs w:val="1"/>
          <w:color w:val="auto"/>
        </w:rPr>
      </w:pPr>
    </w:p>
    <w:p>
      <w:pPr>
        <w:ind w:left="1240" w:right="20"/>
        <w:spacing w:after="0" w:line="28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provides its customers with other services that are less significant in scope and amount and for which recognition occurs over time when customers receive the services.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19" w:name="page20"/>
    <w:bookmarkEnd w:id="19"/>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 (continued)</w:t>
      </w:r>
    </w:p>
    <w:p>
      <w:pPr>
        <w:spacing w:after="0" w:line="253" w:lineRule="exact"/>
        <w:rPr>
          <w:sz w:val="20"/>
          <w:szCs w:val="20"/>
          <w:color w:val="auto"/>
        </w:rPr>
      </w:pPr>
    </w:p>
    <w:p>
      <w:pPr>
        <w:ind w:left="1240" w:hanging="345"/>
        <w:spacing w:after="0"/>
        <w:tabs>
          <w:tab w:leader="none" w:pos="124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Research and Development</w:t>
      </w:r>
    </w:p>
    <w:p>
      <w:pPr>
        <w:spacing w:after="0" w:line="255" w:lineRule="exact"/>
        <w:rPr>
          <w:rFonts w:ascii="Times New Roman" w:cs="Times New Roman" w:eastAsia="Times New Roman" w:hAnsi="Times New Roman"/>
          <w:sz w:val="16"/>
          <w:szCs w:val="16"/>
          <w:b w:val="1"/>
          <w:bCs w:val="1"/>
          <w:color w:val="auto"/>
        </w:rPr>
      </w:pP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Research and development costs are charged to operations as incurred. Amounts received or receivable from the government of Israel and others, such as participation in research and development programs, are offset from research and development costs. The accrual for grants receivable is determined based on the terms of the programs, provided that the criteria for entitlement have been met. As of December 31, 2025, the grants receivable amount was immaterial.</w:t>
      </w:r>
    </w:p>
    <w:p>
      <w:pPr>
        <w:spacing w:after="0" w:line="210"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265" w:lineRule="exact"/>
        <w:rPr>
          <w:rFonts w:ascii="Times New Roman" w:cs="Times New Roman" w:eastAsia="Times New Roman" w:hAnsi="Times New Roman"/>
          <w:sz w:val="16"/>
          <w:szCs w:val="16"/>
          <w:b w:val="1"/>
          <w:bCs w:val="1"/>
          <w:color w:val="auto"/>
        </w:rPr>
      </w:pPr>
    </w:p>
    <w:p>
      <w:pPr>
        <w:jc w:val="both"/>
        <w:ind w:left="124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The Company accounts for income taxes using an asset and liability approach as prescribed in ASC 740-10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This topic prescribes the use of the liability method whereby deferred tax asset and liability balances are determined based on differences between financial reporting and tax bases of assets and liabilities. Deferred taxes are measured using the enacted tax rates under applicable law expected to be in effect for the year in which the differences are expected to reverse as of the balance sheet date. Deferred tax assets and liabilities, as well as any related valuation allowance, are presented as noncurrent items on the balance sheets.</w:t>
      </w:r>
    </w:p>
    <w:p>
      <w:pPr>
        <w:spacing w:after="0" w:line="217" w:lineRule="exact"/>
        <w:rPr>
          <w:rFonts w:ascii="Times New Roman" w:cs="Times New Roman" w:eastAsia="Times New Roman" w:hAnsi="Times New Roman"/>
          <w:sz w:val="16"/>
          <w:szCs w:val="16"/>
          <w:b w:val="1"/>
          <w:bCs w:val="1"/>
          <w:color w:val="auto"/>
        </w:rPr>
      </w:pPr>
    </w:p>
    <w:p>
      <w:pPr>
        <w:jc w:val="both"/>
        <w:ind w:left="1240" w:right="2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evaluates the potential realization of its deferred tax assets for each jurisdiction in which the Company operates at each reporting date and establishes valuation allowances when it is more likely than not that all or a part of its deferred tax assets will not be realized. 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deferred tax assets and projected future taxable income.</w:t>
      </w:r>
    </w:p>
    <w:p>
      <w:pPr>
        <w:spacing w:after="0" w:line="219" w:lineRule="exact"/>
        <w:rPr>
          <w:rFonts w:ascii="Times New Roman" w:cs="Times New Roman" w:eastAsia="Times New Roman" w:hAnsi="Times New Roman"/>
          <w:sz w:val="16"/>
          <w:szCs w:val="16"/>
          <w:b w:val="1"/>
          <w:bCs w:val="1"/>
          <w:color w:val="auto"/>
        </w:rPr>
      </w:pPr>
    </w:p>
    <w:p>
      <w:pPr>
        <w:ind w:left="1240" w:right="20"/>
        <w:spacing w:after="0" w:line="28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valuation allowance is established, when necessary, to reduce deferred tax assets to the amount that is more likely than not to be realized based on all available evidence.</w:t>
      </w:r>
    </w:p>
    <w:p>
      <w:pPr>
        <w:spacing w:after="0" w:line="203"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including resolution of any related appeals or litigation process. The second step is to measure the associated tax benefit of each position as 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0" w:name="page21"/>
    <w:bookmarkEnd w:id="20"/>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 (continued)</w:t>
      </w:r>
    </w:p>
    <w:p>
      <w:pPr>
        <w:spacing w:after="0" w:line="253" w:lineRule="exact"/>
        <w:rPr>
          <w:sz w:val="20"/>
          <w:szCs w:val="20"/>
          <w:color w:val="auto"/>
        </w:rPr>
      </w:pPr>
    </w:p>
    <w:p>
      <w:pPr>
        <w:ind w:left="1240" w:hanging="345"/>
        <w:spacing w:after="0"/>
        <w:tabs>
          <w:tab w:leader="none" w:pos="124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Ordinary Share</w:t>
      </w:r>
    </w:p>
    <w:p>
      <w:pPr>
        <w:spacing w:after="0" w:line="255" w:lineRule="exact"/>
        <w:rPr>
          <w:rFonts w:ascii="Times New Roman" w:cs="Times New Roman" w:eastAsia="Times New Roman" w:hAnsi="Times New Roman"/>
          <w:sz w:val="16"/>
          <w:szCs w:val="16"/>
          <w:b w:val="1"/>
          <w:bCs w:val="1"/>
          <w:color w:val="auto"/>
        </w:rPr>
      </w:pP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Basic earnings per share is calculated in accordance with ASC 260, “Earnings Per Share” by dividing net profit or loss attributable to ordinary equity holders of Tower (the numerator) by the weighted average number of ordinary shares outstanding during the reported period (the denominator). Diluted earnings per share is calculated, if applicable, by adjusting the net profit attributable to ordinary equity holders of Tower, and the weighted average number of ordinary shares, taking into effect all potential dilutive ordinary shares.</w:t>
      </w:r>
    </w:p>
    <w:p>
      <w:pPr>
        <w:spacing w:after="0" w:line="210"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Comprehensive Income</w:t>
      </w:r>
    </w:p>
    <w:p>
      <w:pPr>
        <w:spacing w:after="0" w:line="253" w:lineRule="exact"/>
        <w:rPr>
          <w:rFonts w:ascii="Times New Roman" w:cs="Times New Roman" w:eastAsia="Times New Roman" w:hAnsi="Times New Roman"/>
          <w:sz w:val="16"/>
          <w:szCs w:val="16"/>
          <w:b w:val="1"/>
          <w:bCs w:val="1"/>
          <w:color w:val="auto"/>
        </w:rPr>
      </w:pPr>
    </w:p>
    <w:p>
      <w:pPr>
        <w:jc w:val="both"/>
        <w:ind w:left="124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accordance with ASC 220 “</w:t>
      </w:r>
      <w:r>
        <w:rPr>
          <w:rFonts w:ascii="Times New Roman" w:cs="Times New Roman" w:eastAsia="Times New Roman" w:hAnsi="Times New Roman"/>
          <w:sz w:val="16"/>
          <w:szCs w:val="16"/>
          <w:i w:val="1"/>
          <w:iCs w:val="1"/>
          <w:color w:val="auto"/>
        </w:rPr>
        <w:t>Comprehensive Income</w:t>
      </w:r>
      <w:r>
        <w:rPr>
          <w:rFonts w:ascii="Times New Roman" w:cs="Times New Roman" w:eastAsia="Times New Roman" w:hAnsi="Times New Roman"/>
          <w:sz w:val="16"/>
          <w:szCs w:val="16"/>
          <w:color w:val="auto"/>
        </w:rPr>
        <w:t>”, comprehensive income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(“OCI”) represents gains and losses that are included in comprehensive income but excluded from net profit.</w:t>
      </w:r>
    </w:p>
    <w:p>
      <w:pPr>
        <w:spacing w:after="0" w:line="209"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Functional Currency and Exchange Rate Results</w:t>
      </w:r>
    </w:p>
    <w:p>
      <w:pPr>
        <w:spacing w:after="0" w:line="255" w:lineRule="exact"/>
        <w:rPr>
          <w:rFonts w:ascii="Times New Roman" w:cs="Times New Roman" w:eastAsia="Times New Roman" w:hAnsi="Times New Roman"/>
          <w:sz w:val="16"/>
          <w:szCs w:val="16"/>
          <w:b w:val="1"/>
          <w:bCs w:val="1"/>
          <w:color w:val="auto"/>
        </w:rPr>
      </w:pPr>
    </w:p>
    <w:p>
      <w:pPr>
        <w:jc w:val="both"/>
        <w:ind w:left="1240" w:right="2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currency of the primary economic environment in which Tower, TSSA, TSNB and TSIT conduct their operations is the U.S. Dollar (“dollar”). Thus, the dollar is their functional and reporting currency. Accordingly, monetary accounts maintained in currencies other than the dollar are re-measured into dollars in accordance with ASC 830-10 “Foreign Currency Matters”.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 The statements of operations of TPSCo have been translated using the average exchange rate for the reported period. The resulting translation adjustments are charged or credited to OCI.</w:t>
      </w:r>
    </w:p>
    <w:p>
      <w:pPr>
        <w:spacing w:after="0" w:line="217"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Stock-based Compensation</w:t>
      </w:r>
    </w:p>
    <w:p>
      <w:pPr>
        <w:spacing w:after="0" w:line="253" w:lineRule="exact"/>
        <w:rPr>
          <w:rFonts w:ascii="Times New Roman" w:cs="Times New Roman" w:eastAsia="Times New Roman" w:hAnsi="Times New Roman"/>
          <w:sz w:val="16"/>
          <w:szCs w:val="16"/>
          <w:b w:val="1"/>
          <w:bCs w:val="1"/>
          <w:color w:val="auto"/>
        </w:rPr>
      </w:pPr>
    </w:p>
    <w:p>
      <w:pPr>
        <w:ind w:left="1240" w:right="20"/>
        <w:spacing w:after="0" w:line="29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applies the provisions of ASC Topic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under which employees’ share-based equity awards (mostly restricted stock units and performance unit shares) are recognized based on the grant-date fair values.</w:t>
      </w:r>
    </w:p>
    <w:p>
      <w:pPr>
        <w:spacing w:after="0" w:line="200" w:lineRule="exact"/>
        <w:rPr>
          <w:rFonts w:ascii="Times New Roman" w:cs="Times New Roman" w:eastAsia="Times New Roman" w:hAnsi="Times New Roman"/>
          <w:sz w:val="16"/>
          <w:szCs w:val="16"/>
          <w:b w:val="1"/>
          <w:bCs w:val="1"/>
          <w:color w:val="auto"/>
        </w:rPr>
      </w:pPr>
    </w:p>
    <w:p>
      <w:pPr>
        <w:ind w:left="1240" w:right="20"/>
        <w:spacing w:after="0" w:line="28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compensation costs are recognized using the graded vesting attribution method based on the vesting terms of each unit included in the award resulting in an accelerated recognition of compensation costs.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1" w:name="page22"/>
    <w:bookmarkEnd w:id="21"/>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 (continued)</w:t>
      </w:r>
    </w:p>
    <w:p>
      <w:pPr>
        <w:spacing w:after="0" w:line="253" w:lineRule="exact"/>
        <w:rPr>
          <w:sz w:val="20"/>
          <w:szCs w:val="20"/>
          <w:color w:val="auto"/>
        </w:rPr>
      </w:pPr>
    </w:p>
    <w:p>
      <w:pPr>
        <w:ind w:left="1240" w:hanging="345"/>
        <w:spacing w:after="0"/>
        <w:tabs>
          <w:tab w:leader="none" w:pos="124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Measurements of Financial Instruments</w:t>
      </w:r>
    </w:p>
    <w:p>
      <w:pPr>
        <w:spacing w:after="0" w:line="253" w:lineRule="exact"/>
        <w:rPr>
          <w:rFonts w:ascii="Times New Roman" w:cs="Times New Roman" w:eastAsia="Times New Roman" w:hAnsi="Times New Roman"/>
          <w:sz w:val="16"/>
          <w:szCs w:val="16"/>
          <w:b w:val="1"/>
          <w:bCs w:val="1"/>
          <w:color w:val="auto"/>
        </w:rPr>
      </w:pPr>
    </w:p>
    <w:p>
      <w:pPr>
        <w:jc w:val="both"/>
        <w:ind w:left="124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ASC 820, "</w:t>
      </w:r>
      <w:r>
        <w:rPr>
          <w:rFonts w:ascii="Times New Roman" w:cs="Times New Roman" w:eastAsia="Times New Roman" w:hAnsi="Times New Roman"/>
          <w:sz w:val="16"/>
          <w:szCs w:val="16"/>
          <w:i w:val="1"/>
          <w:iCs w:val="1"/>
          <w:color w:val="auto"/>
        </w:rPr>
        <w:t>Fair Value Measurements and Disclosures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ASC 820</w:t>
      </w:r>
      <w:r>
        <w:rPr>
          <w:rFonts w:ascii="Times New Roman" w:cs="Times New Roman" w:eastAsia="Times New Roman" w:hAnsi="Times New Roman"/>
          <w:sz w:val="16"/>
          <w:szCs w:val="16"/>
          <w:color w:val="auto"/>
        </w:rPr>
        <w:t>”),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spacing w:after="0" w:line="211"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ASC 820 prioritizes the considerations that may be used to measure fair value to the following three levels:</w:t>
      </w:r>
    </w:p>
    <w:p>
      <w:pPr>
        <w:spacing w:after="0" w:line="261"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Level 1</w:t>
      </w:r>
    </w:p>
    <w:p>
      <w:pPr>
        <w:spacing w:after="0" w:line="269"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Level 1 applies to assets or liabilities for which there are quoted prices in active markets for identical assets or liabilities.</w:t>
      </w:r>
    </w:p>
    <w:p>
      <w:pPr>
        <w:spacing w:after="0" w:line="261"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Level 2</w:t>
      </w:r>
    </w:p>
    <w:p>
      <w:pPr>
        <w:spacing w:after="0" w:line="269" w:lineRule="exact"/>
        <w:rPr>
          <w:rFonts w:ascii="Times New Roman" w:cs="Times New Roman" w:eastAsia="Times New Roman" w:hAnsi="Times New Roman"/>
          <w:sz w:val="16"/>
          <w:szCs w:val="16"/>
          <w:b w:val="1"/>
          <w:bCs w:val="1"/>
          <w:color w:val="auto"/>
        </w:rPr>
      </w:pPr>
    </w:p>
    <w:p>
      <w:pPr>
        <w:jc w:val="both"/>
        <w:ind w:left="1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208"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Level 3</w:t>
      </w:r>
    </w:p>
    <w:p>
      <w:pPr>
        <w:spacing w:after="0" w:line="269" w:lineRule="exact"/>
        <w:rPr>
          <w:rFonts w:ascii="Times New Roman" w:cs="Times New Roman" w:eastAsia="Times New Roman" w:hAnsi="Times New Roman"/>
          <w:sz w:val="16"/>
          <w:szCs w:val="16"/>
          <w:b w:val="1"/>
          <w:bCs w:val="1"/>
          <w:color w:val="auto"/>
        </w:rPr>
      </w:pPr>
    </w:p>
    <w:p>
      <w:pPr>
        <w:ind w:left="1240"/>
        <w:spacing w:after="0" w:line="28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Level 3 applies to assets or liabilities for which there are unobservable inputs to the valuation methodology that are significant to the measurement of the fair value of the assets or liabilities.</w:t>
      </w:r>
    </w:p>
    <w:p>
      <w:pPr>
        <w:spacing w:after="0" w:line="203" w:lineRule="exact"/>
        <w:rPr>
          <w:rFonts w:ascii="Times New Roman" w:cs="Times New Roman" w:eastAsia="Times New Roman" w:hAnsi="Times New Roman"/>
          <w:sz w:val="16"/>
          <w:szCs w:val="16"/>
          <w:b w:val="1"/>
          <w:bCs w:val="1"/>
          <w:color w:val="auto"/>
        </w:rPr>
      </w:pPr>
    </w:p>
    <w:p>
      <w:pPr>
        <w:jc w:val="both"/>
        <w:ind w:left="1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carrying value of the Company’s bank deposits, accounts receivable, payable and accrued liabilities, approximate their current fair values in accordance with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 such as marketable securities and investments in privately-held companies.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 (continued)</w:t>
      </w:r>
    </w:p>
    <w:p>
      <w:pPr>
        <w:spacing w:after="0" w:line="253" w:lineRule="exact"/>
        <w:rPr>
          <w:sz w:val="20"/>
          <w:szCs w:val="20"/>
          <w:color w:val="auto"/>
        </w:rPr>
      </w:pPr>
    </w:p>
    <w:p>
      <w:pPr>
        <w:ind w:left="1240" w:hanging="345"/>
        <w:spacing w:after="0"/>
        <w:tabs>
          <w:tab w:leader="none" w:pos="124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Derivatives and Hedging</w:t>
      </w:r>
    </w:p>
    <w:p>
      <w:pPr>
        <w:spacing w:after="0" w:line="255" w:lineRule="exact"/>
        <w:rPr>
          <w:rFonts w:ascii="Times New Roman" w:cs="Times New Roman" w:eastAsia="Times New Roman" w:hAnsi="Times New Roman"/>
          <w:sz w:val="16"/>
          <w:szCs w:val="16"/>
          <w:b w:val="1"/>
          <w:bCs w:val="1"/>
          <w:color w:val="auto"/>
        </w:rPr>
      </w:pPr>
    </w:p>
    <w:p>
      <w:pPr>
        <w:ind w:left="1240" w:right="20"/>
        <w:spacing w:after="0" w:line="28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accordance with ASC Topic 815, Derivative and Hedging ("ASC 815"), the Company recognizes all its derivative instruments as either assets or liabilities and carries them at fair value.</w:t>
      </w:r>
    </w:p>
    <w:p>
      <w:pPr>
        <w:spacing w:after="0" w:line="203" w:lineRule="exact"/>
        <w:rPr>
          <w:rFonts w:ascii="Times New Roman" w:cs="Times New Roman" w:eastAsia="Times New Roman" w:hAnsi="Times New Roman"/>
          <w:sz w:val="16"/>
          <w:szCs w:val="16"/>
          <w:b w:val="1"/>
          <w:bCs w:val="1"/>
          <w:color w:val="auto"/>
        </w:rPr>
      </w:pPr>
    </w:p>
    <w:p>
      <w:pPr>
        <w:jc w:val="both"/>
        <w:ind w:left="1240" w:right="20"/>
        <w:spacing w:after="0" w:line="27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derivative instruments that are designated and qualify as cash flow hedges, the derivative's gain or loss is initially reported as a component of OCI and is subsequently recorded into earnings when the hedged exposure affects earnings, in the same line item as the underlying hedged item on the consolidated statements of earnings.</w:t>
      </w:r>
    </w:p>
    <w:p>
      <w:pPr>
        <w:spacing w:after="0" w:line="210" w:lineRule="exact"/>
        <w:rPr>
          <w:sz w:val="20"/>
          <w:szCs w:val="20"/>
          <w:color w:val="auto"/>
        </w:rPr>
      </w:pPr>
    </w:p>
    <w:p>
      <w:pPr>
        <w:ind w:left="1240" w:right="20"/>
        <w:spacing w:after="0" w:line="287" w:lineRule="auto"/>
        <w:rPr>
          <w:sz w:val="20"/>
          <w:szCs w:val="20"/>
          <w:color w:val="auto"/>
        </w:rPr>
      </w:pPr>
      <w:r>
        <w:rPr>
          <w:rFonts w:ascii="Times New Roman" w:cs="Times New Roman" w:eastAsia="Times New Roman" w:hAnsi="Times New Roman"/>
          <w:sz w:val="16"/>
          <w:szCs w:val="16"/>
          <w:color w:val="auto"/>
        </w:rPr>
        <w:t>Cash flow hedges related to anticipated transactions are designated and documented at the inception of each hedge. Cash flows from hedging transactions are presented in the same categories as the cash flows from the respective hedged items.</w:t>
      </w:r>
    </w:p>
    <w:p>
      <w:pPr>
        <w:spacing w:after="0" w:line="201" w:lineRule="exact"/>
        <w:rPr>
          <w:sz w:val="20"/>
          <w:szCs w:val="20"/>
          <w:color w:val="auto"/>
        </w:rPr>
      </w:pPr>
    </w:p>
    <w:p>
      <w:pPr>
        <w:ind w:left="1240" w:hanging="345"/>
        <w:spacing w:after="0"/>
        <w:tabs>
          <w:tab w:leader="none" w:pos="124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Recently Adopted Accounting Pronouncements</w:t>
      </w:r>
    </w:p>
    <w:p>
      <w:pPr>
        <w:spacing w:after="0" w:line="267"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November 2023, the Financial Accounting Standards Board (“FASB”) issued ASU No. 2023-07, Segment Reporting (Topic 280): Improvements to Reportable Segment Disclosures, which requires public entities to disclose information about their reportable segments’ significant expenses and other segment items on an interim and annual basis. Public entities with a single reportable segment are required to apply the disclosure requirements in ASU No. 2023-07, as well as all existing segment disclosures and reconciliation requirements in ASC 280 on an interim and annual basis. The new standard is effective for fiscal years beginning after December 15, 2023, and interim periods within fiscal years beginning after December 15, 2024. The adoption of this ASU did not have any impact on the Company’s financial position, results of operations or cash flow reports. See Note 14E with regards to applicable disclosure.</w:t>
      </w:r>
    </w:p>
    <w:p>
      <w:pPr>
        <w:spacing w:after="0" w:line="219"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December 23, 2023, the Financial Accounting Standards Board (“FASB”) issued Accounting Standards Update (“ASU”) No. 2023-09 - Income taxes (topic 740): improvements to income tax disclosures. This ASU requires disclosure of specific categories in rate reconciliation and additional information for reconciling items that meet a quantitative threshold. The amendment also includes other changes to improve the effectiveness of income tax disclosures, including further disaggregation of income taxes paid for individually significant jurisdictions. The amendment is effective for annual periods beginning after December 15, 2024. The adoption of the amendment did not have an impact on the Company’s financial position, results of operations or cash flows. See Note 17 with regards to applicable disclosure.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3" w:name="page24"/>
    <w:bookmarkEnd w:id="23"/>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 (continued)</w:t>
      </w:r>
    </w:p>
    <w:p>
      <w:pPr>
        <w:spacing w:after="0" w:line="253" w:lineRule="exact"/>
        <w:rPr>
          <w:sz w:val="20"/>
          <w:szCs w:val="20"/>
          <w:color w:val="auto"/>
        </w:rPr>
      </w:pPr>
    </w:p>
    <w:p>
      <w:pPr>
        <w:ind w:left="1240" w:hanging="345"/>
        <w:spacing w:after="0"/>
        <w:tabs>
          <w:tab w:leader="none" w:pos="124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Recently Issued Accounting Pronouncements Not Yet Adopted</w:t>
      </w:r>
    </w:p>
    <w:p>
      <w:pPr>
        <w:spacing w:after="0" w:line="255" w:lineRule="exact"/>
        <w:rPr>
          <w:rFonts w:ascii="Times New Roman" w:cs="Times New Roman" w:eastAsia="Times New Roman" w:hAnsi="Times New Roman"/>
          <w:sz w:val="16"/>
          <w:szCs w:val="16"/>
          <w:b w:val="1"/>
          <w:bCs w:val="1"/>
          <w:color w:val="auto"/>
        </w:rPr>
      </w:pPr>
    </w:p>
    <w:p>
      <w:pPr>
        <w:jc w:val="both"/>
        <w:ind w:left="1240" w:right="2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November 2024, the FASB issued ASU 2024-03, Income Statement – Reporting Comprehensive Income – Expense Disaggregation Disclosures (Subtopic 220-40): Disaggregation of Income Statement Expenses. ASU 2024-03 requires disclosure of specified information about certain costs and expenses on an interim and annual basis in the notes to the financial statements. The guidance is effective for fiscal years beginning after December 15, 2026, and interim reporting periods beginning after December 15, 2027. The Company does not expect the new standard to have a material impact on its consolidated financial statements.</w:t>
      </w:r>
    </w:p>
    <w:p>
      <w:pPr>
        <w:spacing w:after="0" w:line="182"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July 2025, the FASB issued ASU No. 2025-05, Financial Instruments-Credit Losses (Topic 326): Measurement of Credit Losses for Accounts Receivable and Contract Assets (“ASU 2025-05”), which provides a practical expedient to measure credit losses on current accounts receivable and current contract assets under ASC 606, Revenue from Contracts with Customers. The practical expedient assumes that current conditions as of the balance sheet date do not change for the remaining life of the asset. The ASU 2025-05 is effective for annual reporting period beginning after December 15, 2025 and interim reporting within those annual reporting periods. The new standard is not expected to have a material impact on the Company’s consolidated financial statements.</w:t>
      </w:r>
    </w:p>
    <w:p>
      <w:pPr>
        <w:spacing w:after="0" w:line="170" w:lineRule="exact"/>
        <w:rPr>
          <w:rFonts w:ascii="Times New Roman" w:cs="Times New Roman" w:eastAsia="Times New Roman" w:hAnsi="Times New Roman"/>
          <w:sz w:val="16"/>
          <w:szCs w:val="16"/>
          <w:b w:val="1"/>
          <w:bCs w:val="1"/>
          <w:color w:val="auto"/>
        </w:rPr>
      </w:pP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November 2025, the FASB issued ASU No. 2025-09, Hedge Accounting Improvements (Topic 815), which amends certain aspects of the hedge accounting guidance in ASC 815, to more closely align hedge accounting with the economics of an entity’s risk management activities. The ASU is effective for annual periods beginning after December 15, 2026 and interim reporting within those annual reporting periods. The ASU is not expected to have a material impact on the Company’s consolidated financial statements.</w:t>
      </w:r>
    </w:p>
    <w:p>
      <w:pPr>
        <w:spacing w:after="0" w:line="164" w:lineRule="exact"/>
        <w:rPr>
          <w:rFonts w:ascii="Times New Roman" w:cs="Times New Roman" w:eastAsia="Times New Roman" w:hAnsi="Times New Roman"/>
          <w:sz w:val="16"/>
          <w:szCs w:val="16"/>
          <w:b w:val="1"/>
          <w:bCs w:val="1"/>
          <w:color w:val="auto"/>
        </w:rPr>
      </w:pPr>
    </w:p>
    <w:p>
      <w:pPr>
        <w:jc w:val="both"/>
        <w:ind w:left="1240" w:right="20"/>
        <w:spacing w:after="0" w:line="27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December 2025, the FASB issued ASU No. 2025-10, Government Grants (Topic 832): Accounting for Government Grants Received by Business Entities, which adds guidance to ASC 832 on the recognition, measurement, and presentation of government grants. The ASU requires entities to recognize government grant income when all eligibility criteria have been met and the related costs have been incurred, clarifying the timing and presentation of such grants within the financial statements. The ASU is effective for annual periods beginning after December 15, 2028 and interim reporting within those annual reporting periods. The company is still evaluating the potential impact of the new standard on its financial statements.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3:   INVENTORIES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7"/>
        </w:trPr>
        <w:tc>
          <w:tcPr>
            <w:tcW w:w="77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Inventories consist of the following as of December 31, 2025 and 2024:</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16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4"/>
                <w:szCs w:val="24"/>
                <w:color w:val="auto"/>
              </w:rPr>
            </w:pPr>
          </w:p>
        </w:tc>
      </w:tr>
      <w:tr>
        <w:trPr>
          <w:trHeight w:val="206"/>
        </w:trPr>
        <w:tc>
          <w:tcPr>
            <w:tcW w:w="116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105,301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6"/>
              </w:rPr>
              <w:t>127,171</w:t>
            </w:r>
          </w:p>
        </w:tc>
        <w:tc>
          <w:tcPr>
            <w:tcW w:w="100" w:type="dxa"/>
            <w:vAlign w:val="bottom"/>
            <w:shd w:val="clear" w:color="auto" w:fill="CCEEFF"/>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144,373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118,642</w:t>
            </w:r>
          </w:p>
        </w:tc>
      </w:tr>
      <w:tr>
        <w:trPr>
          <w:trHeight w:val="206"/>
        </w:trPr>
        <w:tc>
          <w:tcPr>
            <w:tcW w:w="116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22,482</w:t>
            </w:r>
          </w:p>
        </w:tc>
      </w:tr>
      <w:tr>
        <w:trPr>
          <w:trHeight w:val="24"/>
        </w:trPr>
        <w:tc>
          <w:tcPr>
            <w:tcW w:w="116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116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256,855</w:t>
            </w:r>
          </w:p>
        </w:tc>
        <w:tc>
          <w:tcPr>
            <w:tcW w:w="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6"/>
              </w:rPr>
              <w:t>268,295</w:t>
            </w:r>
          </w:p>
        </w:tc>
        <w:tc>
          <w:tcPr>
            <w:tcW w:w="1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left="900" w:right="20"/>
        <w:spacing w:after="0" w:line="303" w:lineRule="auto"/>
        <w:rPr>
          <w:sz w:val="20"/>
          <w:szCs w:val="20"/>
          <w:color w:val="auto"/>
        </w:rPr>
      </w:pPr>
      <w:r>
        <w:rPr>
          <w:rFonts w:ascii="Times New Roman" w:cs="Times New Roman" w:eastAsia="Times New Roman" w:hAnsi="Times New Roman"/>
          <w:sz w:val="16"/>
          <w:szCs w:val="16"/>
          <w:color w:val="auto"/>
        </w:rPr>
        <w:t>Work in process and finished goods are presented net of aggregate writes down to net realizable value of $6,057 and $8,803 as of December 31, 2025 and 2024, respectively.</w:t>
      </w:r>
    </w:p>
    <w:p>
      <w:pPr>
        <w:spacing w:after="0" w:line="12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4:</w:t>
        <w:tab/>
        <w:t>OTHER CURRENT ASSETS</w:t>
      </w:r>
    </w:p>
    <w:p>
      <w:pPr>
        <w:spacing w:after="0" w:line="2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Other current assets consist of the following as of December 31, 2025 and 2024: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2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6"/>
        </w:trPr>
        <w:tc>
          <w:tcPr>
            <w:tcW w:w="116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and indirect tax receivables</w:t>
            </w:r>
          </w:p>
        </w:tc>
        <w:tc>
          <w:tcPr>
            <w:tcW w:w="27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41,197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27,551</w:t>
            </w:r>
          </w:p>
        </w:tc>
        <w:tc>
          <w:tcPr>
            <w:tcW w:w="100" w:type="dxa"/>
            <w:vAlign w:val="bottom"/>
            <w:shd w:val="clear" w:color="auto" w:fill="CCEEFF"/>
          </w:tcPr>
          <w:p>
            <w:pPr>
              <w:spacing w:after="0"/>
              <w:rPr>
                <w:sz w:val="17"/>
                <w:szCs w:val="17"/>
                <w:color w:val="auto"/>
              </w:rPr>
            </w:pPr>
          </w:p>
        </w:tc>
        <w:tc>
          <w:tcPr>
            <w:tcW w:w="1520" w:type="dxa"/>
            <w:vAlign w:val="bottom"/>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32,985</w:t>
            </w:r>
          </w:p>
        </w:tc>
        <w:tc>
          <w:tcPr>
            <w:tcW w:w="1520" w:type="dxa"/>
            <w:vAlign w:val="bottom"/>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from hedging transactions - see Note 10A</w:t>
            </w:r>
          </w:p>
        </w:tc>
        <w:tc>
          <w:tcPr>
            <w:tcW w:w="2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768</w:t>
            </w:r>
          </w:p>
        </w:tc>
        <w:tc>
          <w:tcPr>
            <w:tcW w:w="1520" w:type="dxa"/>
            <w:vAlign w:val="bottom"/>
          </w:tcPr>
          <w:p>
            <w:pPr>
              <w:spacing w:after="0"/>
              <w:rPr>
                <w:sz w:val="17"/>
                <w:szCs w:val="17"/>
                <w:color w:val="auto"/>
              </w:rPr>
            </w:pPr>
          </w:p>
        </w:tc>
      </w:tr>
      <w:tr>
        <w:trPr>
          <w:trHeight w:val="211"/>
        </w:trPr>
        <w:tc>
          <w:tcPr>
            <w:tcW w:w="11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Other receivables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513</w:t>
            </w:r>
          </w:p>
        </w:tc>
        <w:tc>
          <w:tcPr>
            <w:tcW w:w="1520" w:type="dxa"/>
            <w:vAlign w:val="bottom"/>
          </w:tcPr>
          <w:p>
            <w:pPr>
              <w:spacing w:after="0"/>
              <w:rPr>
                <w:sz w:val="18"/>
                <w:szCs w:val="18"/>
                <w:color w:val="auto"/>
              </w:rPr>
            </w:pPr>
          </w:p>
        </w:tc>
      </w:tr>
      <w:tr>
        <w:trPr>
          <w:trHeight w:val="246"/>
        </w:trPr>
        <w:tc>
          <w:tcPr>
            <w:tcW w:w="116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78,062</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Pr>
          <w:p>
            <w:pPr>
              <w:spacing w:after="0"/>
              <w:rPr>
                <w:sz w:val="21"/>
                <w:szCs w:val="21"/>
                <w:color w:val="auto"/>
              </w:rPr>
            </w:pPr>
          </w:p>
        </w:tc>
      </w:tr>
      <w:tr>
        <w:trPr>
          <w:trHeight w:val="559"/>
        </w:trPr>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900" w:type="dxa"/>
            <w:vAlign w:val="bottom"/>
            <w:gridSpan w:val="2"/>
          </w:tcPr>
          <w:p>
            <w:pPr>
              <w:jc w:val="right"/>
              <w:ind w:right="2059"/>
              <w:spacing w:after="0"/>
              <w:rPr>
                <w:sz w:val="20"/>
                <w:szCs w:val="20"/>
                <w:color w:val="auto"/>
              </w:rPr>
            </w:pPr>
            <w:r>
              <w:rPr>
                <w:rFonts w:ascii="Times New Roman" w:cs="Times New Roman" w:eastAsia="Times New Roman" w:hAnsi="Times New Roman"/>
                <w:sz w:val="16"/>
                <w:szCs w:val="16"/>
                <w:color w:val="auto"/>
              </w:rPr>
              <w:t>F - 20</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78"/>
        </w:trPr>
        <w:tc>
          <w:tcPr>
            <w:tcW w:w="1160" w:type="dxa"/>
            <w:vAlign w:val="bottom"/>
            <w:tcBorders>
              <w:bottom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c>
          <w:tcPr>
            <w:tcW w:w="27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39"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5:</w:t>
            </w:r>
          </w:p>
        </w:tc>
        <w:tc>
          <w:tcPr>
            <w:tcW w:w="64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7"/>
        </w:trPr>
        <w:tc>
          <w:tcPr>
            <w:tcW w:w="760" w:type="dxa"/>
            <w:vAlign w:val="bottom"/>
          </w:tcPr>
          <w:p>
            <w:pPr>
              <w:spacing w:after="0"/>
              <w:rPr>
                <w:sz w:val="24"/>
                <w:szCs w:val="24"/>
                <w:color w:val="auto"/>
              </w:rPr>
            </w:pPr>
          </w:p>
        </w:tc>
        <w:tc>
          <w:tcPr>
            <w:tcW w:w="6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Property and equipment, net consist of the following as of December 31, 2025 and 2024:</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4"/>
                <w:szCs w:val="24"/>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Original cost: (*)</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Land and buildings, including facility infrastructure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491,099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463,564</w:t>
            </w:r>
          </w:p>
        </w:tc>
        <w:tc>
          <w:tcPr>
            <w:tcW w:w="100" w:type="dxa"/>
            <w:vAlign w:val="bottom"/>
          </w:tcPr>
          <w:p>
            <w:pPr>
              <w:spacing w:after="0"/>
              <w:rPr>
                <w:sz w:val="17"/>
                <w:szCs w:val="17"/>
                <w:color w:val="auto"/>
              </w:rPr>
            </w:pPr>
          </w:p>
        </w:tc>
      </w:tr>
      <w:tr>
        <w:trPr>
          <w:trHeight w:val="211"/>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4,694,587</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4,281,817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1"/>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5,185,686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4,745,381</w:t>
            </w:r>
          </w:p>
        </w:tc>
        <w:tc>
          <w:tcPr>
            <w:tcW w:w="100" w:type="dxa"/>
            <w:vAlign w:val="bottom"/>
          </w:tcPr>
          <w:p>
            <w:pPr>
              <w:spacing w:after="0"/>
              <w:rPr>
                <w:sz w:val="18"/>
                <w:szCs w:val="18"/>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Buildings, including facility infrastructure</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(317,082)</w:t>
            </w:r>
          </w:p>
        </w:tc>
        <w:tc>
          <w:tcPr>
            <w:tcW w:w="1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(303,041)</w:t>
            </w: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(3,405,548)</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(3,155,718)</w:t>
            </w:r>
          </w:p>
        </w:tc>
      </w:tr>
      <w:tr>
        <w:trPr>
          <w:trHeight w:val="24"/>
        </w:trPr>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(3,722,630)</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(3,458,759)</w:t>
            </w:r>
          </w:p>
        </w:tc>
      </w:tr>
      <w:tr>
        <w:trPr>
          <w:trHeight w:val="246"/>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1,463,056</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1,286,622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6" w:lineRule="exact"/>
        <w:rPr>
          <w:sz w:val="20"/>
          <w:szCs w:val="20"/>
          <w:color w:val="auto"/>
        </w:rPr>
      </w:pPr>
    </w:p>
    <w:p>
      <w:pPr>
        <w:ind w:left="900" w:right="20" w:hanging="5"/>
        <w:spacing w:after="0" w:line="303" w:lineRule="auto"/>
        <w:tabs>
          <w:tab w:leader="none" w:pos="115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Original cost includes ROU assets under capital lease in the amount of $140,308 and $153,159 as of December 31, 2025 and 2024, respectively. The depreciation expense of such assets amounted to $13,786 and $15,195 for the years ended December 31, 2025 and 2024, respectively.</w:t>
      </w:r>
    </w:p>
    <w:p>
      <w:pPr>
        <w:spacing w:after="0" w:line="142" w:lineRule="exact"/>
        <w:rPr>
          <w:sz w:val="20"/>
          <w:szCs w:val="20"/>
          <w:color w:val="auto"/>
        </w:rPr>
      </w:pPr>
    </w:p>
    <w:p>
      <w:pPr>
        <w:ind w:left="900" w:right="20"/>
        <w:spacing w:after="0" w:line="303" w:lineRule="auto"/>
        <w:rPr>
          <w:sz w:val="20"/>
          <w:szCs w:val="20"/>
          <w:color w:val="auto"/>
        </w:rPr>
      </w:pPr>
      <w:r>
        <w:rPr>
          <w:rFonts w:ascii="Times New Roman" w:cs="Times New Roman" w:eastAsia="Times New Roman" w:hAnsi="Times New Roman"/>
          <w:sz w:val="16"/>
          <w:szCs w:val="16"/>
          <w:color w:val="auto"/>
        </w:rPr>
        <w:t>As of December 31, 2025 and 2024, the original cost of land, buildings, machinery and equipment was presented net of investment grants, in the aggregate amount of approximately $285,000.</w:t>
      </w:r>
    </w:p>
    <w:p>
      <w:pPr>
        <w:spacing w:after="0" w:line="1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6:</w:t>
        <w:tab/>
        <w:t>INTANGIBLE ASSETS, NET</w:t>
      </w:r>
    </w:p>
    <w:p>
      <w:pPr>
        <w:spacing w:after="0" w:line="2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Intangible assets, net consist of the following as of December 31, 2025:</w:t>
      </w:r>
    </w:p>
    <w:p>
      <w:pPr>
        <w:spacing w:after="0" w:line="265" w:lineRule="exact"/>
        <w:rPr>
          <w:sz w:val="20"/>
          <w:szCs w:val="20"/>
          <w:color w:val="auto"/>
        </w:rPr>
      </w:pPr>
    </w:p>
    <w:tbl>
      <w:tblPr>
        <w:tblLayout w:type="fixed"/>
        <w:tblInd w:w="1160" w:type="dxa"/>
        <w:tblCellMar>
          <w:top w:w="0" w:type="dxa"/>
          <w:left w:w="0" w:type="dxa"/>
          <w:bottom w:w="0" w:type="dxa"/>
          <w:right w:w="0" w:type="dxa"/>
        </w:tblCellMar>
      </w:tblPr>
      <w:tr>
        <w:trPr>
          <w:trHeight w:val="206"/>
        </w:trPr>
        <w:tc>
          <w:tcPr>
            <w:tcW w:w="4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Details</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Cost</w:t>
            </w:r>
          </w:p>
        </w:tc>
        <w:tc>
          <w:tcPr>
            <w:tcW w:w="140" w:type="dxa"/>
            <w:vAlign w:val="bottom"/>
          </w:tcPr>
          <w:p>
            <w:pPr>
              <w:spacing w:after="0"/>
              <w:rPr>
                <w:sz w:val="17"/>
                <w:szCs w:val="17"/>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7"/>
                <w:szCs w:val="17"/>
                <w:color w:val="auto"/>
              </w:rPr>
            </w:pPr>
          </w:p>
        </w:tc>
        <w:tc>
          <w:tcPr>
            <w:tcW w:w="7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color w:val="auto"/>
              </w:rPr>
              <w:t>Net</w:t>
            </w:r>
          </w:p>
        </w:tc>
        <w:tc>
          <w:tcPr>
            <w:tcW w:w="0" w:type="dxa"/>
            <w:vAlign w:val="bottom"/>
          </w:tcPr>
          <w:p>
            <w:pPr>
              <w:spacing w:after="0"/>
              <w:rPr>
                <w:sz w:val="1"/>
                <w:szCs w:val="1"/>
                <w:color w:val="auto"/>
              </w:rPr>
            </w:pPr>
          </w:p>
        </w:tc>
      </w:tr>
      <w:tr>
        <w:trPr>
          <w:trHeight w:val="215"/>
        </w:trPr>
        <w:tc>
          <w:tcPr>
            <w:tcW w:w="4480" w:type="dxa"/>
            <w:vAlign w:val="bottom"/>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Amortization</w:t>
            </w:r>
          </w:p>
        </w:tc>
        <w:tc>
          <w:tcPr>
            <w:tcW w:w="2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Facilities’ lease</w:t>
            </w: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33,500</w:t>
            </w:r>
          </w:p>
        </w:tc>
        <w:tc>
          <w:tcPr>
            <w:tcW w:w="1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(31,970)</w:t>
            </w: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Technologies</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(6,700)</w:t>
            </w:r>
          </w:p>
        </w:tc>
        <w:tc>
          <w:tcPr>
            <w:tcW w:w="2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4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Total identifiable intangible assets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42,800</w:t>
            </w:r>
          </w:p>
        </w:tc>
        <w:tc>
          <w:tcPr>
            <w:tcW w:w="14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(41,270)</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1,530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Intangible assets, net consist of the following as of December 31, 2024: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3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Details</w:t>
            </w:r>
          </w:p>
        </w:tc>
        <w:tc>
          <w:tcPr>
            <w:tcW w:w="12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Cost</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7"/>
                <w:szCs w:val="17"/>
                <w:color w:val="auto"/>
              </w:rPr>
            </w:pPr>
          </w:p>
        </w:tc>
        <w:tc>
          <w:tcPr>
            <w:tcW w:w="7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color w:val="auto"/>
              </w:rPr>
              <w:t>Net</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Amortization</w:t>
            </w:r>
          </w:p>
        </w:tc>
        <w:tc>
          <w:tcPr>
            <w:tcW w:w="2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Facilities’ lease</w:t>
            </w:r>
          </w:p>
        </w:tc>
        <w:tc>
          <w:tcPr>
            <w:tcW w:w="12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33,500</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(30,682)</w:t>
            </w: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80" w:type="dxa"/>
            <w:vAlign w:val="bottom"/>
            <w:shd w:val="clear" w:color="auto" w:fill="CCEEFF"/>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Technologies</w:t>
            </w:r>
          </w:p>
        </w:tc>
        <w:tc>
          <w:tcPr>
            <w:tcW w:w="2000" w:type="dxa"/>
            <w:vAlign w:val="bottom"/>
            <w:gridSpan w:val="2"/>
          </w:tcPr>
          <w:p>
            <w:pPr>
              <w:jc w:val="center"/>
              <w:ind w:left="1139"/>
              <w:spacing w:after="0"/>
              <w:rPr>
                <w:sz w:val="20"/>
                <w:szCs w:val="20"/>
                <w:color w:val="auto"/>
              </w:rPr>
            </w:pPr>
            <w:r>
              <w:rPr>
                <w:rFonts w:ascii="Times New Roman" w:cs="Times New Roman" w:eastAsia="Times New Roman" w:hAnsi="Times New Roman"/>
                <w:sz w:val="16"/>
                <w:szCs w:val="16"/>
                <w:color w:val="auto"/>
              </w:rPr>
              <w:t>10-20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6,700</w:t>
            </w:r>
          </w:p>
        </w:tc>
        <w:tc>
          <w:tcPr>
            <w:tcW w:w="3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(6,322)</w:t>
            </w:r>
          </w:p>
        </w:tc>
        <w:tc>
          <w:tcPr>
            <w:tcW w:w="2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378</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000" w:type="dxa"/>
            <w:vAlign w:val="bottom"/>
            <w:gridSpan w:val="2"/>
            <w:shd w:val="clear" w:color="auto" w:fill="CCEEFF"/>
          </w:tcPr>
          <w:p>
            <w:pPr>
              <w:jc w:val="center"/>
              <w:ind w:left="1159"/>
              <w:spacing w:after="0"/>
              <w:rPr>
                <w:sz w:val="20"/>
                <w:szCs w:val="20"/>
                <w:color w:val="auto"/>
              </w:rPr>
            </w:pPr>
            <w:r>
              <w:rPr>
                <w:rFonts w:ascii="Times New Roman" w:cs="Times New Roman" w:eastAsia="Times New Roman" w:hAnsi="Times New Roman"/>
                <w:sz w:val="16"/>
                <w:szCs w:val="16"/>
                <w:color w:val="auto"/>
                <w:w w:val="99"/>
              </w:rPr>
              <w:t>15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160" w:type="dxa"/>
            <w:vAlign w:val="bottom"/>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16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Total identifiable intangible assets</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42,800</w:t>
            </w:r>
          </w:p>
        </w:tc>
        <w:tc>
          <w:tcPr>
            <w:tcW w:w="14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(39,604)</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3,196</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F - 21</w:t>
            </w: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160" w:type="dxa"/>
            <w:vAlign w:val="bottom"/>
            <w:tcBorders>
              <w:bottom w:val="single" w:sz="8" w:color="auto"/>
            </w:tcBorders>
          </w:tcPr>
          <w:p>
            <w:pPr>
              <w:spacing w:after="0"/>
              <w:rPr>
                <w:sz w:val="6"/>
                <w:szCs w:val="6"/>
                <w:color w:val="auto"/>
              </w:rPr>
            </w:pPr>
          </w:p>
        </w:tc>
        <w:tc>
          <w:tcPr>
            <w:tcW w:w="32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40" w:right="319" w:bottom="1440" w:gutter="0" w:footer="0" w:header="0"/>
        </w:sectPr>
      </w:pPr>
    </w:p>
    <w:bookmarkStart w:id="26" w:name="page27"/>
    <w:bookmarkEnd w:id="2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7:</w:t>
            </w:r>
          </w:p>
        </w:tc>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 LONG-TERM ASSETS, NET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760" w:type="dxa"/>
            <w:vAlign w:val="bottom"/>
          </w:tcPr>
          <w:p>
            <w:pPr>
              <w:spacing w:after="0"/>
              <w:rPr>
                <w:sz w:val="24"/>
                <w:szCs w:val="24"/>
                <w:color w:val="auto"/>
              </w:rPr>
            </w:pPr>
          </w:p>
        </w:tc>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long-term assets, net consist of the following as of December 31, 2025 and 2024:</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ROU - assets under operating leases, see Note 12D</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117,704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 - see Note 17C</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privately held companies</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Prepaid long-term land lease, net</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Pension plan net assets</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Long-term prepaid expenses</w:t>
            </w: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141,082</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8:</w:t>
            </w:r>
          </w:p>
        </w:tc>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 CURRENT LIABILITIES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760" w:type="dxa"/>
            <w:vAlign w:val="bottom"/>
          </w:tcPr>
          <w:p>
            <w:pPr>
              <w:spacing w:after="0"/>
              <w:rPr>
                <w:sz w:val="24"/>
                <w:szCs w:val="24"/>
                <w:color w:val="auto"/>
              </w:rPr>
            </w:pPr>
          </w:p>
        </w:tc>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current liabilities consist of the following as of December 31, 2025 and 2024:</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payables</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Hedging transactions related payables - see Note 10A</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15,840</w:t>
            </w:r>
          </w:p>
        </w:tc>
        <w:tc>
          <w:tcPr>
            <w:tcW w:w="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19,210</w:t>
            </w: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9:</w:t>
            </w:r>
          </w:p>
        </w:tc>
        <w:tc>
          <w:tcPr>
            <w:tcW w:w="6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60" w:type="dxa"/>
            <w:vAlign w:val="bottom"/>
            <w:vMerge w:val="continue"/>
          </w:tcPr>
          <w:p>
            <w:pPr>
              <w:spacing w:after="0"/>
              <w:rPr>
                <w:sz w:val="24"/>
                <w:szCs w:val="24"/>
                <w:color w:val="auto"/>
              </w:rPr>
            </w:pPr>
          </w:p>
        </w:tc>
        <w:tc>
          <w:tcPr>
            <w:tcW w:w="640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40" w:hanging="345"/>
        <w:spacing w:after="0"/>
        <w:tabs>
          <w:tab w:leader="none" w:pos="124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Composition</w:t>
      </w:r>
    </w:p>
    <w:p>
      <w:pPr>
        <w:spacing w:after="0" w:line="255"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and 2024: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0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44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auto"/>
              </w:rPr>
              <w:t>JPY loans - principal amount - see Notes 9B and 9C below</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92,568</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98,962</w:t>
            </w: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442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Capital leases and other long-term liabilities - see Note 9D below</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52,928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73,977</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3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leases - see Note 9E below</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16,022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7,874</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0" w:type="dxa"/>
            <w:vAlign w:val="bottom"/>
          </w:tcPr>
          <w:p>
            <w:pPr>
              <w:spacing w:after="0"/>
              <w:rPr>
                <w:sz w:val="18"/>
                <w:szCs w:val="18"/>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Less - current maturities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(28,112)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(48,376)</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600" w:type="dxa"/>
            <w:vAlign w:val="bottom"/>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133,406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132,437</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4680" w:type="dxa"/>
            <w:vAlign w:val="bottom"/>
            <w:gridSpan w:val="7"/>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B.   Repayment Schedule of Long-term JPY Loans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00" w:type="dxa"/>
            <w:vAlign w:val="bottom"/>
            <w:gridSpan w:val="6"/>
          </w:tcPr>
          <w:p>
            <w:pPr>
              <w:ind w:left="1240"/>
              <w:spacing w:after="0"/>
              <w:rPr>
                <w:sz w:val="20"/>
                <w:szCs w:val="20"/>
                <w:color w:val="auto"/>
              </w:rPr>
            </w:pPr>
            <w:r>
              <w:rPr>
                <w:rFonts w:ascii="Times New Roman" w:cs="Times New Roman" w:eastAsia="Times New Roman" w:hAnsi="Times New Roman"/>
                <w:sz w:val="16"/>
                <w:szCs w:val="16"/>
                <w:color w:val="auto"/>
              </w:rPr>
              <w:t>As of December 31, 2025:</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600" w:type="dxa"/>
            <w:vAlign w:val="bottom"/>
          </w:tcPr>
          <w:p>
            <w:pPr>
              <w:spacing w:after="0"/>
              <w:rPr>
                <w:sz w:val="24"/>
                <w:szCs w:val="24"/>
                <w:color w:val="auto"/>
              </w:rPr>
            </w:pP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rPr>
              <w:t>Details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Interest</w:t>
            </w: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Total</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5"/>
              </w:rPr>
              <w:t>Rate</w:t>
            </w: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600" w:type="dxa"/>
            <w:vAlign w:val="bottom"/>
          </w:tcPr>
          <w:p>
            <w:pPr>
              <w:spacing w:after="0"/>
              <w:rPr>
                <w:sz w:val="15"/>
                <w:szCs w:val="15"/>
                <w:color w:val="auto"/>
              </w:rPr>
            </w:pPr>
          </w:p>
        </w:tc>
        <w:tc>
          <w:tcPr>
            <w:tcW w:w="96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Long-term</w:t>
            </w:r>
          </w:p>
        </w:tc>
        <w:tc>
          <w:tcPr>
            <w:tcW w:w="360" w:type="dxa"/>
            <w:vAlign w:val="bottom"/>
            <w:tcBorders>
              <w:top w:val="single" w:sz="8" w:color="auto"/>
            </w:tcBorders>
            <w:shd w:val="clear" w:color="auto" w:fill="CCEEFF"/>
          </w:tcPr>
          <w:p>
            <w:pPr>
              <w:ind w:left="80"/>
              <w:spacing w:after="0" w:line="178" w:lineRule="exact"/>
              <w:rPr>
                <w:sz w:val="20"/>
                <w:szCs w:val="20"/>
                <w:color w:val="auto"/>
              </w:rPr>
            </w:pPr>
            <w:r>
              <w:rPr>
                <w:rFonts w:ascii="Times New Roman" w:cs="Times New Roman" w:eastAsia="Times New Roman" w:hAnsi="Times New Roman"/>
                <w:sz w:val="16"/>
                <w:szCs w:val="16"/>
                <w:color w:val="auto"/>
                <w:w w:val="97"/>
              </w:rPr>
              <w:t>JPY</w:t>
            </w:r>
          </w:p>
        </w:tc>
        <w:tc>
          <w:tcPr>
            <w:tcW w:w="80" w:type="dxa"/>
            <w:vAlign w:val="bottom"/>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w:t>
            </w:r>
          </w:p>
        </w:tc>
        <w:tc>
          <w:tcPr>
            <w:tcW w:w="14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68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13,224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26,448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26,448</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26,448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92,568</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3"/>
        </w:trPr>
        <w:tc>
          <w:tcPr>
            <w:tcW w:w="1600" w:type="dxa"/>
            <w:vAlign w:val="bottom"/>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center"/>
              <w:ind w:left="159"/>
              <w:spacing w:after="0"/>
              <w:rPr>
                <w:sz w:val="20"/>
                <w:szCs w:val="20"/>
                <w:color w:val="auto"/>
              </w:rPr>
            </w:pPr>
            <w:r>
              <w:rPr>
                <w:rFonts w:ascii="Times New Roman" w:cs="Times New Roman" w:eastAsia="Times New Roman" w:hAnsi="Times New Roman"/>
                <w:sz w:val="16"/>
                <w:szCs w:val="16"/>
                <w:color w:val="auto"/>
                <w:w w:val="99"/>
              </w:rPr>
              <w:t>F - 22</w:t>
            </w: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6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39"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9:</w:t>
        <w:tab/>
        <w:t>LONG-TERM DEBT (continued)</w:t>
      </w:r>
    </w:p>
    <w:p>
      <w:pPr>
        <w:spacing w:after="0" w:line="217" w:lineRule="exact"/>
        <w:rPr>
          <w:sz w:val="20"/>
          <w:szCs w:val="20"/>
          <w:color w:val="auto"/>
        </w:rPr>
      </w:pPr>
    </w:p>
    <w:p>
      <w:pPr>
        <w:ind w:left="1240" w:hanging="345"/>
        <w:spacing w:after="0"/>
        <w:tabs>
          <w:tab w:leader="none" w:pos="124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Long-term JPY Loans</w:t>
      </w:r>
    </w:p>
    <w:p>
      <w:pPr>
        <w:spacing w:after="0" w:line="255" w:lineRule="exact"/>
        <w:rPr>
          <w:rFonts w:ascii="Times New Roman" w:cs="Times New Roman" w:eastAsia="Times New Roman" w:hAnsi="Times New Roman"/>
          <w:sz w:val="16"/>
          <w:szCs w:val="16"/>
          <w:b w:val="1"/>
          <w:bCs w:val="1"/>
          <w:color w:val="auto"/>
        </w:rPr>
      </w:pPr>
    </w:p>
    <w:p>
      <w:pPr>
        <w:jc w:val="both"/>
        <w:ind w:left="1240" w:right="2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December 2021, TPSCo refinanced its then existing loan with an 11 billion JPY (approximately $70,000 as of December 31, 2025) asset-based loan with a consortium of financial institutions consisting of (i) JA Mitsui Leasing, Ltd., (ii) Mitsubishi HC Capital Inc., (iii) Taishin International Bank Co., Ltd. Tokyo Branch, and (iv) BOT lease Co. Ltd. (“2021 JPY Loan”). The 2021 JPY Loan carried a fixed interest rate of 1.95% per annum with principal payable in seven semiannual payments from December 2024 until December 2027. The 2021 JPY Loan was secured mainly by a lien over the machinery and equipment of TPSCo located in the Uozu and Tonami facilities.</w:t>
      </w:r>
    </w:p>
    <w:p>
      <w:pPr>
        <w:spacing w:after="0" w:line="182" w:lineRule="exact"/>
        <w:rPr>
          <w:rFonts w:ascii="Times New Roman" w:cs="Times New Roman" w:eastAsia="Times New Roman" w:hAnsi="Times New Roman"/>
          <w:sz w:val="16"/>
          <w:szCs w:val="16"/>
          <w:b w:val="1"/>
          <w:bCs w:val="1"/>
          <w:color w:val="auto"/>
        </w:rPr>
      </w:pPr>
    </w:p>
    <w:p>
      <w:pPr>
        <w:jc w:val="both"/>
        <w:ind w:left="1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September 2023, TPSCo entered into a term loan agreement with JA Mitsui Leasing Ltd. for an additional 3.5 billion JPY (approximately $22,000 as of December 31, 2025) term loan (“2023 JPY Loan”). The 2023 JPY Loan carried a fixed interest rate of approximately 2% per annum with principal payable in seven semiannual payments from September 2024 until September 2027. The 2023 JPY Loan was secured by a second lien over the machinery and equipment of TPSCo located in the Uozu and Tonami facilities.</w:t>
      </w:r>
    </w:p>
    <w:p>
      <w:pPr>
        <w:spacing w:after="0" w:line="164" w:lineRule="exact"/>
        <w:rPr>
          <w:rFonts w:ascii="Times New Roman" w:cs="Times New Roman" w:eastAsia="Times New Roman" w:hAnsi="Times New Roman"/>
          <w:sz w:val="16"/>
          <w:szCs w:val="16"/>
          <w:b w:val="1"/>
          <w:bCs w:val="1"/>
          <w:color w:val="auto"/>
        </w:rPr>
      </w:pPr>
    </w:p>
    <w:p>
      <w:pPr>
        <w:jc w:val="both"/>
        <w:ind w:left="1240"/>
        <w:spacing w:after="0" w:line="26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December 2024, TPSCo signed an agreement with its lenders to refinance its 2021 JPY Loan and 2023 JPY Loan with a new 14.5 billion JPY (approximately $92,000 as of December 31, 2025) asset-based loan (“2024 JPY Loan”). 12.5 billion JPY were drawn in 2024 and used to repay 11.5 billion JPY of the 2021 JPY Loan and 2023 JPY Loan, resulting in outstanding JPY Loans of 15.5 billion JPY (approximately $100,000) as of December 31, 2024. In accordance with this agreement, during the first half of 2025, 3 billion JPY were used to repay the remaining 2021 JPY Loan and 2023 JPY Loan and an additional amount of 2 billion JPY was withdrawn, resulting in outstanding JPY Loans of 14.5 billion JPY (approximately $92,000) as of December 31, 2025. The lenders of the 2024 JPY Loan are a consortium of financial institutions consisting of (i) JA Mitsui Leasing, Ltd., (ii) Mitsubishi HC Capital Inc. and (iii) BOT lease Co. Ltd.. The 2024 JPY Loan carries a fixed interest rate of 2% per annum with principal payable in seven semiannual payments from December 2027 to December 2030. The 2024 JPY Loan is secured mainly by a lien over the machinery and equipment of TPSCo located in the Uozu and Tonami facilities.</w:t>
      </w:r>
    </w:p>
    <w:p>
      <w:pPr>
        <w:spacing w:after="0" w:line="173" w:lineRule="exact"/>
        <w:rPr>
          <w:rFonts w:ascii="Times New Roman" w:cs="Times New Roman" w:eastAsia="Times New Roman" w:hAnsi="Times New Roman"/>
          <w:sz w:val="16"/>
          <w:szCs w:val="16"/>
          <w:b w:val="1"/>
          <w:bCs w:val="1"/>
          <w:color w:val="auto"/>
        </w:rPr>
      </w:pPr>
    </w:p>
    <w:p>
      <w:pPr>
        <w:ind w:left="124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2024 JPY Loan contains certain financial ratios and covenants, as well as customary definitions of events of default and acceleration of the repayment schedule. TPSCo’s obligations pursuant to the JPY Loan are not guaranteed by Tower, NTCJ, or any of their affiliates.</w:t>
      </w:r>
    </w:p>
    <w:p>
      <w:pPr>
        <w:spacing w:after="0" w:line="142"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TPSCo maintained compliance with all of the financial covenants under the 2024 JPY Loan.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39" w:right="319" w:bottom="1440" w:gutter="0" w:footer="0" w:header="0"/>
        </w:sectPr>
      </w:pPr>
    </w:p>
    <w:bookmarkStart w:id="28" w:name="page29"/>
    <w:bookmarkEnd w:id="28"/>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9:</w:t>
        <w:tab/>
        <w:t>LONG-TERM DEBT (continued)</w:t>
      </w:r>
    </w:p>
    <w:p>
      <w:pPr>
        <w:spacing w:after="0" w:line="204" w:lineRule="exact"/>
        <w:rPr>
          <w:sz w:val="20"/>
          <w:szCs w:val="20"/>
          <w:color w:val="auto"/>
        </w:rPr>
      </w:pPr>
    </w:p>
    <w:p>
      <w:pPr>
        <w:ind w:left="1240" w:hanging="345"/>
        <w:spacing w:after="0"/>
        <w:tabs>
          <w:tab w:leader="none" w:pos="124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Capital Lease Agreements and Other Long-term Liabilities</w:t>
      </w:r>
    </w:p>
    <w:p>
      <w:pPr>
        <w:spacing w:after="0" w:line="255" w:lineRule="exact"/>
        <w:rPr>
          <w:rFonts w:ascii="Times New Roman" w:cs="Times New Roman" w:eastAsia="Times New Roman" w:hAnsi="Times New Roman"/>
          <w:sz w:val="16"/>
          <w:szCs w:val="16"/>
          <w:b w:val="1"/>
          <w:bCs w:val="1"/>
          <w:color w:val="auto"/>
        </w:rPr>
      </w:pPr>
    </w:p>
    <w:p>
      <w:pPr>
        <w:jc w:val="both"/>
        <w:ind w:left="1240" w:right="20"/>
        <w:spacing w:after="0" w:line="27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Certain of the Company’s subsidiaries enter into capital lease agreements from time to time for certain machinery and equipment, usually for a period of four years, with an option to buy the machinery and equipment after a period of between three to four years from the start of the lease period. The lease agreements are denominated in JPY and contain annual interest rates of approximately 2%, and the assets under the lease agreements are pledged to the lender until the time at which the respective subsidiary acquires the assets. The obligations under the capital lease agreements are guaranteed by Tower, except for TPSCo’s obligations under its capital lease agreements.</w:t>
      </w:r>
    </w:p>
    <w:p>
      <w:pPr>
        <w:spacing w:after="0" w:line="167"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TPSCo leases its facility buildings in Japan from NTCJ under a long-term capital lease with a term through at least March 2032.</w:t>
      </w:r>
    </w:p>
    <w:p>
      <w:pPr>
        <w:spacing w:after="0" w:line="228" w:lineRule="exact"/>
        <w:rPr>
          <w:rFonts w:ascii="Times New Roman" w:cs="Times New Roman" w:eastAsia="Times New Roman" w:hAnsi="Times New Roman"/>
          <w:sz w:val="16"/>
          <w:szCs w:val="16"/>
          <w:b w:val="1"/>
          <w:bCs w:val="1"/>
          <w:color w:val="auto"/>
        </w:rPr>
      </w:pPr>
    </w:p>
    <w:p>
      <w:pPr>
        <w:ind w:left="1240" w:right="20"/>
        <w:spacing w:after="0" w:line="28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and 2024, the Company’s total outstanding capital lease liabilities for fixed assets were $52,928 and $73,453, respectively, of which $25,043 and $24,785, respectively, were included under current maturities of long-term debt.</w:t>
      </w:r>
    </w:p>
    <w:p>
      <w:pPr>
        <w:spacing w:after="0" w:line="16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The following presents the maturity of capital lease and other long-term liabilities as of December 31,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4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Fiscal Year</w:t>
            </w:r>
          </w:p>
        </w:tc>
        <w:tc>
          <w:tcPr>
            <w:tcW w:w="3540" w:type="dxa"/>
            <w:vAlign w:val="bottom"/>
          </w:tcPr>
          <w:p>
            <w:pPr>
              <w:spacing w:after="0"/>
              <w:rPr>
                <w:sz w:val="19"/>
                <w:szCs w:val="19"/>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Amount ($)</w:t>
            </w:r>
          </w:p>
        </w:tc>
        <w:tc>
          <w:tcPr>
            <w:tcW w:w="2260" w:type="dxa"/>
            <w:vAlign w:val="bottom"/>
          </w:tcPr>
          <w:p>
            <w:pPr>
              <w:spacing w:after="0"/>
              <w:rPr>
                <w:sz w:val="19"/>
                <w:szCs w:val="19"/>
                <w:color w:val="auto"/>
              </w:rPr>
            </w:pPr>
          </w:p>
        </w:tc>
      </w:tr>
      <w:tr>
        <w:trPr>
          <w:trHeight w:val="206"/>
        </w:trPr>
        <w:tc>
          <w:tcPr>
            <w:tcW w:w="2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35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25,838</w:t>
            </w:r>
          </w:p>
        </w:tc>
        <w:tc>
          <w:tcPr>
            <w:tcW w:w="2260" w:type="dxa"/>
            <w:vAlign w:val="bottom"/>
          </w:tcPr>
          <w:p>
            <w:pPr>
              <w:spacing w:after="0"/>
              <w:rPr>
                <w:sz w:val="17"/>
                <w:szCs w:val="17"/>
                <w:color w:val="auto"/>
              </w:rPr>
            </w:pPr>
          </w:p>
        </w:tc>
      </w:tr>
      <w:tr>
        <w:trPr>
          <w:trHeight w:val="206"/>
        </w:trPr>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3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8,245</w:t>
            </w:r>
          </w:p>
        </w:tc>
        <w:tc>
          <w:tcPr>
            <w:tcW w:w="2260" w:type="dxa"/>
            <w:vAlign w:val="bottom"/>
          </w:tcPr>
          <w:p>
            <w:pPr>
              <w:spacing w:after="0"/>
              <w:rPr>
                <w:sz w:val="17"/>
                <w:szCs w:val="17"/>
                <w:color w:val="auto"/>
              </w:rPr>
            </w:pPr>
          </w:p>
        </w:tc>
      </w:tr>
      <w:tr>
        <w:trPr>
          <w:trHeight w:val="206"/>
        </w:trPr>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3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w:t>
            </w:r>
          </w:p>
        </w:tc>
        <w:tc>
          <w:tcPr>
            <w:tcW w:w="2260" w:type="dxa"/>
            <w:vAlign w:val="bottom"/>
          </w:tcPr>
          <w:p>
            <w:pPr>
              <w:spacing w:after="0"/>
              <w:rPr>
                <w:sz w:val="17"/>
                <w:szCs w:val="17"/>
                <w:color w:val="auto"/>
              </w:rPr>
            </w:pPr>
          </w:p>
        </w:tc>
      </w:tr>
      <w:tr>
        <w:trPr>
          <w:trHeight w:val="206"/>
        </w:trPr>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3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5,495</w:t>
            </w:r>
          </w:p>
        </w:tc>
        <w:tc>
          <w:tcPr>
            <w:tcW w:w="2260" w:type="dxa"/>
            <w:vAlign w:val="bottom"/>
          </w:tcPr>
          <w:p>
            <w:pPr>
              <w:spacing w:after="0"/>
              <w:rPr>
                <w:sz w:val="17"/>
                <w:szCs w:val="17"/>
                <w:color w:val="auto"/>
              </w:rPr>
            </w:pPr>
          </w:p>
        </w:tc>
      </w:tr>
      <w:tr>
        <w:trPr>
          <w:trHeight w:val="206"/>
        </w:trPr>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3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2260" w:type="dxa"/>
            <w:vAlign w:val="bottom"/>
          </w:tcPr>
          <w:p>
            <w:pPr>
              <w:spacing w:after="0"/>
              <w:rPr>
                <w:sz w:val="17"/>
                <w:szCs w:val="17"/>
                <w:color w:val="auto"/>
              </w:rPr>
            </w:pPr>
          </w:p>
        </w:tc>
      </w:tr>
      <w:tr>
        <w:trPr>
          <w:trHeight w:val="206"/>
        </w:trPr>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2031 and on</w:t>
            </w:r>
          </w:p>
        </w:tc>
        <w:tc>
          <w:tcPr>
            <w:tcW w:w="3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2260" w:type="dxa"/>
            <w:vAlign w:val="bottom"/>
          </w:tcPr>
          <w:p>
            <w:pPr>
              <w:spacing w:after="0"/>
              <w:rPr>
                <w:sz w:val="17"/>
                <w:szCs w:val="17"/>
                <w:color w:val="auto"/>
              </w:rPr>
            </w:pPr>
          </w:p>
        </w:tc>
      </w:tr>
      <w:tr>
        <w:trPr>
          <w:trHeight w:val="211"/>
        </w:trPr>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54,956</w:t>
            </w:r>
          </w:p>
        </w:tc>
        <w:tc>
          <w:tcPr>
            <w:tcW w:w="2260" w:type="dxa"/>
            <w:vAlign w:val="bottom"/>
          </w:tcPr>
          <w:p>
            <w:pPr>
              <w:spacing w:after="0"/>
              <w:rPr>
                <w:sz w:val="18"/>
                <w:szCs w:val="18"/>
                <w:color w:val="auto"/>
              </w:rPr>
            </w:pPr>
          </w:p>
        </w:tc>
      </w:tr>
      <w:tr>
        <w:trPr>
          <w:trHeight w:val="211"/>
        </w:trPr>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Less - imputed interest</w:t>
            </w:r>
          </w:p>
        </w:tc>
        <w:tc>
          <w:tcPr>
            <w:tcW w:w="3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2260" w:type="dxa"/>
            <w:vAlign w:val="bottom"/>
          </w:tcPr>
          <w:p>
            <w:pPr>
              <w:spacing w:after="0"/>
              <w:rPr>
                <w:sz w:val="18"/>
                <w:szCs w:val="18"/>
                <w:color w:val="auto"/>
              </w:rPr>
            </w:pPr>
          </w:p>
        </w:tc>
      </w:tr>
      <w:tr>
        <w:trPr>
          <w:trHeight w:val="246"/>
        </w:trPr>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60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52,928</w:t>
            </w:r>
          </w:p>
        </w:tc>
        <w:tc>
          <w:tcPr>
            <w:tcW w:w="2260" w:type="dxa"/>
            <w:vAlign w:val="bottom"/>
          </w:tcPr>
          <w:p>
            <w:pPr>
              <w:spacing w:after="0"/>
              <w:rPr>
                <w:sz w:val="21"/>
                <w:szCs w:val="21"/>
                <w:color w:val="auto"/>
              </w:rPr>
            </w:pPr>
          </w:p>
        </w:tc>
      </w:tr>
      <w:tr>
        <w:trPr>
          <w:trHeight w:val="595"/>
        </w:trPr>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F - 24</w:t>
            </w:r>
          </w:p>
        </w:tc>
        <w:tc>
          <w:tcPr>
            <w:tcW w:w="6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6"/>
        </w:trPr>
        <w:tc>
          <w:tcPr>
            <w:tcW w:w="2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r>
    </w:tbl>
    <w:p>
      <w:pPr>
        <w:sectPr>
          <w:pgSz w:w="11900" w:h="16838" w:orient="portrait"/>
          <w:cols w:equalWidth="0" w:num="1">
            <w:col w:w="11260"/>
          </w:cols>
          <w:pgMar w:left="320" w:top="364"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9:</w:t>
        <w:tab/>
        <w:t>LONG-TERM DEBT (continued)</w:t>
      </w:r>
    </w:p>
    <w:p>
      <w:pPr>
        <w:spacing w:after="0" w:line="217" w:lineRule="exact"/>
        <w:rPr>
          <w:sz w:val="20"/>
          <w:szCs w:val="20"/>
          <w:color w:val="auto"/>
        </w:rPr>
      </w:pPr>
    </w:p>
    <w:p>
      <w:pPr>
        <w:ind w:left="1240" w:hanging="345"/>
        <w:spacing w:after="0"/>
        <w:tabs>
          <w:tab w:leader="none" w:pos="124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Operating Lease Agreements</w:t>
      </w:r>
    </w:p>
    <w:p>
      <w:pPr>
        <w:spacing w:after="0" w:line="255" w:lineRule="exact"/>
        <w:rPr>
          <w:sz w:val="20"/>
          <w:szCs w:val="20"/>
          <w:color w:val="auto"/>
        </w:rPr>
      </w:pPr>
    </w:p>
    <w:p>
      <w:pPr>
        <w:jc w:val="both"/>
        <w:ind w:left="1240"/>
        <w:spacing w:after="0" w:line="278" w:lineRule="auto"/>
        <w:rPr>
          <w:sz w:val="20"/>
          <w:szCs w:val="20"/>
          <w:color w:val="auto"/>
        </w:rPr>
      </w:pPr>
      <w:r>
        <w:rPr>
          <w:rFonts w:ascii="Times New Roman" w:cs="Times New Roman" w:eastAsia="Times New Roman" w:hAnsi="Times New Roman"/>
          <w:sz w:val="16"/>
          <w:szCs w:val="16"/>
          <w:color w:val="auto"/>
        </w:rPr>
        <w:t>The Company entered into operating leases, primarily with regard to certain of its operating and other facilities. In 2025 TSNB entered into an operating lease agreement to extend its current building lease, see Note 12D. Operating lease cost for the years ended December 31, 2025, 2024 and 2023 was $8,899, $4,592 and $4,807, respectively. During 2025, cash paid for operating lease liabilities was $110,582.</w:t>
      </w:r>
    </w:p>
    <w:p>
      <w:pPr>
        <w:spacing w:after="0" w:line="1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The following presents the composition of operating leases in the balance sheets:</w:t>
      </w:r>
    </w:p>
    <w:p>
      <w:pPr>
        <w:spacing w:after="0" w:line="217" w:lineRule="exact"/>
        <w:rPr>
          <w:sz w:val="20"/>
          <w:szCs w:val="20"/>
          <w:color w:val="auto"/>
        </w:rPr>
      </w:pPr>
    </w:p>
    <w:tbl>
      <w:tblPr>
        <w:tblLayout w:type="fixed"/>
        <w:tblInd w:w="1240" w:type="dxa"/>
        <w:tblCellMar>
          <w:top w:w="0" w:type="dxa"/>
          <w:left w:w="0" w:type="dxa"/>
          <w:bottom w:w="0" w:type="dxa"/>
          <w:right w:w="0" w:type="dxa"/>
        </w:tblCellMar>
      </w:tblPr>
      <w:tr>
        <w:trPr>
          <w:trHeight w:val="194"/>
        </w:trPr>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Presentation in the Consolidated Balance</w:t>
            </w:r>
          </w:p>
        </w:tc>
        <w:tc>
          <w:tcPr>
            <w:tcW w:w="80" w:type="dxa"/>
            <w:vAlign w:val="bottom"/>
          </w:tcPr>
          <w:p>
            <w:pPr>
              <w:spacing w:after="0"/>
              <w:rPr>
                <w:sz w:val="16"/>
                <w:szCs w:val="16"/>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8"/>
              </w:rPr>
              <w:t>December 31,</w:t>
            </w: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December 31,</w:t>
            </w:r>
          </w:p>
        </w:tc>
      </w:tr>
      <w:tr>
        <w:trPr>
          <w:trHeight w:val="227"/>
        </w:trPr>
        <w:tc>
          <w:tcPr>
            <w:tcW w:w="360" w:type="dxa"/>
            <w:vAlign w:val="bottom"/>
          </w:tcPr>
          <w:p>
            <w:pPr>
              <w:spacing w:after="0"/>
              <w:rPr>
                <w:sz w:val="19"/>
                <w:szCs w:val="19"/>
                <w:color w:val="auto"/>
              </w:rPr>
            </w:pPr>
          </w:p>
        </w:tc>
        <w:tc>
          <w:tcPr>
            <w:tcW w:w="2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Details</w:t>
            </w:r>
          </w:p>
        </w:tc>
        <w:tc>
          <w:tcPr>
            <w:tcW w:w="80" w:type="dxa"/>
            <w:vAlign w:val="bottom"/>
          </w:tcPr>
          <w:p>
            <w:pPr>
              <w:spacing w:after="0"/>
              <w:rPr>
                <w:sz w:val="19"/>
                <w:szCs w:val="19"/>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Sheets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2025</w:t>
            </w:r>
          </w:p>
        </w:tc>
        <w:tc>
          <w:tcPr>
            <w:tcW w:w="3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9"/>
                <w:szCs w:val="19"/>
                <w:color w:val="auto"/>
              </w:rPr>
            </w:pPr>
          </w:p>
        </w:tc>
      </w:tr>
      <w:tr>
        <w:trPr>
          <w:trHeight w:val="246"/>
        </w:trPr>
        <w:tc>
          <w:tcPr>
            <w:tcW w:w="360" w:type="dxa"/>
            <w:vAlign w:val="bottom"/>
          </w:tcPr>
          <w:p>
            <w:pPr>
              <w:spacing w:after="0"/>
              <w:rPr>
                <w:sz w:val="21"/>
                <w:szCs w:val="21"/>
                <w:color w:val="auto"/>
              </w:rPr>
            </w:pPr>
          </w:p>
        </w:tc>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ROU - assets under operating leases</w:t>
            </w:r>
          </w:p>
        </w:tc>
        <w:tc>
          <w:tcPr>
            <w:tcW w:w="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assets, net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117,704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right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195"/>
        </w:trPr>
        <w:tc>
          <w:tcPr>
            <w:tcW w:w="360" w:type="dxa"/>
            <w:vAlign w:val="bottom"/>
          </w:tcPr>
          <w:p>
            <w:pPr>
              <w:spacing w:after="0"/>
              <w:rPr>
                <w:sz w:val="16"/>
                <w:szCs w:val="16"/>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6"/>
        </w:trPr>
        <w:tc>
          <w:tcPr>
            <w:tcW w:w="360" w:type="dxa"/>
            <w:vAlign w:val="bottom"/>
          </w:tcPr>
          <w:p>
            <w:pPr>
              <w:spacing w:after="0"/>
              <w:rPr>
                <w:sz w:val="17"/>
                <w:szCs w:val="17"/>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8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440" w:type="dxa"/>
            <w:vAlign w:val="bottom"/>
            <w:tcBorders>
              <w:right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160" w:type="dxa"/>
            <w:vAlign w:val="bottom"/>
            <w:shd w:val="clear" w:color="auto" w:fill="CCEEFF"/>
          </w:tcPr>
          <w:p>
            <w:pPr>
              <w:spacing w:after="0"/>
              <w:rPr>
                <w:sz w:val="17"/>
                <w:szCs w:val="17"/>
                <w:color w:val="auto"/>
              </w:rPr>
            </w:pPr>
          </w:p>
        </w:tc>
      </w:tr>
      <w:tr>
        <w:trPr>
          <w:trHeight w:val="211"/>
        </w:trPr>
        <w:tc>
          <w:tcPr>
            <w:tcW w:w="36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12,953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160" w:type="dxa"/>
            <w:vAlign w:val="bottom"/>
          </w:tcPr>
          <w:p>
            <w:pPr>
              <w:spacing w:after="0"/>
              <w:rPr>
                <w:sz w:val="18"/>
                <w:szCs w:val="18"/>
                <w:color w:val="auto"/>
              </w:rPr>
            </w:pPr>
          </w:p>
        </w:tc>
      </w:tr>
      <w:tr>
        <w:trPr>
          <w:trHeight w:val="246"/>
        </w:trPr>
        <w:tc>
          <w:tcPr>
            <w:tcW w:w="360" w:type="dxa"/>
            <w:vAlign w:val="bottom"/>
          </w:tcPr>
          <w:p>
            <w:pPr>
              <w:spacing w:after="0"/>
              <w:rPr>
                <w:sz w:val="21"/>
                <w:szCs w:val="21"/>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8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16,022</w:t>
            </w:r>
          </w:p>
        </w:tc>
        <w:tc>
          <w:tcPr>
            <w:tcW w:w="2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160" w:type="dxa"/>
            <w:vAlign w:val="bottom"/>
            <w:shd w:val="clear" w:color="auto" w:fill="CCEEFF"/>
          </w:tcPr>
          <w:p>
            <w:pPr>
              <w:spacing w:after="0"/>
              <w:rPr>
                <w:sz w:val="21"/>
                <w:szCs w:val="21"/>
                <w:color w:val="auto"/>
              </w:rPr>
            </w:pPr>
          </w:p>
        </w:tc>
      </w:tr>
      <w:tr>
        <w:trPr>
          <w:trHeight w:val="166"/>
        </w:trPr>
        <w:tc>
          <w:tcPr>
            <w:tcW w:w="360" w:type="dxa"/>
            <w:vAlign w:val="bottom"/>
          </w:tcPr>
          <w:p>
            <w:pPr>
              <w:spacing w:after="0"/>
              <w:rPr>
                <w:sz w:val="14"/>
                <w:szCs w:val="14"/>
                <w:color w:val="auto"/>
              </w:rPr>
            </w:pPr>
          </w:p>
        </w:tc>
        <w:tc>
          <w:tcPr>
            <w:tcW w:w="2880" w:type="dxa"/>
            <w:vAlign w:val="bottom"/>
            <w:tcBorders>
              <w:top w:val="single" w:sz="8" w:color="CCEEFF"/>
            </w:tcBorders>
            <w:gridSpan w:val="3"/>
          </w:tcPr>
          <w:p>
            <w:pPr>
              <w:spacing w:after="0" w:line="166" w:lineRule="exact"/>
              <w:rPr>
                <w:sz w:val="20"/>
                <w:szCs w:val="20"/>
                <w:color w:val="auto"/>
              </w:rPr>
            </w:pPr>
            <w:r>
              <w:rPr>
                <w:rFonts w:ascii="Times New Roman" w:cs="Times New Roman" w:eastAsia="Times New Roman" w:hAnsi="Times New Roman"/>
                <w:sz w:val="16"/>
                <w:szCs w:val="16"/>
                <w:color w:val="auto"/>
              </w:rPr>
              <w:t>Weighted average remaining lease term</w:t>
            </w:r>
          </w:p>
        </w:tc>
        <w:tc>
          <w:tcPr>
            <w:tcW w:w="80" w:type="dxa"/>
            <w:vAlign w:val="bottom"/>
            <w:tcBorders>
              <w:top w:val="single" w:sz="8" w:color="CCEEFF"/>
            </w:tcBorders>
          </w:tcPr>
          <w:p>
            <w:pPr>
              <w:spacing w:after="0"/>
              <w:rPr>
                <w:sz w:val="14"/>
                <w:szCs w:val="14"/>
                <w:color w:val="auto"/>
              </w:rPr>
            </w:pPr>
          </w:p>
        </w:tc>
        <w:tc>
          <w:tcPr>
            <w:tcW w:w="30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217"/>
        </w:trPr>
        <w:tc>
          <w:tcPr>
            <w:tcW w:w="36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(years)</w:t>
            </w:r>
          </w:p>
        </w:tc>
        <w:tc>
          <w:tcPr>
            <w:tcW w:w="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8"/>
                <w:szCs w:val="18"/>
                <w:color w:val="auto"/>
              </w:rPr>
            </w:pPr>
          </w:p>
        </w:tc>
      </w:tr>
      <w:tr>
        <w:trPr>
          <w:trHeight w:val="23"/>
        </w:trPr>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360" w:type="dxa"/>
            <w:vAlign w:val="bottom"/>
          </w:tcPr>
          <w:p>
            <w:pPr>
              <w:spacing w:after="0"/>
              <w:rPr>
                <w:sz w:val="17"/>
                <w:szCs w:val="17"/>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8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w:t>
            </w:r>
          </w:p>
        </w:tc>
        <w:tc>
          <w:tcPr>
            <w:tcW w:w="24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w:t>
            </w:r>
          </w:p>
        </w:tc>
      </w:tr>
      <w:tr>
        <w:trPr>
          <w:trHeight w:val="24"/>
        </w:trPr>
        <w:tc>
          <w:tcPr>
            <w:tcW w:w="36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436"/>
        </w:trPr>
        <w:tc>
          <w:tcPr>
            <w:tcW w:w="7320" w:type="dxa"/>
            <w:vAlign w:val="bottom"/>
            <w:gridSpan w:val="11"/>
          </w:tcPr>
          <w:p>
            <w:pPr>
              <w:jc w:val="right"/>
              <w:ind w:right="545"/>
              <w:spacing w:after="0"/>
              <w:rPr>
                <w:sz w:val="20"/>
                <w:szCs w:val="20"/>
                <w:color w:val="auto"/>
              </w:rPr>
            </w:pPr>
            <w:r>
              <w:rPr>
                <w:rFonts w:ascii="Times New Roman" w:cs="Times New Roman" w:eastAsia="Times New Roman" w:hAnsi="Times New Roman"/>
                <w:sz w:val="16"/>
                <w:szCs w:val="16"/>
                <w:color w:val="auto"/>
              </w:rPr>
              <w:t>The following presents the maturity presentation of operating lease liabilities as of December 31, 2025: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5"/>
        </w:trPr>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Amount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7"/>
        </w:trPr>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Fiscal Year</w:t>
            </w:r>
          </w:p>
        </w:tc>
        <w:tc>
          <w:tcPr>
            <w:tcW w:w="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6"/>
        </w:trPr>
        <w:tc>
          <w:tcPr>
            <w:tcW w:w="100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tcBorders>
              <w:top w:val="single" w:sz="8" w:color="auto"/>
            </w:tcBorders>
            <w:shd w:val="clear" w:color="auto" w:fill="CCEEFF"/>
          </w:tcPr>
          <w:p>
            <w:pPr>
              <w:spacing w:after="0"/>
              <w:rPr>
                <w:sz w:val="17"/>
                <w:szCs w:val="17"/>
                <w:color w:val="auto"/>
              </w:rPr>
            </w:pPr>
          </w:p>
        </w:tc>
        <w:tc>
          <w:tcPr>
            <w:tcW w:w="3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tcBorders>
              <w:top w:val="single" w:sz="8" w:color="auto"/>
              <w:right w:val="single" w:sz="8" w:color="CCEEFF"/>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3,330</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20" w:type="dxa"/>
            <w:vAlign w:val="bottom"/>
            <w:gridSpan w:val="3"/>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5,016</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20" w:type="dxa"/>
            <w:vAlign w:val="bottom"/>
            <w:gridSpan w:val="3"/>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8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5,007</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1"/>
        </w:trPr>
        <w:tc>
          <w:tcPr>
            <w:tcW w:w="1020" w:type="dxa"/>
            <w:vAlign w:val="bottom"/>
            <w:gridSpan w:val="3"/>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3,293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spacing w:after="0"/>
              <w:rPr>
                <w:sz w:val="17"/>
                <w:szCs w:val="17"/>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16,646</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1"/>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Less - imputed interest</w:t>
            </w:r>
          </w:p>
        </w:tc>
        <w:tc>
          <w:tcPr>
            <w:tcW w:w="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6"/>
        </w:trPr>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1"/>
                <w:szCs w:val="21"/>
                <w:color w:val="auto"/>
              </w:rPr>
            </w:pPr>
          </w:p>
        </w:tc>
        <w:tc>
          <w:tcPr>
            <w:tcW w:w="74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16,022</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10:</w:t>
        <w:tab/>
        <w:t>FINANCIAL INSTRUMENTS AND FAIR VALUE MEASUREMENTS</w:t>
      </w:r>
    </w:p>
    <w:p>
      <w:pPr>
        <w:spacing w:after="0" w:line="255" w:lineRule="exact"/>
        <w:rPr>
          <w:sz w:val="20"/>
          <w:szCs w:val="20"/>
          <w:color w:val="auto"/>
        </w:rPr>
      </w:pPr>
    </w:p>
    <w:p>
      <w:pPr>
        <w:jc w:val="both"/>
        <w:ind w:left="1240"/>
        <w:spacing w:after="0" w:line="278" w:lineRule="auto"/>
        <w:rPr>
          <w:sz w:val="20"/>
          <w:szCs w:val="20"/>
          <w:color w:val="auto"/>
        </w:rPr>
      </w:pPr>
      <w:r>
        <w:rPr>
          <w:rFonts w:ascii="Times New Roman" w:cs="Times New Roman" w:eastAsia="Times New Roman" w:hAnsi="Times New Roman"/>
          <w:sz w:val="16"/>
          <w:szCs w:val="16"/>
          <w:color w:val="auto"/>
        </w:rPr>
        <w:t>The Company makes certain disclosures as detailed below with regards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The Company formally designates qualifying derivatives as hedge relationships (“hedges”) and applies hedge accounting when considered appropriate.</w:t>
      </w:r>
    </w:p>
    <w:p>
      <w:pPr>
        <w:spacing w:after="0" w:line="2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The Company does not use derivative financial instruments for trading or speculative purposes.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0" w:name="page31"/>
    <w:bookmarkEnd w:id="30"/>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10:</w:t>
        <w:tab/>
        <w:t>FINANCIAL INSTRUMENTS AND FAIR VALUE MEASUREMENTS (continued)</w:t>
      </w:r>
    </w:p>
    <w:p>
      <w:pPr>
        <w:spacing w:after="0" w:line="253" w:lineRule="exact"/>
        <w:rPr>
          <w:sz w:val="20"/>
          <w:szCs w:val="20"/>
          <w:color w:val="auto"/>
        </w:rPr>
      </w:pPr>
    </w:p>
    <w:p>
      <w:pPr>
        <w:ind w:left="1240" w:hanging="345"/>
        <w:spacing w:after="0"/>
        <w:tabs>
          <w:tab w:leader="none" w:pos="1240" w:val="left"/>
        </w:tabs>
        <w:numPr>
          <w:ilvl w:val="0"/>
          <w:numId w:val="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Exchange Rate Transactions</w:t>
      </w:r>
    </w:p>
    <w:p>
      <w:pPr>
        <w:spacing w:after="0" w:line="255" w:lineRule="exact"/>
        <w:rPr>
          <w:rFonts w:ascii="Times New Roman" w:cs="Times New Roman" w:eastAsia="Times New Roman" w:hAnsi="Times New Roman"/>
          <w:sz w:val="16"/>
          <w:szCs w:val="16"/>
          <w:b w:val="1"/>
          <w:bCs w:val="1"/>
          <w:color w:val="auto"/>
        </w:rPr>
      </w:pPr>
    </w:p>
    <w:p>
      <w:pPr>
        <w:jc w:val="both"/>
        <w:ind w:left="1240" w:right="2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the functional currency of the Company is the USD and a portion of Tower’s expenses are denominated in NIS, the Company enters into exchange rate agreements from time to time to partially hedge the volatility of future cash flows caused by changes in foreign exchange rates on NIS-denominated expenses. The exchange rate transaction-related derivatives were accounted for as hedge accounting, resulting in gain or loss initially reported as a component of OCI and subsequently, upon maturity, recorded in the statement of operations, when the hedged item’s exposure affects earnings. As of December 31, 2025 and 2024, the fair values of these exchange rate translation-related derivatives, net were $13,540 and $768, respectively, in an asset position, presented in other current assets. The face values of such agreements as of such dates were $156,000 and $156,000, respectively.</w:t>
      </w:r>
    </w:p>
    <w:p>
      <w:pPr>
        <w:spacing w:after="0" w:line="170"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the functional currency of the Company is the USD and TPSCo revenue and a portion of its expenses are denominated in JPY, the Company enters into exchange rate agreements from time to time to partially hedge the volatility of future cash flows caused by changes in foreign exchange rates on JPY-denominated amounts. The exchange rate transaction related derivatives were accounted for as hedge accounting resulting in gain or loss initially reported as a component of OCI and subsequently, upon maturity, recorded in the statement of operations, when the hedged item’s exposure affects earnings. As of December 31, 2025, the fair value of these exchange rate translation-related derivatives, net was $6,996 in a liability position, of which $4,806 presented in other current liabilities and $2,190 presented in other long term liabilities. As of December 31, 2024, the fair value of such derivatives was $4,261 in a liability position, presented in other current liabilities. As of December 31, 2025 and 2024, the face value amounts of such agreements were $243,000 and $186,000, respectively.</w:t>
      </w:r>
    </w:p>
    <w:p>
      <w:pPr>
        <w:spacing w:after="0" w:line="171"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the functional currency of the Company is the USD and a portion of TSIT’s expenses are denominated in EUR, the Company enters into exchange rate agreements from time to time to partially hedge the volatility of future cash flows caused by changes in foreign exchange rates on EUR-denominated expenses. The exchange rate transaction-related derivatives were accounted for as hedge accounting resulting in gain or loss initially reported as a component of OCI and subsequently, upon maturity, recorded in the statement of operations, when the hedged item’s exposure affects earnings. As of December 31, 2025, the fair value of these exchange rate translation-related derivatives, net was $923 in an asset position, presented in other current assets and as of December 31, 2024, the fair value of such derivatives, net was $809 in a liability position, presented in other current liabilities. The face value amounts of such exchange rate agreements as of such dates were $48,000 and $39,600, respectively.</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10:</w:t>
        <w:tab/>
        <w:t>FINANCIAL INSTRUMENTS AND FAIR VALUE MEASUREMENTS (continued)</w:t>
      </w:r>
    </w:p>
    <w:p>
      <w:pPr>
        <w:spacing w:after="0" w:line="253" w:lineRule="exact"/>
        <w:rPr>
          <w:sz w:val="20"/>
          <w:szCs w:val="20"/>
          <w:color w:val="auto"/>
        </w:rPr>
      </w:pPr>
    </w:p>
    <w:p>
      <w:pPr>
        <w:ind w:left="1240" w:hanging="345"/>
        <w:spacing w:after="0"/>
        <w:tabs>
          <w:tab w:leader="none" w:pos="1240"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Concentration of Credit Risks</w:t>
      </w:r>
    </w:p>
    <w:p>
      <w:pPr>
        <w:spacing w:after="0" w:line="255" w:lineRule="exact"/>
        <w:rPr>
          <w:rFonts w:ascii="Times New Roman" w:cs="Times New Roman" w:eastAsia="Times New Roman" w:hAnsi="Times New Roman"/>
          <w:sz w:val="16"/>
          <w:szCs w:val="16"/>
          <w:b w:val="1"/>
          <w:bCs w:val="1"/>
          <w:color w:val="auto"/>
        </w:rPr>
      </w:pP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Financial instruments that potentially subject the Company to concentrations of credit risk consist principally of cash and cash equivalents, bank deposits, derivatives, trade receivables and government and other receivables. The Company’s cash, deposits and derivatives are maintained with large and reputable banks and investment banks. The composition and maturities of investments are regularly monitored by the Company. Generally, these securities may be redeemed upon demand and bear minimal risk.</w:t>
      </w:r>
    </w:p>
    <w:p>
      <w:pPr>
        <w:spacing w:after="0" w:line="164" w:lineRule="exact"/>
        <w:rPr>
          <w:rFonts w:ascii="Times New Roman" w:cs="Times New Roman" w:eastAsia="Times New Roman" w:hAnsi="Times New Roman"/>
          <w:sz w:val="16"/>
          <w:szCs w:val="16"/>
          <w:b w:val="1"/>
          <w:bCs w:val="1"/>
          <w:color w:val="auto"/>
        </w:rPr>
      </w:pPr>
    </w:p>
    <w:p>
      <w:pPr>
        <w:jc w:val="both"/>
        <w:ind w:left="1240"/>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generally does not require collateral for insurance of receivables; however, in certain circumstances, the Company obtains credit insurance or may require advance payments. An allowance for current expected credit losses is maintained with respect to trade accounts receivable which as of December 31, 2025 was an insignificant amount. The Company performs ongoing credit evaluations of its customers.</w:t>
      </w:r>
    </w:p>
    <w:p>
      <w:pPr>
        <w:spacing w:after="0" w:line="141"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of Financial Instruments</w:t>
      </w:r>
    </w:p>
    <w:p>
      <w:pPr>
        <w:spacing w:after="0" w:line="255" w:lineRule="exact"/>
        <w:rPr>
          <w:rFonts w:ascii="Times New Roman" w:cs="Times New Roman" w:eastAsia="Times New Roman" w:hAnsi="Times New Roman"/>
          <w:sz w:val="16"/>
          <w:szCs w:val="16"/>
          <w:b w:val="1"/>
          <w:bCs w:val="1"/>
          <w:color w:val="auto"/>
        </w:rPr>
      </w:pPr>
    </w:p>
    <w:p>
      <w:pPr>
        <w:ind w:left="1240" w:right="2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estimated fair values of the Company’s financial instruments do not materially differ from their respective carrying amounts as of December 31, 2025 and 2024.</w:t>
      </w:r>
    </w:p>
    <w:p>
      <w:pPr>
        <w:spacing w:after="0" w:line="128" w:lineRule="exact"/>
        <w:rPr>
          <w:rFonts w:ascii="Times New Roman" w:cs="Times New Roman" w:eastAsia="Times New Roman" w:hAnsi="Times New Roman"/>
          <w:sz w:val="16"/>
          <w:szCs w:val="16"/>
          <w:b w:val="1"/>
          <w:bCs w:val="1"/>
          <w:color w:val="auto"/>
        </w:rPr>
      </w:pPr>
    </w:p>
    <w:p>
      <w:pPr>
        <w:ind w:left="1240" w:right="8240" w:hanging="345"/>
        <w:spacing w:after="0" w:line="571" w:lineRule="auto"/>
        <w:tabs>
          <w:tab w:leader="none" w:pos="1240"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Fair Value Measurements </w:t>
      </w:r>
      <w:r>
        <w:rPr>
          <w:rFonts w:ascii="Times New Roman" w:cs="Times New Roman" w:eastAsia="Times New Roman" w:hAnsi="Times New Roman"/>
          <w:sz w:val="16"/>
          <w:szCs w:val="16"/>
          <w:b w:val="1"/>
          <w:bCs w:val="1"/>
          <w:i w:val="1"/>
          <w:iCs w:val="1"/>
          <w:color w:val="auto"/>
        </w:rPr>
        <w:t>Valuation Techniques</w:t>
      </w: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spacing w:after="0" w:line="160"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Level 1 Measurements</w:t>
      </w:r>
    </w:p>
    <w:p>
      <w:pPr>
        <w:spacing w:after="0" w:line="269" w:lineRule="exact"/>
        <w:rPr>
          <w:rFonts w:ascii="Times New Roman" w:cs="Times New Roman" w:eastAsia="Times New Roman" w:hAnsi="Times New Roman"/>
          <w:sz w:val="16"/>
          <w:szCs w:val="16"/>
          <w:b w:val="1"/>
          <w:bCs w:val="1"/>
          <w:color w:val="auto"/>
        </w:rPr>
      </w:pP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Securities classified as available-for-sale are reported at fair value on a recurring basis. These securities are classified as Level 1 of the valuation hierarchy where quoted market prices from reputable third-party brokers are available in an active market. Changes in fair value of securities available-for-sale are recorded in other comprehensive income. During 2024, the Company sold its entire marketable securities portfolio and had no outstanding marketable securities as of December 31, 2024.</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39" w:right="319" w:bottom="1440" w:gutter="0" w:footer="0" w:header="0"/>
        </w:sectPr>
      </w:pPr>
    </w:p>
    <w:bookmarkStart w:id="32" w:name="page33"/>
    <w:bookmarkEnd w:id="32"/>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10:</w:t>
        <w:tab/>
        <w:t>FINANCIAL INSTRUMENTS AND FAIR VALUE MEASUREMENTS (continued)</w:t>
      </w:r>
    </w:p>
    <w:p>
      <w:pPr>
        <w:spacing w:after="0" w:line="253" w:lineRule="exact"/>
        <w:rPr>
          <w:sz w:val="20"/>
          <w:szCs w:val="20"/>
          <w:color w:val="auto"/>
        </w:rPr>
      </w:pPr>
    </w:p>
    <w:p>
      <w:pPr>
        <w:ind w:left="1240" w:right="7400" w:hanging="345"/>
        <w:spacing w:after="0" w:line="579" w:lineRule="auto"/>
        <w:tabs>
          <w:tab w:leader="none" w:pos="1240"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Fair Value Measurements (continued) </w:t>
      </w:r>
      <w:r>
        <w:rPr>
          <w:rFonts w:ascii="Times New Roman" w:cs="Times New Roman" w:eastAsia="Times New Roman" w:hAnsi="Times New Roman"/>
          <w:sz w:val="16"/>
          <w:szCs w:val="16"/>
          <w:b w:val="1"/>
          <w:bCs w:val="1"/>
          <w:i w:val="1"/>
          <w:iCs w:val="1"/>
          <w:color w:val="auto"/>
        </w:rPr>
        <w:t>Level 2 Measurements</w:t>
      </w:r>
    </w:p>
    <w:p>
      <w:pPr>
        <w:jc w:val="both"/>
        <w:ind w:left="1240" w:right="2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quoted market prices are not available, or the prices of securities are derived from various sources, and do not necessarily represent the prices at which these securities could have been bought or sold, the Company obtains fair value measurements of these securities or of similar assets and liabilities from an independent pricing service. 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82" w:lineRule="exact"/>
        <w:rPr>
          <w:rFonts w:ascii="Times New Roman" w:cs="Times New Roman" w:eastAsia="Times New Roman" w:hAnsi="Times New Roman"/>
          <w:sz w:val="16"/>
          <w:szCs w:val="16"/>
          <w:b w:val="1"/>
          <w:bCs w:val="1"/>
          <w:color w:val="auto"/>
        </w:rPr>
      </w:pPr>
    </w:p>
    <w:p>
      <w:pPr>
        <w:ind w:left="1240" w:right="20"/>
        <w:spacing w:after="0" w:line="28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cross-currency swap and derivatives measured under Level 2, the Company uses the market approach using quotations from banks and other public information.</w:t>
      </w:r>
    </w:p>
    <w:p>
      <w:pPr>
        <w:spacing w:after="0" w:line="199"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Level 3 Measurements</w:t>
      </w:r>
    </w:p>
    <w:p>
      <w:pPr>
        <w:spacing w:after="0" w:line="269"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Investments in equity securities of privately-held companies without readily determinable fair values are measured using the Measurement Alternatives (see Note 2L). The Company reviews these investments for impairment and observable price changes on a quarterly basis and adjusts the carrying value accordingly. For the year ended December 31, 2025, the Company recorded a decrease of $2,354 in the value of such investments, presented in other income (expense), net in the statements of operations, and for the year ended December 31 2024, the Company did not record significant changes to the carrying value of such investments.</w:t>
      </w:r>
    </w:p>
    <w:p>
      <w:pPr>
        <w:spacing w:after="0" w:line="182"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Recurring fair value measurements using the indicated inputs: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Quoted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9"/>
              </w:rPr>
              <w:t>Significant</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4"/>
        </w:trPr>
        <w:tc>
          <w:tcPr>
            <w:tcW w:w="16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prices in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9"/>
              </w:rPr>
              <w:t>Significant</w:t>
            </w:r>
          </w:p>
        </w:tc>
        <w:tc>
          <w:tcPr>
            <w:tcW w:w="1460" w:type="dxa"/>
            <w:vAlign w:val="bottom"/>
          </w:tcPr>
          <w:p>
            <w:pPr>
              <w:spacing w:after="0"/>
              <w:rPr>
                <w:sz w:val="16"/>
                <w:szCs w:val="16"/>
                <w:color w:val="auto"/>
              </w:rPr>
            </w:pPr>
          </w:p>
        </w:tc>
      </w:tr>
      <w:tr>
        <w:trPr>
          <w:trHeight w:val="206"/>
        </w:trPr>
        <w:tc>
          <w:tcPr>
            <w:tcW w:w="16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active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observable</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unobservable</w:t>
            </w: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December</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inputs</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7"/>
              </w:rPr>
              <w:t>inputs</w:t>
            </w:r>
          </w:p>
        </w:tc>
        <w:tc>
          <w:tcPr>
            <w:tcW w:w="1460" w:type="dxa"/>
            <w:vAlign w:val="bottom"/>
          </w:tcPr>
          <w:p>
            <w:pPr>
              <w:spacing w:after="0"/>
              <w:rPr>
                <w:sz w:val="17"/>
                <w:szCs w:val="17"/>
                <w:color w:val="auto"/>
              </w:rPr>
            </w:pPr>
          </w:p>
        </w:tc>
      </w:tr>
      <w:tr>
        <w:trPr>
          <w:trHeight w:val="227"/>
        </w:trPr>
        <w:tc>
          <w:tcPr>
            <w:tcW w:w="160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31, 2025</w:t>
            </w:r>
          </w:p>
        </w:tc>
        <w:tc>
          <w:tcPr>
            <w:tcW w:w="1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(Level 2)</w:t>
            </w:r>
          </w:p>
        </w:tc>
        <w:tc>
          <w:tcPr>
            <w:tcW w:w="100" w:type="dxa"/>
            <w:vAlign w:val="bottom"/>
          </w:tcPr>
          <w:p>
            <w:pPr>
              <w:spacing w:after="0"/>
              <w:rPr>
                <w:sz w:val="19"/>
                <w:szCs w:val="19"/>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(Level 3)</w:t>
            </w:r>
          </w:p>
        </w:tc>
        <w:tc>
          <w:tcPr>
            <w:tcW w:w="1460" w:type="dxa"/>
            <w:vAlign w:val="bottom"/>
          </w:tcPr>
          <w:p>
            <w:pPr>
              <w:spacing w:after="0"/>
              <w:rPr>
                <w:sz w:val="19"/>
                <w:szCs w:val="19"/>
                <w:color w:val="auto"/>
              </w:rPr>
            </w:pPr>
          </w:p>
        </w:tc>
      </w:tr>
      <w:tr>
        <w:trPr>
          <w:trHeight w:val="206"/>
        </w:trPr>
        <w:tc>
          <w:tcPr>
            <w:tcW w:w="160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Privately held companies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1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r>
      <w:tr>
        <w:trPr>
          <w:trHeight w:val="211"/>
        </w:trPr>
        <w:tc>
          <w:tcPr>
            <w:tcW w:w="16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forward and cylinders - net asset position</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9,618</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6"/>
        </w:trPr>
        <w:tc>
          <w:tcPr>
            <w:tcW w:w="160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14,045</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Pr>
          <w:p>
            <w:pPr>
              <w:spacing w:after="0"/>
              <w:rPr>
                <w:sz w:val="21"/>
                <w:szCs w:val="21"/>
                <w:color w:val="auto"/>
              </w:rPr>
            </w:pPr>
          </w:p>
        </w:tc>
      </w:tr>
      <w:tr>
        <w:trPr>
          <w:trHeight w:val="409"/>
        </w:trPr>
        <w:tc>
          <w:tcPr>
            <w:tcW w:w="16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Quoted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9"/>
              </w:rPr>
              <w:t>Significant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4"/>
        </w:trPr>
        <w:tc>
          <w:tcPr>
            <w:tcW w:w="16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prices in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9"/>
              </w:rPr>
              <w:t>Significant</w:t>
            </w:r>
          </w:p>
        </w:tc>
        <w:tc>
          <w:tcPr>
            <w:tcW w:w="1460" w:type="dxa"/>
            <w:vAlign w:val="bottom"/>
          </w:tcPr>
          <w:p>
            <w:pPr>
              <w:spacing w:after="0"/>
              <w:rPr>
                <w:sz w:val="16"/>
                <w:szCs w:val="16"/>
                <w:color w:val="auto"/>
              </w:rPr>
            </w:pPr>
          </w:p>
        </w:tc>
      </w:tr>
      <w:tr>
        <w:trPr>
          <w:trHeight w:val="206"/>
        </w:trPr>
        <w:tc>
          <w:tcPr>
            <w:tcW w:w="16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active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observable</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unobservable</w:t>
            </w: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December</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inputs</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7"/>
              </w:rPr>
              <w:t>inputs</w:t>
            </w:r>
          </w:p>
        </w:tc>
        <w:tc>
          <w:tcPr>
            <w:tcW w:w="1460" w:type="dxa"/>
            <w:vAlign w:val="bottom"/>
          </w:tcPr>
          <w:p>
            <w:pPr>
              <w:spacing w:after="0"/>
              <w:rPr>
                <w:sz w:val="17"/>
                <w:szCs w:val="17"/>
                <w:color w:val="auto"/>
              </w:rPr>
            </w:pPr>
          </w:p>
        </w:tc>
      </w:tr>
      <w:tr>
        <w:trPr>
          <w:trHeight w:val="227"/>
        </w:trPr>
        <w:tc>
          <w:tcPr>
            <w:tcW w:w="160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31, 2024</w:t>
            </w:r>
          </w:p>
        </w:tc>
        <w:tc>
          <w:tcPr>
            <w:tcW w:w="1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(Level 2)</w:t>
            </w:r>
          </w:p>
        </w:tc>
        <w:tc>
          <w:tcPr>
            <w:tcW w:w="100" w:type="dxa"/>
            <w:vAlign w:val="bottom"/>
          </w:tcPr>
          <w:p>
            <w:pPr>
              <w:spacing w:after="0"/>
              <w:rPr>
                <w:sz w:val="19"/>
                <w:szCs w:val="19"/>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(Level 3)</w:t>
            </w:r>
          </w:p>
        </w:tc>
        <w:tc>
          <w:tcPr>
            <w:tcW w:w="1460" w:type="dxa"/>
            <w:vAlign w:val="bottom"/>
          </w:tcPr>
          <w:p>
            <w:pPr>
              <w:spacing w:after="0"/>
              <w:rPr>
                <w:sz w:val="19"/>
                <w:szCs w:val="19"/>
                <w:color w:val="auto"/>
              </w:rPr>
            </w:pPr>
          </w:p>
        </w:tc>
      </w:tr>
      <w:tr>
        <w:trPr>
          <w:trHeight w:val="206"/>
        </w:trPr>
        <w:tc>
          <w:tcPr>
            <w:tcW w:w="160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Privately held companies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1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r>
      <w:tr>
        <w:trPr>
          <w:trHeight w:val="211"/>
        </w:trPr>
        <w:tc>
          <w:tcPr>
            <w:tcW w:w="16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forward and cylinders - net liability position</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(4,302)</w:t>
            </w:r>
          </w:p>
        </w:tc>
        <w:tc>
          <w:tcPr>
            <w:tcW w:w="74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(4,302)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6"/>
        </w:trPr>
        <w:tc>
          <w:tcPr>
            <w:tcW w:w="160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Pr>
          <w:p>
            <w:pPr>
              <w:spacing w:after="0"/>
              <w:rPr>
                <w:sz w:val="21"/>
                <w:szCs w:val="21"/>
                <w:color w:val="auto"/>
              </w:rPr>
            </w:pPr>
          </w:p>
        </w:tc>
      </w:tr>
      <w:tr>
        <w:trPr>
          <w:trHeight w:val="534"/>
        </w:trPr>
        <w:tc>
          <w:tcPr>
            <w:tcW w:w="1600" w:type="dxa"/>
            <w:vAlign w:val="bottom"/>
          </w:tcPr>
          <w:p>
            <w:pPr>
              <w:spacing w:after="0"/>
              <w:rPr>
                <w:sz w:val="24"/>
                <w:szCs w:val="24"/>
                <w:color w:val="auto"/>
              </w:rPr>
            </w:pPr>
          </w:p>
        </w:tc>
        <w:tc>
          <w:tcPr>
            <w:tcW w:w="4360" w:type="dxa"/>
            <w:vAlign w:val="bottom"/>
          </w:tcPr>
          <w:p>
            <w:pPr>
              <w:ind w:left="3840"/>
              <w:spacing w:after="0"/>
              <w:rPr>
                <w:sz w:val="20"/>
                <w:szCs w:val="20"/>
                <w:color w:val="auto"/>
              </w:rPr>
            </w:pPr>
            <w:r>
              <w:rPr>
                <w:rFonts w:ascii="Times New Roman" w:cs="Times New Roman" w:eastAsia="Times New Roman" w:hAnsi="Times New Roman"/>
                <w:sz w:val="16"/>
                <w:szCs w:val="16"/>
                <w:color w:val="auto"/>
              </w:rPr>
              <w:t>F - 28</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6"/>
        </w:trPr>
        <w:tc>
          <w:tcPr>
            <w:tcW w:w="160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bl>
    <w:p>
      <w:pPr>
        <w:sectPr>
          <w:pgSz w:w="11900" w:h="16838" w:orient="portrait"/>
          <w:cols w:equalWidth="0" w:num="1">
            <w:col w:w="11260"/>
          </w:cols>
          <w:pgMar w:left="320" w:top="364"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10:</w:t>
        <w:tab/>
        <w:t>FINANCIAL INSTRUMENTS AND FAIR VALUE MEASUREMENTS (continued)</w:t>
      </w:r>
    </w:p>
    <w:p>
      <w:pPr>
        <w:spacing w:after="0" w:line="229" w:lineRule="exact"/>
        <w:rPr>
          <w:sz w:val="20"/>
          <w:szCs w:val="20"/>
          <w:color w:val="auto"/>
        </w:rPr>
      </w:pPr>
    </w:p>
    <w:p>
      <w:pPr>
        <w:ind w:left="1240" w:hanging="345"/>
        <w:spacing w:after="0"/>
        <w:tabs>
          <w:tab w:leader="none" w:pos="1240"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Short-Term Deposits</w:t>
      </w:r>
    </w:p>
    <w:p>
      <w:pPr>
        <w:spacing w:after="0" w:line="2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Short-term deposits amounted to $916,541 and $946,351, as of December 31, 2025 and December 31, 2024, respectively.</w:t>
      </w: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11:</w:t>
        <w:tab/>
        <w:t>EMPLOYEE RELATED LIABILITIES</w:t>
      </w:r>
    </w:p>
    <w:p>
      <w:pPr>
        <w:spacing w:after="0" w:line="253" w:lineRule="exact"/>
        <w:rPr>
          <w:sz w:val="20"/>
          <w:szCs w:val="20"/>
          <w:color w:val="auto"/>
        </w:rPr>
      </w:pPr>
    </w:p>
    <w:p>
      <w:pPr>
        <w:ind w:left="1240" w:hanging="345"/>
        <w:spacing w:after="0"/>
        <w:tabs>
          <w:tab w:leader="none" w:pos="1240" w:val="left"/>
        </w:tabs>
        <w:numPr>
          <w:ilvl w:val="0"/>
          <w:numId w:val="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 Termination Benefits</w:t>
      </w:r>
    </w:p>
    <w:p>
      <w:pPr>
        <w:spacing w:after="0" w:line="255" w:lineRule="exact"/>
        <w:rPr>
          <w:rFonts w:ascii="Times New Roman" w:cs="Times New Roman" w:eastAsia="Times New Roman" w:hAnsi="Times New Roman"/>
          <w:sz w:val="16"/>
          <w:szCs w:val="16"/>
          <w:b w:val="1"/>
          <w:bCs w:val="1"/>
          <w:color w:val="auto"/>
        </w:rPr>
      </w:pPr>
    </w:p>
    <w:p>
      <w:pPr>
        <w:jc w:val="both"/>
        <w:ind w:left="1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w:t>
      </w:r>
    </w:p>
    <w:p>
      <w:pPr>
        <w:spacing w:after="0" w:line="164" w:lineRule="exact"/>
        <w:rPr>
          <w:rFonts w:ascii="Times New Roman" w:cs="Times New Roman" w:eastAsia="Times New Roman" w:hAnsi="Times New Roman"/>
          <w:sz w:val="16"/>
          <w:szCs w:val="16"/>
          <w:b w:val="1"/>
          <w:bCs w:val="1"/>
          <w:color w:val="auto"/>
        </w:rPr>
      </w:pPr>
    </w:p>
    <w:p>
      <w:pPr>
        <w:jc w:val="both"/>
        <w:ind w:left="1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Tower implements a labor agreement with regard to most of its Israeli employees, according to which monthly deposits into recognized severance and pension funds or insurance policies release it from any additional severance obligation in excess of the balance in such accounts to such Israeli employees and, therefore, Tower incurs no liability or asset with respect to such severance obligations and deposits. Payments relating to Israeli employee termination benefits were $7,098, $5,716 and $5,752 for 2025, 2024 and 2023, respectively.</w:t>
      </w:r>
    </w:p>
    <w:p>
      <w:pPr>
        <w:spacing w:after="0" w:line="176" w:lineRule="exact"/>
        <w:rPr>
          <w:rFonts w:ascii="Times New Roman" w:cs="Times New Roman" w:eastAsia="Times New Roman" w:hAnsi="Times New Roman"/>
          <w:sz w:val="16"/>
          <w:szCs w:val="16"/>
          <w:b w:val="1"/>
          <w:bCs w:val="1"/>
          <w:color w:val="auto"/>
        </w:rPr>
      </w:pPr>
    </w:p>
    <w:p>
      <w:pPr>
        <w:jc w:val="both"/>
        <w:ind w:left="1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TPSCo established a Defined Contribution Retirement Plan (the “DC Plan”) for its employees through which TPSCo contributes approximately 8% of employee base salary to the DC Plan. Such contribution releases the employer from further obligation to any payments upon termination of employment. The contribution is remitted either to third party benefit funds based on employee preference, or directly, to those employees who elected not to enroll in the DC Plan. Total payments under the DC Plan in 2025, 2024 and 2023 amounted to $3,660, $3,853 and $4,266 respectively.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4" w:name="page35"/>
    <w:bookmarkEnd w:id="34"/>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11:</w:t>
        <w:tab/>
        <w:t>EMPLOYEE RELATED LIABILITIES (continued)</w:t>
      </w:r>
    </w:p>
    <w:p>
      <w:pPr>
        <w:spacing w:after="0" w:line="253" w:lineRule="exact"/>
        <w:rPr>
          <w:sz w:val="20"/>
          <w:szCs w:val="20"/>
          <w:color w:val="auto"/>
        </w:rPr>
      </w:pPr>
    </w:p>
    <w:p>
      <w:pPr>
        <w:ind w:left="1240" w:right="7920" w:hanging="345"/>
        <w:spacing w:after="0" w:line="547" w:lineRule="auto"/>
        <w:tabs>
          <w:tab w:leader="none" w:pos="1240"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TSNB Employee Benefit Plans </w:t>
      </w:r>
      <w:r>
        <w:rPr>
          <w:rFonts w:ascii="Times New Roman" w:cs="Times New Roman" w:eastAsia="Times New Roman" w:hAnsi="Times New Roman"/>
          <w:sz w:val="16"/>
          <w:szCs w:val="16"/>
          <w:b w:val="1"/>
          <w:bCs w:val="1"/>
          <w:i w:val="1"/>
          <w:iCs w:val="1"/>
          <w:color w:val="auto"/>
        </w:rPr>
        <w:t>TSNB Pension Plan</w:t>
      </w:r>
    </w:p>
    <w:p>
      <w:pPr>
        <w:jc w:val="both"/>
        <w:ind w:left="1240"/>
        <w:spacing w:after="0" w:line="27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TSNB has a pension plan that provides monthly pension payments to eligible employees upon retirement. The pension benefits are based on years of service and specified benefit amounts. TSNB uses a December 31 measurement date each year. TSNB’s funding policy is to make contributions that satisfy at least the minimum required contribution for IRS qualified plans.</w:t>
      </w:r>
    </w:p>
    <w:p>
      <w:pPr>
        <w:spacing w:after="0" w:line="161" w:lineRule="exact"/>
        <w:rPr>
          <w:rFonts w:ascii="Times New Roman" w:cs="Times New Roman" w:eastAsia="Times New Roman" w:hAnsi="Times New Roman"/>
          <w:sz w:val="16"/>
          <w:szCs w:val="16"/>
          <w:b w:val="1"/>
          <w:bCs w:val="1"/>
          <w:color w:val="auto"/>
        </w:rPr>
      </w:pPr>
    </w:p>
    <w:p>
      <w:pPr>
        <w:jc w:val="both"/>
        <w:ind w:left="1240" w:right="20"/>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Funded status surplus under the plan was $1,810 and $1,870 as of December 31, 2025 and 2024, respectively, comprising of plan assets with a fair value of $19,203 and $18,904 as of December 31, 2025 and 2024 respectively, net of benefit obligation of $17,393 and $17,034, as of December 31, 2025 and 2024, respectively. The funded status surplus is included in non-current assets.</w:t>
      </w:r>
    </w:p>
    <w:p>
      <w:pPr>
        <w:spacing w:after="0" w:line="155" w:lineRule="exact"/>
        <w:rPr>
          <w:rFonts w:ascii="Times New Roman" w:cs="Times New Roman" w:eastAsia="Times New Roman" w:hAnsi="Times New Roman"/>
          <w:sz w:val="16"/>
          <w:szCs w:val="16"/>
          <w:b w:val="1"/>
          <w:bCs w:val="1"/>
          <w:color w:val="auto"/>
        </w:rPr>
      </w:pP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Net expense recognized on the plan were $183, $87 and $183 for the years ended December 31, 2025, 2024 and 2023, respectively, comprised primarily of expected return on plan assets of $1,099, $1,075 and $1,034 for the years ended December 31, 2025, 2024 and 2023, respectively, offset by interest costs of $918, $868 and $891, for the years ending December 31, 2025, 2024 and 2023, respectively. No service costs were incurred during the years included in these financial statements as the plan did not include active employees during those years.</w:t>
      </w:r>
    </w:p>
    <w:p>
      <w:pPr>
        <w:spacing w:after="0" w:line="164" w:lineRule="exact"/>
        <w:rPr>
          <w:rFonts w:ascii="Times New Roman" w:cs="Times New Roman" w:eastAsia="Times New Roman" w:hAnsi="Times New Roman"/>
          <w:sz w:val="16"/>
          <w:szCs w:val="16"/>
          <w:b w:val="1"/>
          <w:bCs w:val="1"/>
          <w:color w:val="auto"/>
        </w:rPr>
      </w:pPr>
    </w:p>
    <w:p>
      <w:pPr>
        <w:jc w:val="both"/>
        <w:ind w:left="1240" w:right="20"/>
        <w:spacing w:after="0" w:line="27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Unrecognized losses under the plan as of December 31, 2025 and 2024 were $3,599 and $3,681, respectively. Amortization of unrecognized losses included in net expense recognized on the plan was approximately $100 per year. Unrecognized losses are substantially in their entirety comprised of historically deferred net actuarial gains and losses.</w:t>
      </w:r>
    </w:p>
    <w:p>
      <w:pPr>
        <w:spacing w:after="0" w:line="174"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Weighted average assumptions used in determining the funded status surplus were as follows:</w:t>
      </w:r>
    </w:p>
    <w:p>
      <w:pPr>
        <w:spacing w:after="0" w:line="265" w:lineRule="exact"/>
        <w:rPr>
          <w:sz w:val="20"/>
          <w:szCs w:val="20"/>
          <w:color w:val="auto"/>
        </w:rPr>
      </w:pPr>
    </w:p>
    <w:tbl>
      <w:tblPr>
        <w:tblLayout w:type="fixed"/>
        <w:tblInd w:w="1600" w:type="dxa"/>
        <w:tblCellMar>
          <w:top w:w="0" w:type="dxa"/>
          <w:left w:w="0" w:type="dxa"/>
          <w:bottom w:w="0" w:type="dxa"/>
          <w:right w:w="0" w:type="dxa"/>
        </w:tblCellMar>
      </w:tblPr>
      <w:tr>
        <w:trPr>
          <w:trHeight w:val="227"/>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9"/>
                <w:szCs w:val="19"/>
                <w:color w:val="auto"/>
              </w:rPr>
            </w:pPr>
          </w:p>
        </w:tc>
      </w:tr>
      <w:tr>
        <w:trPr>
          <w:trHeight w:val="20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0" w:type="dxa"/>
            <w:vAlign w:val="bottom"/>
          </w:tcPr>
          <w:p>
            <w:pPr>
              <w:spacing w:after="0"/>
              <w:rPr>
                <w:sz w:val="17"/>
                <w:szCs w:val="17"/>
                <w:color w:val="auto"/>
              </w:rPr>
            </w:pPr>
          </w:p>
        </w:tc>
      </w:tr>
      <w:tr>
        <w:trPr>
          <w:trHeight w:val="206"/>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5.60%</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20" w:type="dxa"/>
            <w:vAlign w:val="bottom"/>
          </w:tcPr>
          <w:p>
            <w:pPr>
              <w:spacing w:after="0"/>
              <w:rPr>
                <w:sz w:val="17"/>
                <w:szCs w:val="17"/>
                <w:color w:val="auto"/>
              </w:rPr>
            </w:pPr>
          </w:p>
        </w:tc>
      </w:tr>
      <w:tr>
        <w:trPr>
          <w:trHeight w:val="20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Rate of compensation increases</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tcPr>
          <w:p>
            <w:pPr>
              <w:spacing w:after="0"/>
              <w:rPr>
                <w:sz w:val="17"/>
                <w:szCs w:val="17"/>
                <w:color w:val="auto"/>
              </w:rPr>
            </w:pPr>
          </w:p>
        </w:tc>
      </w:tr>
    </w:tbl>
    <w:p>
      <w:pPr>
        <w:spacing w:after="0" w:line="226" w:lineRule="exact"/>
        <w:rPr>
          <w:sz w:val="20"/>
          <w:szCs w:val="20"/>
          <w:color w:val="auto"/>
        </w:rPr>
      </w:pPr>
    </w:p>
    <w:p>
      <w:pPr>
        <w:jc w:val="both"/>
        <w:ind w:left="1240" w:right="20"/>
        <w:spacing w:after="0" w:line="275" w:lineRule="auto"/>
        <w:rPr>
          <w:sz w:val="20"/>
          <w:szCs w:val="20"/>
          <w:color w:val="auto"/>
        </w:rPr>
      </w:pPr>
      <w:r>
        <w:rPr>
          <w:rFonts w:ascii="Times New Roman" w:cs="Times New Roman" w:eastAsia="Times New Roman" w:hAnsi="Times New Roman"/>
          <w:sz w:val="16"/>
          <w:szCs w:val="16"/>
          <w:color w:val="auto"/>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35" w:name="page36"/>
    <w:bookmarkEnd w:id="35"/>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11:</w:t>
        <w:tab/>
        <w:t>EMPLOYEE RELATED LIABILITIES (continued)</w:t>
      </w:r>
    </w:p>
    <w:p>
      <w:pPr>
        <w:spacing w:after="0" w:line="253" w:lineRule="exact"/>
        <w:rPr>
          <w:sz w:val="20"/>
          <w:szCs w:val="20"/>
          <w:color w:val="auto"/>
        </w:rPr>
      </w:pPr>
    </w:p>
    <w:p>
      <w:pPr>
        <w:ind w:left="1260" w:hanging="345"/>
        <w:spacing w:after="0"/>
        <w:tabs>
          <w:tab w:leader="none" w:pos="1260"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TSNB Employee Benefit Plans (continued)</w:t>
      </w:r>
    </w:p>
    <w:p>
      <w:pPr>
        <w:spacing w:after="0" w:line="255" w:lineRule="exact"/>
        <w:rPr>
          <w:sz w:val="20"/>
          <w:szCs w:val="20"/>
          <w:color w:val="auto"/>
        </w:rPr>
      </w:pPr>
    </w:p>
    <w:p>
      <w:pPr>
        <w:jc w:val="both"/>
        <w:ind w:left="1240" w:right="20"/>
        <w:spacing w:after="0" w:line="303" w:lineRule="auto"/>
        <w:rPr>
          <w:sz w:val="20"/>
          <w:szCs w:val="20"/>
          <w:color w:val="auto"/>
        </w:rPr>
      </w:pPr>
      <w:r>
        <w:rPr>
          <w:rFonts w:ascii="Times New Roman" w:cs="Times New Roman" w:eastAsia="Times New Roman" w:hAnsi="Times New Roman"/>
          <w:sz w:val="16"/>
          <w:szCs w:val="16"/>
          <w:color w:val="auto"/>
        </w:rPr>
        <w:t>Benefits paid under the plan during the years ending December 31, 2025 and 2024 were appropriately $1,000 per year. The following benefit payments are expected to be paid in each of the next five fiscal years and in the aggregate for the five fiscal years thereafter:</w:t>
      </w:r>
    </w:p>
    <w:p>
      <w:pPr>
        <w:spacing w:after="0" w:line="179" w:lineRule="exact"/>
        <w:rPr>
          <w:sz w:val="20"/>
          <w:szCs w:val="20"/>
          <w:color w:val="auto"/>
        </w:rPr>
      </w:pPr>
    </w:p>
    <w:tbl>
      <w:tblPr>
        <w:tblLayout w:type="fixed"/>
        <w:tblInd w:w="1600" w:type="dxa"/>
        <w:tblCellMar>
          <w:top w:w="0" w:type="dxa"/>
          <w:left w:w="0" w:type="dxa"/>
          <w:bottom w:w="0" w:type="dxa"/>
          <w:right w:w="0" w:type="dxa"/>
        </w:tblCellMar>
      </w:tblPr>
      <w:tr>
        <w:trPr>
          <w:trHeight w:val="206"/>
        </w:trPr>
        <w:tc>
          <w:tcPr>
            <w:tcW w:w="3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Fiscal Year</w:t>
            </w:r>
          </w:p>
        </w:tc>
        <w:tc>
          <w:tcPr>
            <w:tcW w:w="10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0" w:type="dxa"/>
            <w:vAlign w:val="bottom"/>
          </w:tcPr>
          <w:p>
            <w:pPr>
              <w:spacing w:after="0"/>
              <w:rPr>
                <w:sz w:val="1"/>
                <w:szCs w:val="1"/>
                <w:color w:val="auto"/>
              </w:rPr>
            </w:pPr>
          </w:p>
        </w:tc>
      </w:tr>
      <w:tr>
        <w:trPr>
          <w:trHeight w:val="215"/>
        </w:trPr>
        <w:tc>
          <w:tcPr>
            <w:tcW w:w="3240" w:type="dxa"/>
            <w:vAlign w:val="bottom"/>
            <w:vMerge w:val="continue"/>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Benefits</w:t>
            </w:r>
          </w:p>
        </w:tc>
        <w:tc>
          <w:tcPr>
            <w:tcW w:w="0" w:type="dxa"/>
            <w:vAlign w:val="bottom"/>
          </w:tcPr>
          <w:p>
            <w:pPr>
              <w:spacing w:after="0"/>
              <w:rPr>
                <w:sz w:val="1"/>
                <w:szCs w:val="1"/>
                <w:color w:val="auto"/>
              </w:rPr>
            </w:pPr>
          </w:p>
        </w:tc>
      </w:tr>
      <w:tr>
        <w:trPr>
          <w:trHeight w:val="20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1,335</w:t>
            </w:r>
          </w:p>
        </w:tc>
        <w:tc>
          <w:tcPr>
            <w:tcW w:w="0" w:type="dxa"/>
            <w:vAlign w:val="bottom"/>
          </w:tcPr>
          <w:p>
            <w:pPr>
              <w:spacing w:after="0"/>
              <w:rPr>
                <w:sz w:val="1"/>
                <w:szCs w:val="1"/>
                <w:color w:val="auto"/>
              </w:rPr>
            </w:pPr>
          </w:p>
        </w:tc>
      </w:tr>
      <w:tr>
        <w:trPr>
          <w:trHeight w:val="20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1,368</w:t>
            </w:r>
          </w:p>
        </w:tc>
        <w:tc>
          <w:tcPr>
            <w:tcW w:w="0" w:type="dxa"/>
            <w:vAlign w:val="bottom"/>
          </w:tcPr>
          <w:p>
            <w:pPr>
              <w:spacing w:after="0"/>
              <w:rPr>
                <w:sz w:val="1"/>
                <w:szCs w:val="1"/>
                <w:color w:val="auto"/>
              </w:rPr>
            </w:pP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1,389</w:t>
            </w:r>
          </w:p>
        </w:tc>
        <w:tc>
          <w:tcPr>
            <w:tcW w:w="0" w:type="dxa"/>
            <w:vAlign w:val="bottom"/>
          </w:tcPr>
          <w:p>
            <w:pPr>
              <w:spacing w:after="0"/>
              <w:rPr>
                <w:sz w:val="1"/>
                <w:szCs w:val="1"/>
                <w:color w:val="auto"/>
              </w:rPr>
            </w:pPr>
          </w:p>
        </w:tc>
      </w:tr>
      <w:tr>
        <w:trPr>
          <w:trHeight w:val="20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2031 - 2035</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6,717</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1240" w:right="20"/>
        <w:spacing w:after="0" w:line="286" w:lineRule="auto"/>
        <w:rPr>
          <w:sz w:val="20"/>
          <w:szCs w:val="20"/>
          <w:color w:val="auto"/>
        </w:rPr>
      </w:pPr>
      <w:r>
        <w:rPr>
          <w:rFonts w:ascii="Times New Roman" w:cs="Times New Roman" w:eastAsia="Times New Roman" w:hAnsi="Times New Roman"/>
          <w:sz w:val="16"/>
          <w:szCs w:val="16"/>
          <w:color w:val="auto"/>
        </w:rPr>
        <w:t>For each of the years included in these financial statements, the plan’s assets measured at fair value on a recurring basis consisted solely of investments in commingled funds, valued as a level 2 fair value measurement. The weighted average asset allocations for periods included were approximately 10% in equity securities and 90% in debt securities.</w:t>
      </w:r>
    </w:p>
    <w:p>
      <w:pPr>
        <w:spacing w:after="0" w:line="156" w:lineRule="exact"/>
        <w:rPr>
          <w:sz w:val="20"/>
          <w:szCs w:val="20"/>
          <w:color w:val="auto"/>
        </w:rPr>
      </w:pPr>
    </w:p>
    <w:p>
      <w:pPr>
        <w:jc w:val="both"/>
        <w:ind w:left="1240"/>
        <w:spacing w:after="0" w:line="269" w:lineRule="auto"/>
        <w:rPr>
          <w:sz w:val="20"/>
          <w:szCs w:val="20"/>
          <w:color w:val="auto"/>
        </w:rPr>
      </w:pPr>
      <w:r>
        <w:rPr>
          <w:rFonts w:ascii="Times New Roman" w:cs="Times New Roman" w:eastAsia="Times New Roman" w:hAnsi="Times New Roman"/>
          <w:sz w:val="16"/>
          <w:szCs w:val="16"/>
          <w:color w:val="auto"/>
        </w:rPr>
        <w:t>TSNB’s primary policy goals regarding the plan’s assets are to (1) provide liquidity to meet the Plan benefit payments and expenses payable from the Plan, (2) offer reasonable probability of achieving growth of assets that will assist in closing the Plan’s funding gap, and (3) manage the Plan’s assets in a liability framework. Plan assets are currently invested in commingled funds with various debt and equity investment objectives. The target asset allocation for the plan assets is 90% debt, or fixed income securities, and 10% equity securities. Individual funds are evaluated periodically based on comparisons to benchmark indices and peer group funds, and investment decisions are made by TSNB in accordance with the policy goals. Actual allocation to each asset category fluctuates and may not be within the target allocation specified above due to changes in market conditions.</w:t>
      </w:r>
    </w:p>
    <w:p>
      <w:pPr>
        <w:spacing w:after="0" w:line="16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b w:val="1"/>
          <w:bCs w:val="1"/>
          <w:i w:val="1"/>
          <w:iCs w:val="1"/>
          <w:color w:val="auto"/>
        </w:rPr>
        <w:t>Post-Retirement Medical Plan</w:t>
      </w:r>
    </w:p>
    <w:p>
      <w:pPr>
        <w:spacing w:after="0" w:line="269" w:lineRule="exact"/>
        <w:rPr>
          <w:sz w:val="20"/>
          <w:szCs w:val="20"/>
          <w:color w:val="auto"/>
        </w:rPr>
      </w:pPr>
    </w:p>
    <w:p>
      <w:pPr>
        <w:jc w:val="both"/>
        <w:ind w:left="1240" w:right="20"/>
        <w:spacing w:after="0" w:line="273" w:lineRule="auto"/>
        <w:rPr>
          <w:sz w:val="20"/>
          <w:szCs w:val="20"/>
          <w:color w:val="auto"/>
        </w:rPr>
      </w:pPr>
      <w:r>
        <w:rPr>
          <w:rFonts w:ascii="Times New Roman" w:cs="Times New Roman" w:eastAsia="Times New Roman" w:hAnsi="Times New Roman"/>
          <w:sz w:val="16"/>
          <w:szCs w:val="16"/>
          <w:color w:val="auto"/>
        </w:rPr>
        <w:t>Additionally, TSNB has a medical plan that provides post-retirement health and life benefits to eligible employees upon retirement. Benefit obligation under the plan was $1,228 and $1,235 as of December 31, 2025 and 2024, respectively. The benefit obligation is mostly included in non-current liabilities. Unrecognized losses under the plan as of December 31, 2025 and 2024, comprised in their entirety of historically deferred net actuarial gains and losses, were $829 and $1,018, respectively. Net expense recognized on the plan and amortization of unrecognized losses included in net expense recognized on the plan were immaterial in each of the years included in these financial statements.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12:</w:t>
        <w:tab/>
        <w:t>COMMITMENTS AND CONTINGENCIES</w:t>
      </w:r>
    </w:p>
    <w:p>
      <w:pPr>
        <w:spacing w:after="0" w:line="253" w:lineRule="exact"/>
        <w:rPr>
          <w:sz w:val="20"/>
          <w:szCs w:val="20"/>
          <w:color w:val="auto"/>
        </w:rPr>
      </w:pPr>
    </w:p>
    <w:p>
      <w:pPr>
        <w:ind w:left="1240" w:hanging="345"/>
        <w:spacing w:after="0"/>
        <w:tabs>
          <w:tab w:leader="none" w:pos="1240"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Liens</w:t>
      </w:r>
    </w:p>
    <w:p>
      <w:pPr>
        <w:spacing w:after="0" w:line="253"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Loans and Capital Leases</w:t>
      </w:r>
    </w:p>
    <w:p>
      <w:pPr>
        <w:spacing w:after="0" w:line="267"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liens under TPSCo’s JPY Loans, see Note 9C. For liens under the capital lease agreements, see Note 9D.</w:t>
      </w:r>
    </w:p>
    <w:p>
      <w:pPr>
        <w:spacing w:after="0" w:line="263"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TPSCo</w:t>
      </w:r>
    </w:p>
    <w:p>
      <w:pPr>
        <w:spacing w:after="0" w:line="253" w:lineRule="exact"/>
        <w:rPr>
          <w:rFonts w:ascii="Times New Roman" w:cs="Times New Roman" w:eastAsia="Times New Roman" w:hAnsi="Times New Roman"/>
          <w:sz w:val="16"/>
          <w:szCs w:val="16"/>
          <w:b w:val="1"/>
          <w:bCs w:val="1"/>
          <w:color w:val="auto"/>
        </w:rPr>
      </w:pPr>
    </w:p>
    <w:p>
      <w:pPr>
        <w:ind w:left="1800" w:hanging="540"/>
        <w:spacing w:after="0"/>
        <w:tabs>
          <w:tab w:leader="none" w:pos="1800" w:val="left"/>
        </w:tabs>
        <w:numPr>
          <w:ilvl w:val="1"/>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Renewed Contracts</w:t>
      </w:r>
    </w:p>
    <w:p>
      <w:pPr>
        <w:spacing w:after="0" w:line="255" w:lineRule="exact"/>
        <w:rPr>
          <w:rFonts w:ascii="Times New Roman" w:cs="Times New Roman" w:eastAsia="Times New Roman" w:hAnsi="Times New Roman"/>
          <w:sz w:val="16"/>
          <w:szCs w:val="16"/>
          <w:b w:val="1"/>
          <w:bCs w:val="1"/>
          <w:color w:val="auto"/>
        </w:rPr>
      </w:pPr>
    </w:p>
    <w:p>
      <w:pPr>
        <w:jc w:val="both"/>
        <w:ind w:left="1800" w:right="20"/>
        <w:spacing w:after="0" w:line="29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2022, Tower, TPSCo and NTCJ extended certain agreements with respect to TPSCo through March 2027 under certain amended terms, including changes to the commercial pricing for the services provided by TPSCo and enhanced financial support from Tower and NTCJ to TPSCo.</w:t>
      </w:r>
    </w:p>
    <w:p>
      <w:pPr>
        <w:spacing w:after="0" w:line="200" w:lineRule="exact"/>
        <w:rPr>
          <w:sz w:val="20"/>
          <w:szCs w:val="20"/>
          <w:color w:val="auto"/>
        </w:rPr>
      </w:pPr>
    </w:p>
    <w:p>
      <w:pPr>
        <w:spacing w:after="0" w:line="202" w:lineRule="exact"/>
        <w:rPr>
          <w:sz w:val="20"/>
          <w:szCs w:val="20"/>
          <w:color w:val="auto"/>
        </w:rPr>
      </w:pPr>
    </w:p>
    <w:p>
      <w:pPr>
        <w:ind w:left="1800" w:hanging="540"/>
        <w:spacing w:after="0"/>
        <w:tabs>
          <w:tab w:leader="none" w:pos="1800"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Japanese Operations Restructuring</w:t>
      </w:r>
    </w:p>
    <w:p>
      <w:pPr>
        <w:spacing w:after="0" w:line="255" w:lineRule="exact"/>
        <w:rPr>
          <w:rFonts w:ascii="Times New Roman" w:cs="Times New Roman" w:eastAsia="Times New Roman" w:hAnsi="Times New Roman"/>
          <w:sz w:val="16"/>
          <w:szCs w:val="16"/>
          <w:b w:val="1"/>
          <w:bCs w:val="1"/>
          <w:color w:val="auto"/>
        </w:rPr>
      </w:pPr>
    </w:p>
    <w:p>
      <w:pPr>
        <w:jc w:val="both"/>
        <w:ind w:left="180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2022, TPSCo’s operation in Japan was re-organized and re-structured, maintaining operations at the Uozu and Tonami facilities unchanged, while the Arai facility, which provided products solely to NTCJ and did not serve the Company’s customers, ceased operations, with a portion of the machinery and equipment of the Arai facility being transferred to the Tonami facility. The remaining machinery and equipment were sold to third parties.</w:t>
      </w:r>
    </w:p>
    <w:p>
      <w:pPr>
        <w:spacing w:after="0" w:line="164" w:lineRule="exact"/>
        <w:rPr>
          <w:rFonts w:ascii="Times New Roman" w:cs="Times New Roman" w:eastAsia="Times New Roman" w:hAnsi="Times New Roman"/>
          <w:sz w:val="16"/>
          <w:szCs w:val="16"/>
          <w:b w:val="1"/>
          <w:bCs w:val="1"/>
          <w:color w:val="auto"/>
        </w:rPr>
      </w:pPr>
    </w:p>
    <w:p>
      <w:pPr>
        <w:jc w:val="both"/>
        <w:ind w:left="180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restructuring process, including the transfer and installation of machinery and equipment in the Tonami facility and the sale of certain equipment, which was mostly completed during 2023 and finalized during 2024, resulted in restructuring gain, net from the sale of machinery and equipment of $52,168 in 2023, as well as total restructuring costs (income) of $6,270 income and $19,662 expense recorded in 2024 and 2023, respectively.</w:t>
      </w:r>
    </w:p>
    <w:p>
      <w:pPr>
        <w:spacing w:after="0" w:line="176" w:lineRule="exact"/>
        <w:rPr>
          <w:rFonts w:ascii="Times New Roman" w:cs="Times New Roman" w:eastAsia="Times New Roman" w:hAnsi="Times New Roman"/>
          <w:sz w:val="16"/>
          <w:szCs w:val="16"/>
          <w:b w:val="1"/>
          <w:bCs w:val="1"/>
          <w:color w:val="auto"/>
        </w:rPr>
      </w:pPr>
    </w:p>
    <w:p>
      <w:pPr>
        <w:ind w:left="18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Changes in accruals related to the Arai facility cessation for the years ended December 31, 2024 and December 31, 2023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Asset</w:t>
            </w:r>
          </w:p>
        </w:tc>
        <w:tc>
          <w:tcPr>
            <w:tcW w:w="16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Other</w:t>
            </w:r>
          </w:p>
        </w:tc>
        <w:tc>
          <w:tcPr>
            <w:tcW w:w="1380" w:type="dxa"/>
            <w:vAlign w:val="bottom"/>
          </w:tcPr>
          <w:p>
            <w:pPr>
              <w:spacing w:after="0"/>
              <w:rPr>
                <w:sz w:val="17"/>
                <w:szCs w:val="17"/>
                <w:color w:val="auto"/>
              </w:rPr>
            </w:pPr>
          </w:p>
        </w:tc>
      </w:tr>
      <w:tr>
        <w:trPr>
          <w:trHeight w:val="194"/>
        </w:trPr>
        <w:tc>
          <w:tcPr>
            <w:tcW w:w="2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disposal</w:t>
            </w: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Restructuring</w:t>
            </w:r>
          </w:p>
        </w:tc>
        <w:tc>
          <w:tcPr>
            <w:tcW w:w="1380" w:type="dxa"/>
            <w:vAlign w:val="bottom"/>
          </w:tcPr>
          <w:p>
            <w:pPr>
              <w:spacing w:after="0"/>
              <w:rPr>
                <w:sz w:val="16"/>
                <w:szCs w:val="16"/>
                <w:color w:val="auto"/>
              </w:rPr>
            </w:pPr>
          </w:p>
        </w:tc>
      </w:tr>
      <w:tr>
        <w:trPr>
          <w:trHeight w:val="227"/>
        </w:trPr>
        <w:tc>
          <w:tcPr>
            <w:tcW w:w="218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accrual</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costs accrual</w:t>
            </w:r>
          </w:p>
        </w:tc>
        <w:tc>
          <w:tcPr>
            <w:tcW w:w="1380" w:type="dxa"/>
            <w:vAlign w:val="bottom"/>
          </w:tcPr>
          <w:p>
            <w:pPr>
              <w:spacing w:after="0"/>
              <w:rPr>
                <w:sz w:val="19"/>
                <w:szCs w:val="19"/>
                <w:color w:val="auto"/>
              </w:rPr>
            </w:pPr>
          </w:p>
        </w:tc>
      </w:tr>
      <w:tr>
        <w:trPr>
          <w:trHeight w:val="206"/>
        </w:trPr>
        <w:tc>
          <w:tcPr>
            <w:tcW w:w="218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balance as of January 1, 2023</w:t>
            </w:r>
          </w:p>
        </w:tc>
        <w:tc>
          <w:tcPr>
            <w:tcW w:w="28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7,635</w:t>
            </w:r>
          </w:p>
        </w:tc>
        <w:tc>
          <w:tcPr>
            <w:tcW w:w="80" w:type="dxa"/>
            <w:vAlign w:val="bottom"/>
            <w:shd w:val="clear" w:color="auto" w:fill="CCEEFF"/>
          </w:tcPr>
          <w:p>
            <w:pPr>
              <w:spacing w:after="0"/>
              <w:rPr>
                <w:sz w:val="17"/>
                <w:szCs w:val="17"/>
                <w:color w:val="auto"/>
              </w:rPr>
            </w:pPr>
          </w:p>
        </w:tc>
        <w:tc>
          <w:tcPr>
            <w:tcW w:w="1380" w:type="dxa"/>
            <w:vAlign w:val="bottom"/>
          </w:tcPr>
          <w:p>
            <w:pPr>
              <w:spacing w:after="0"/>
              <w:rPr>
                <w:sz w:val="17"/>
                <w:szCs w:val="17"/>
                <w:color w:val="auto"/>
              </w:rPr>
            </w:pPr>
          </w:p>
        </w:tc>
      </w:tr>
      <w:tr>
        <w:trPr>
          <w:trHeight w:val="206"/>
        </w:trPr>
        <w:tc>
          <w:tcPr>
            <w:tcW w:w="218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Expenses accrued</w:t>
            </w: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19,662</w:t>
            </w:r>
          </w:p>
        </w:tc>
        <w:tc>
          <w:tcPr>
            <w:tcW w:w="1380" w:type="dxa"/>
            <w:vAlign w:val="bottom"/>
          </w:tcPr>
          <w:p>
            <w:pPr>
              <w:spacing w:after="0"/>
              <w:rPr>
                <w:sz w:val="17"/>
                <w:szCs w:val="17"/>
                <w:color w:val="auto"/>
              </w:rPr>
            </w:pPr>
          </w:p>
        </w:tc>
      </w:tr>
      <w:tr>
        <w:trPr>
          <w:trHeight w:val="206"/>
        </w:trPr>
        <w:tc>
          <w:tcPr>
            <w:tcW w:w="218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Accruals related to assets</w:t>
            </w:r>
          </w:p>
        </w:tc>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(1,741)</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(7,318)</w:t>
            </w:r>
          </w:p>
        </w:tc>
        <w:tc>
          <w:tcPr>
            <w:tcW w:w="1380" w:type="dxa"/>
            <w:vAlign w:val="bottom"/>
          </w:tcPr>
          <w:p>
            <w:pPr>
              <w:spacing w:after="0"/>
              <w:rPr>
                <w:sz w:val="17"/>
                <w:szCs w:val="17"/>
                <w:color w:val="auto"/>
              </w:rPr>
            </w:pPr>
          </w:p>
        </w:tc>
      </w:tr>
      <w:tr>
        <w:trPr>
          <w:trHeight w:val="211"/>
        </w:trPr>
        <w:tc>
          <w:tcPr>
            <w:tcW w:w="21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(222)</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(17,852)</w:t>
            </w:r>
          </w:p>
        </w:tc>
        <w:tc>
          <w:tcPr>
            <w:tcW w:w="1380" w:type="dxa"/>
            <w:vAlign w:val="bottom"/>
          </w:tcPr>
          <w:p>
            <w:pPr>
              <w:spacing w:after="0"/>
              <w:rPr>
                <w:sz w:val="18"/>
                <w:szCs w:val="18"/>
                <w:color w:val="auto"/>
              </w:rPr>
            </w:pPr>
          </w:p>
        </w:tc>
      </w:tr>
      <w:tr>
        <w:trPr>
          <w:trHeight w:val="206"/>
        </w:trPr>
        <w:tc>
          <w:tcPr>
            <w:tcW w:w="218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balance as of December 31, 2023</w:t>
            </w:r>
          </w:p>
        </w:tc>
        <w:tc>
          <w:tcPr>
            <w:tcW w:w="28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80" w:type="dxa"/>
            <w:vAlign w:val="bottom"/>
            <w:shd w:val="clear" w:color="auto" w:fill="CCEEFF"/>
          </w:tcPr>
          <w:p>
            <w:pPr>
              <w:spacing w:after="0"/>
              <w:rPr>
                <w:sz w:val="17"/>
                <w:szCs w:val="17"/>
                <w:color w:val="auto"/>
              </w:rPr>
            </w:pPr>
          </w:p>
        </w:tc>
        <w:tc>
          <w:tcPr>
            <w:tcW w:w="1380" w:type="dxa"/>
            <w:vAlign w:val="bottom"/>
          </w:tcPr>
          <w:p>
            <w:pPr>
              <w:spacing w:after="0"/>
              <w:rPr>
                <w:sz w:val="17"/>
                <w:szCs w:val="17"/>
                <w:color w:val="auto"/>
              </w:rPr>
            </w:pPr>
          </w:p>
        </w:tc>
      </w:tr>
      <w:tr>
        <w:trPr>
          <w:trHeight w:val="211"/>
        </w:trPr>
        <w:tc>
          <w:tcPr>
            <w:tcW w:w="21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(2,127)</w:t>
            </w:r>
          </w:p>
        </w:tc>
        <w:tc>
          <w:tcPr>
            <w:tcW w:w="1380" w:type="dxa"/>
            <w:vAlign w:val="bottom"/>
          </w:tcPr>
          <w:p>
            <w:pPr>
              <w:spacing w:after="0"/>
              <w:rPr>
                <w:sz w:val="18"/>
                <w:szCs w:val="18"/>
                <w:color w:val="auto"/>
              </w:rPr>
            </w:pPr>
          </w:p>
        </w:tc>
      </w:tr>
      <w:tr>
        <w:trPr>
          <w:trHeight w:val="246"/>
        </w:trPr>
        <w:tc>
          <w:tcPr>
            <w:tcW w:w="2180" w:type="dxa"/>
            <w:vAlign w:val="bottom"/>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balance as of December 31, 2024</w:t>
            </w:r>
          </w:p>
        </w:tc>
        <w:tc>
          <w:tcPr>
            <w:tcW w:w="2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Pr>
          <w:p>
            <w:pPr>
              <w:spacing w:after="0"/>
              <w:rPr>
                <w:sz w:val="21"/>
                <w:szCs w:val="21"/>
                <w:color w:val="auto"/>
              </w:rPr>
            </w:pPr>
          </w:p>
        </w:tc>
      </w:tr>
      <w:tr>
        <w:trPr>
          <w:trHeight w:val="583"/>
        </w:trPr>
        <w:tc>
          <w:tcPr>
            <w:tcW w:w="21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940" w:type="dxa"/>
            <w:vAlign w:val="bottom"/>
            <w:gridSpan w:val="2"/>
          </w:tcPr>
          <w:p>
            <w:pPr>
              <w:jc w:val="right"/>
              <w:ind w:right="2219"/>
              <w:spacing w:after="0"/>
              <w:rPr>
                <w:sz w:val="20"/>
                <w:szCs w:val="20"/>
                <w:color w:val="auto"/>
              </w:rPr>
            </w:pPr>
            <w:r>
              <w:rPr>
                <w:rFonts w:ascii="Times New Roman" w:cs="Times New Roman" w:eastAsia="Times New Roman" w:hAnsi="Times New Roman"/>
                <w:sz w:val="16"/>
                <w:szCs w:val="16"/>
                <w:color w:val="auto"/>
              </w:rPr>
              <w:t>F - 32</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78"/>
        </w:trPr>
        <w:tc>
          <w:tcPr>
            <w:tcW w:w="218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39" w:right="319" w:bottom="1440" w:gutter="0" w:footer="0" w:header="0"/>
        </w:sectPr>
      </w:pPr>
    </w:p>
    <w:bookmarkStart w:id="37" w:name="page38"/>
    <w:bookmarkEnd w:id="37"/>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12:</w:t>
        <w:tab/>
        <w:t>COMMITMENTS AND CONTINGENCIES (continued)</w:t>
      </w:r>
    </w:p>
    <w:p>
      <w:pPr>
        <w:spacing w:after="0" w:line="253" w:lineRule="exact"/>
        <w:rPr>
          <w:sz w:val="20"/>
          <w:szCs w:val="20"/>
          <w:color w:val="auto"/>
        </w:rPr>
      </w:pPr>
    </w:p>
    <w:p>
      <w:pPr>
        <w:ind w:left="1240" w:hanging="345"/>
        <w:spacing w:after="0"/>
        <w:tabs>
          <w:tab w:leader="none" w:pos="1240"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License Agreements</w:t>
      </w:r>
    </w:p>
    <w:p>
      <w:pPr>
        <w:spacing w:after="0" w:line="255" w:lineRule="exact"/>
        <w:rPr>
          <w:rFonts w:ascii="Times New Roman" w:cs="Times New Roman" w:eastAsia="Times New Roman" w:hAnsi="Times New Roman"/>
          <w:sz w:val="16"/>
          <w:szCs w:val="16"/>
          <w:b w:val="1"/>
          <w:bCs w:val="1"/>
          <w:color w:val="auto"/>
        </w:rPr>
      </w:pPr>
    </w:p>
    <w:p>
      <w:pPr>
        <w:ind w:left="1240" w:right="20"/>
        <w:spacing w:after="0" w:line="28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201"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TSNB Lease Agreement</w:t>
      </w:r>
    </w:p>
    <w:p>
      <w:pPr>
        <w:spacing w:after="0" w:line="255" w:lineRule="exact"/>
        <w:rPr>
          <w:rFonts w:ascii="Times New Roman" w:cs="Times New Roman" w:eastAsia="Times New Roman" w:hAnsi="Times New Roman"/>
          <w:sz w:val="16"/>
          <w:szCs w:val="16"/>
          <w:b w:val="1"/>
          <w:bCs w:val="1"/>
          <w:color w:val="auto"/>
        </w:rPr>
      </w:pPr>
    </w:p>
    <w:p>
      <w:pPr>
        <w:jc w:val="both"/>
        <w:ind w:left="124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TSNB leases its facilities under an operational lease contract that is due to expire during 2030, following an extension of the lease signed in November 2025, that extended the lease from the previous 2027 expiration. A prepayment of $105,000 that was paid in 2025 was included in cash flow used in operating activities for the year ended December 31, 2025 and is being expensed to the cost of revenue in the Company’s statement of operations during the lease extended term through 2030 at an amount of approximately $6,000 per quarter. The landlord is party to an option agreement pertaining to the Newport Beach site with a third-party, under which such third party believes he has certain collateral or other rights with respect to it, hence has stated he is considering to file claims against the landlord and/ or the Company. The landlord and the Company dispute the third-party’s claims. The landlord has agreed to indemnify the Company and to provide a defense to any claims asserted by the third-party. In prior amendments to its lease, (i) TSNB secured various contractual safeguards designed to limit and mitigate any adverse impact of construction activities on its operations; and (ii) certain obligations of TSNB and the landlord are specified, including certain noise abatement actions at the facility. The landlord has made claims that TSNB’s noise abatement efforts are not adequate under the terms of the amended lease and has requested a judicial declaration that TSNB has committed material non-curable breach of the lease. TSNB does not agree and is disputing these claims.</w:t>
      </w:r>
    </w:p>
    <w:p>
      <w:pPr>
        <w:spacing w:after="0" w:line="219"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Agreement with ST Microelectronics</w:t>
      </w:r>
    </w:p>
    <w:p>
      <w:pPr>
        <w:spacing w:after="0" w:line="255" w:lineRule="exact"/>
        <w:rPr>
          <w:rFonts w:ascii="Times New Roman" w:cs="Times New Roman" w:eastAsia="Times New Roman" w:hAnsi="Times New Roman"/>
          <w:sz w:val="16"/>
          <w:szCs w:val="16"/>
          <w:b w:val="1"/>
          <w:bCs w:val="1"/>
          <w:color w:val="auto"/>
        </w:rPr>
      </w:pPr>
    </w:p>
    <w:p>
      <w:pPr>
        <w:jc w:val="both"/>
        <w:ind w:left="1240" w:right="2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2021, TSIT, Tower’s wholly-owned Italian subsidiary, entered into a definitive agreement with ST Microelectronics (“ST”) to share under collaborative arrangement a 300mm facility with ST in Agrate, Italy. Under this arrangement, the parties were to share the cleanroom space and the facility infrastructure, with the Company installing certain of its own equipment inside the clean room in an area which consumes approximately one-third of the total clean room space. TSIT and ST invested in their respective process equipment and have been working to accelerate the process flows’ transfer to the facility, product development, qualification and subsequent ramp-up. The comprehensive qualification process was completed in the fourth quarter of 2024, followed by the commencement of volume production and operations, which were, and will continue to be, managed by ST.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38" w:name="page39"/>
    <w:bookmarkEnd w:id="38"/>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12:</w:t>
        <w:tab/>
        <w:t>COMMITMENTS AND CONTINGENCIES (continued)</w:t>
      </w:r>
    </w:p>
    <w:p>
      <w:pPr>
        <w:spacing w:after="0" w:line="253" w:lineRule="exact"/>
        <w:rPr>
          <w:sz w:val="20"/>
          <w:szCs w:val="20"/>
          <w:color w:val="auto"/>
        </w:rPr>
      </w:pPr>
    </w:p>
    <w:p>
      <w:pPr>
        <w:ind w:left="1240" w:hanging="345"/>
        <w:spacing w:after="0"/>
        <w:tabs>
          <w:tab w:leader="none" w:pos="1240"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Termination of Intel Acquisition Agreement</w:t>
      </w:r>
    </w:p>
    <w:p>
      <w:pPr>
        <w:spacing w:after="0" w:line="255" w:lineRule="exact"/>
        <w:rPr>
          <w:rFonts w:ascii="Times New Roman" w:cs="Times New Roman" w:eastAsia="Times New Roman" w:hAnsi="Times New Roman"/>
          <w:sz w:val="16"/>
          <w:szCs w:val="16"/>
          <w:b w:val="1"/>
          <w:bCs w:val="1"/>
          <w:color w:val="auto"/>
        </w:rPr>
      </w:pPr>
    </w:p>
    <w:p>
      <w:pPr>
        <w:jc w:val="both"/>
        <w:ind w:left="1240" w:right="2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February 2022, Intel and Tower have signed a definitive agreement under which Intel was to acquire all of Tower’s outstanding ordinary shares, however, the closing conditions for this transaction were not met since certain regulatory approvals were not obtained. As a result, in August 2023, Intel and Tower announced the termination of this agreement. Pursuant to the terms of the agreement, and in connection with the termination, Intel paid Tower a gross termination fee of $353,000, which is presented, net of associated fees, in a separate line within the statement of operations for the year ended December 31, 2023 in the amount of $313,501.</w:t>
      </w:r>
    </w:p>
    <w:p>
      <w:pPr>
        <w:spacing w:after="0" w:line="217"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Capacity Corridor Agreement with Intel</w:t>
      </w:r>
    </w:p>
    <w:p>
      <w:pPr>
        <w:spacing w:after="0" w:line="255"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September 2023, Tower and Intel signed an agreement under which Intel has committed to build a capacity corridor at Tower’s instructions, in order for Intel to manufacture wafers for Tower’s customers in Intel’s 300mm facility in New Mexico, USA. Under this agreement, Tower has committed to invest up to $300,000 for equipment and other fixed assets to be owned by Tower and to be installed and qualified for Tower processes and for its customer products in this Intel facility. As of December 31, 2025, the corridor was in the initial equipment procurement and installation stage and not qualified for production. Recently, Intel has expressed its intention not to perform under the agreement and the parties are presently in a mediation process.</w:t>
      </w:r>
    </w:p>
    <w:p>
      <w:pPr>
        <w:spacing w:after="0" w:line="217"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Agreements</w:t>
      </w:r>
    </w:p>
    <w:p>
      <w:pPr>
        <w:spacing w:after="0" w:line="255" w:lineRule="exact"/>
        <w:rPr>
          <w:sz w:val="20"/>
          <w:szCs w:val="20"/>
          <w:color w:val="auto"/>
        </w:rPr>
      </w:pPr>
    </w:p>
    <w:p>
      <w:pPr>
        <w:jc w:val="both"/>
        <w:ind w:left="1240" w:right="20"/>
        <w:spacing w:after="0" w:line="278" w:lineRule="auto"/>
        <w:rPr>
          <w:sz w:val="20"/>
          <w:szCs w:val="20"/>
          <w:color w:val="auto"/>
        </w:rPr>
      </w:pPr>
      <w:r>
        <w:rPr>
          <w:rFonts w:ascii="Times New Roman" w:cs="Times New Roman" w:eastAsia="Times New Roman" w:hAnsi="Times New Roman"/>
          <w:sz w:val="16"/>
          <w:szCs w:val="16"/>
          <w:color w:val="auto"/>
        </w:rPr>
        <w:t>From time to time, in the ordinary course of business, the Company enters into long-term agreements with various entities for the joint development of product IPs and processes. The developed IPs may be owned separately by either the other entity or the Company, or owned jointly by both parties, as applicable.</w:t>
      </w:r>
    </w:p>
    <w:p>
      <w:pPr>
        <w:spacing w:after="0" w:line="16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13:</w:t>
        <w:tab/>
        <w:t>SHAREHOLDERS’ EQUITY</w:t>
      </w:r>
    </w:p>
    <w:p>
      <w:pPr>
        <w:spacing w:after="0" w:line="253" w:lineRule="exact"/>
        <w:rPr>
          <w:sz w:val="20"/>
          <w:szCs w:val="20"/>
          <w:color w:val="auto"/>
        </w:rPr>
      </w:pPr>
    </w:p>
    <w:p>
      <w:pPr>
        <w:ind w:left="1240" w:hanging="345"/>
        <w:spacing w:after="0"/>
        <w:tabs>
          <w:tab w:leader="none" w:pos="1240"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Ordinary Shares</w:t>
      </w:r>
    </w:p>
    <w:p>
      <w:pPr>
        <w:spacing w:after="0" w:line="255" w:lineRule="exact"/>
        <w:rPr>
          <w:rFonts w:ascii="Times New Roman" w:cs="Times New Roman" w:eastAsia="Times New Roman" w:hAnsi="Times New Roman"/>
          <w:sz w:val="16"/>
          <w:szCs w:val="16"/>
          <w:b w:val="1"/>
          <w:bCs w:val="1"/>
          <w:color w:val="auto"/>
        </w:rPr>
      </w:pP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Tower had 150 million authorized ordinary shares, par value NIS 15.00 each, of which approximately 112.5 million were outstanding. Holders of ordinary shares are entitled to participate equally in the payment of cash dividends and bonus share (stock dividend) distributions, if any, and, in the event of the liquidation of Tower, in the distribution of assets after satisfaction of liabilities to creditors. Each ordinary share is entitled to one vote on all matters to be voted on by shareholders.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39" w:name="page40"/>
    <w:bookmarkEnd w:id="39"/>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13:</w:t>
        <w:tab/>
        <w:t>SHAREHOLDERS’ EQUITY (continued)</w:t>
      </w:r>
    </w:p>
    <w:p>
      <w:pPr>
        <w:spacing w:after="0" w:line="253" w:lineRule="exact"/>
        <w:rPr>
          <w:sz w:val="20"/>
          <w:szCs w:val="20"/>
          <w:color w:val="auto"/>
        </w:rPr>
      </w:pPr>
    </w:p>
    <w:p>
      <w:pPr>
        <w:ind w:left="1240" w:hanging="345"/>
        <w:spacing w:after="0"/>
        <w:tabs>
          <w:tab w:leader="none" w:pos="1240" w:val="left"/>
        </w:tabs>
        <w:numPr>
          <w:ilvl w:val="0"/>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Equity Incentive Plans</w:t>
      </w:r>
    </w:p>
    <w:p>
      <w:pPr>
        <w:spacing w:after="0" w:line="253" w:lineRule="exact"/>
        <w:rPr>
          <w:rFonts w:ascii="Times New Roman" w:cs="Times New Roman" w:eastAsia="Times New Roman" w:hAnsi="Times New Roman"/>
          <w:sz w:val="16"/>
          <w:szCs w:val="16"/>
          <w:b w:val="1"/>
          <w:bCs w:val="1"/>
          <w:color w:val="auto"/>
        </w:rPr>
      </w:pPr>
    </w:p>
    <w:p>
      <w:pPr>
        <w:ind w:left="1620" w:hanging="360"/>
        <w:spacing w:after="0"/>
        <w:tabs>
          <w:tab w:leader="none" w:pos="1620" w:val="left"/>
        </w:tabs>
        <w:numPr>
          <w:ilvl w:val="1"/>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Tower’s 2013 Share Incentive Plan (the “2013 Plan”)</w:t>
      </w:r>
    </w:p>
    <w:p>
      <w:pPr>
        <w:spacing w:after="0" w:line="26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In 2013, the Company adopted a share incentive plan for directors, officers and employees of the Company (“2013 Plan”).</w:t>
      </w:r>
    </w:p>
    <w:p>
      <w:pPr>
        <w:spacing w:after="0" w:line="217" w:lineRule="exact"/>
        <w:rPr>
          <w:sz w:val="20"/>
          <w:szCs w:val="20"/>
          <w:color w:val="auto"/>
        </w:rPr>
      </w:pPr>
    </w:p>
    <w:p>
      <w:pPr>
        <w:jc w:val="both"/>
        <w:ind w:left="1240"/>
        <w:spacing w:after="0" w:line="269" w:lineRule="auto"/>
        <w:rPr>
          <w:sz w:val="20"/>
          <w:szCs w:val="20"/>
          <w:color w:val="auto"/>
        </w:rPr>
      </w:pPr>
      <w:r>
        <w:rPr>
          <w:rFonts w:ascii="Times New Roman" w:cs="Times New Roman" w:eastAsia="Times New Roman" w:hAnsi="Times New Roman"/>
          <w:sz w:val="16"/>
          <w:szCs w:val="16"/>
          <w:color w:val="auto"/>
        </w:rPr>
        <w:t>Under the 2013 Plan, the Company granted a total of approximately 0.78 million restricted stock units (“RSUs”) to its employees and directors during 2025 and a total of approximately 1.58 million RSUs to its employees and directors during 2024, including the below-described grants to the CEO and directors, with vesting periods of up to three years. These RSUs amounts also include performance based RSUs (“PSUs”) and market based RSUs (“MSUs”). The Company determines compensation expenses of the RSUs based on the closing market price of the ordinary shares on the last trading day immediately prior to the date of grant and amortizes it over the applicable vesting period, taking into consideration achievement, if any, of performance and market criteria.</w:t>
      </w:r>
    </w:p>
    <w:p>
      <w:pPr>
        <w:spacing w:after="0" w:line="18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During 2025, the Company's CEO and members of the Board of Directors were awarded the following RSUs under the 2013 Plan:</w:t>
      </w:r>
    </w:p>
    <w:p>
      <w:pPr>
        <w:spacing w:after="0" w:line="217" w:lineRule="exact"/>
        <w:rPr>
          <w:sz w:val="20"/>
          <w:szCs w:val="20"/>
          <w:color w:val="auto"/>
        </w:rPr>
      </w:pPr>
    </w:p>
    <w:p>
      <w:pPr>
        <w:jc w:val="both"/>
        <w:ind w:left="1240" w:firstLine="8"/>
        <w:spacing w:after="0" w:line="275" w:lineRule="auto"/>
        <w:tabs>
          <w:tab w:leader="none" w:pos="144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73 thousand time-vested RSUs, 132 thousand PSUs and 44 thousand MSUs, granted to the CEO, with 33% of such RSUs, PSUs and MSUs to vest at the end of each year for 3 years following the grant date. The total compensation value of these awards was approximately $12,000. The grant also included a provision requiring the CEO to own ordinary shares of the Company at a minimum value that equals at least three times his annual base salary (the “Minimum Holding”). As of December 31, 2025, the CEO is in compliance with the Minimum Holding requirement;</w:t>
      </w:r>
    </w:p>
    <w:p>
      <w:pPr>
        <w:spacing w:after="0" w:line="164" w:lineRule="exact"/>
        <w:rPr>
          <w:rFonts w:ascii="Times New Roman" w:cs="Times New Roman" w:eastAsia="Times New Roman" w:hAnsi="Times New Roman"/>
          <w:sz w:val="16"/>
          <w:szCs w:val="16"/>
          <w:color w:val="auto"/>
        </w:rPr>
      </w:pPr>
    </w:p>
    <w:p>
      <w:pPr>
        <w:ind w:left="1240" w:firstLine="8"/>
        <w:spacing w:after="0" w:line="303" w:lineRule="auto"/>
        <w:tabs>
          <w:tab w:leader="none" w:pos="148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6.3 thousand time-vested RSUs to the chairman of the Board of Directors (the “Chairman”) for a total compensation value of $300, to vest 33% at the end of each year for 3 years following the grant date; and</w:t>
      </w:r>
    </w:p>
    <w:p>
      <w:pPr>
        <w:spacing w:after="0" w:line="142" w:lineRule="exact"/>
        <w:rPr>
          <w:rFonts w:ascii="Times New Roman" w:cs="Times New Roman" w:eastAsia="Times New Roman" w:hAnsi="Times New Roman"/>
          <w:sz w:val="16"/>
          <w:szCs w:val="16"/>
          <w:color w:val="auto"/>
        </w:rPr>
      </w:pPr>
    </w:p>
    <w:p>
      <w:pPr>
        <w:jc w:val="both"/>
        <w:ind w:left="1240" w:firstLine="8"/>
        <w:spacing w:after="0" w:line="278" w:lineRule="auto"/>
        <w:tabs>
          <w:tab w:leader="none" w:pos="153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4.2 thousand time-vested RSUs to each of the eight members of the Board of Directors then serving (other than to the Chairman and the CEO), for a total compensation value of $200 each, vesting over a two-year period, with 50% vesting on the first anniversary of the date of grant and 50% on the second anniversary of the date of grant.</w:t>
      </w:r>
    </w:p>
    <w:p>
      <w:pPr>
        <w:spacing w:after="0" w:line="174" w:lineRule="exact"/>
        <w:rPr>
          <w:sz w:val="20"/>
          <w:szCs w:val="20"/>
          <w:color w:val="auto"/>
        </w:rPr>
      </w:pPr>
    </w:p>
    <w:p>
      <w:pPr>
        <w:jc w:val="both"/>
        <w:ind w:left="1240"/>
        <w:spacing w:after="0" w:line="278" w:lineRule="auto"/>
        <w:rPr>
          <w:sz w:val="20"/>
          <w:szCs w:val="20"/>
          <w:color w:val="auto"/>
        </w:rPr>
      </w:pPr>
      <w:r>
        <w:rPr>
          <w:rFonts w:ascii="Times New Roman" w:cs="Times New Roman" w:eastAsia="Times New Roman" w:hAnsi="Times New Roman"/>
          <w:sz w:val="16"/>
          <w:szCs w:val="16"/>
          <w:color w:val="auto"/>
        </w:rPr>
        <w:t>The members of the Board have to own ordinary shares of the Company at a minimum value that equals at least 50% of their annual base fee and the Chairman will have to own ordinary shares of the Company at a minimum value that equals at least 50% of his annual cash compensation (the “BOD Minimum Holding”).</w:t>
      </w:r>
    </w:p>
    <w:p>
      <w:pPr>
        <w:spacing w:after="0" w:line="1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As of December 31, 2025, the members of the Board and the Chairman are in compliance with the BDO Minimum Holding requirement.</w:t>
      </w:r>
    </w:p>
    <w:p>
      <w:pPr>
        <w:spacing w:after="0" w:line="2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During 2024, the Company's CEO and members of the Board of Directors were awarded the following RSUs under the 2013 Plan:</w:t>
      </w:r>
    </w:p>
    <w:p>
      <w:pPr>
        <w:spacing w:after="0" w:line="217" w:lineRule="exact"/>
        <w:rPr>
          <w:sz w:val="20"/>
          <w:szCs w:val="20"/>
          <w:color w:val="auto"/>
        </w:rPr>
      </w:pPr>
    </w:p>
    <w:p>
      <w:pPr>
        <w:ind w:left="1240" w:firstLine="8"/>
        <w:spacing w:after="0" w:line="303" w:lineRule="auto"/>
        <w:tabs>
          <w:tab w:leader="none" w:pos="14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78 thousand time-vested RSUs, 176 thousand PSUs and 256 thousand MSUs, granted to the CEO, with 33% of such RSUs, PSUs and MSUs to vest at the end of each year for 3 years following the grant date. The total compensation value of these awards was approximately $16,500.</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13:</w:t>
        <w:tab/>
        <w:t>SHAREHOLDERS’ EQUITY (continued)</w:t>
      </w:r>
    </w:p>
    <w:p>
      <w:pPr>
        <w:spacing w:after="0" w:line="204" w:lineRule="exact"/>
        <w:rPr>
          <w:sz w:val="20"/>
          <w:szCs w:val="20"/>
          <w:color w:val="auto"/>
        </w:rPr>
      </w:pPr>
    </w:p>
    <w:p>
      <w:pPr>
        <w:ind w:left="1240" w:hanging="345"/>
        <w:spacing w:after="0"/>
        <w:tabs>
          <w:tab w:leader="none" w:pos="1240"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Equity Incentive Plans (continued)</w:t>
      </w:r>
    </w:p>
    <w:p>
      <w:pPr>
        <w:spacing w:after="0" w:line="253" w:lineRule="exact"/>
        <w:rPr>
          <w:rFonts w:ascii="Times New Roman" w:cs="Times New Roman" w:eastAsia="Times New Roman" w:hAnsi="Times New Roman"/>
          <w:sz w:val="16"/>
          <w:szCs w:val="16"/>
          <w:b w:val="1"/>
          <w:bCs w:val="1"/>
          <w:color w:val="auto"/>
        </w:rPr>
      </w:pPr>
    </w:p>
    <w:p>
      <w:pPr>
        <w:ind w:left="1620" w:hanging="360"/>
        <w:spacing w:after="0"/>
        <w:tabs>
          <w:tab w:leader="none" w:pos="1620" w:val="left"/>
        </w:tabs>
        <w:numPr>
          <w:ilvl w:val="2"/>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Tower’s 2013 Share Incentive Plan (the “2013 Plan”) (continued)</w:t>
      </w:r>
    </w:p>
    <w:p>
      <w:pPr>
        <w:spacing w:after="0" w:line="218" w:lineRule="exact"/>
        <w:rPr>
          <w:rFonts w:ascii="Times New Roman" w:cs="Times New Roman" w:eastAsia="Times New Roman" w:hAnsi="Times New Roman"/>
          <w:sz w:val="16"/>
          <w:szCs w:val="16"/>
          <w:b w:val="1"/>
          <w:bCs w:val="1"/>
          <w:color w:val="auto"/>
        </w:rPr>
      </w:pPr>
    </w:p>
    <w:p>
      <w:pPr>
        <w:ind w:left="1240" w:right="20" w:firstLine="8"/>
        <w:spacing w:after="0" w:line="287" w:lineRule="auto"/>
        <w:tabs>
          <w:tab w:leader="none" w:pos="1483"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7.4 thousand time-vested RSUs to the chairman of the Board of Directors (the “Chairman”) for a total compensation value of $300, to vest 33% at the end of each year for 3 years following the grant date; and</w:t>
      </w:r>
    </w:p>
    <w:p>
      <w:pPr>
        <w:spacing w:after="0" w:line="166" w:lineRule="exact"/>
        <w:rPr>
          <w:rFonts w:ascii="Times New Roman" w:cs="Times New Roman" w:eastAsia="Times New Roman" w:hAnsi="Times New Roman"/>
          <w:sz w:val="16"/>
          <w:szCs w:val="16"/>
          <w:color w:val="auto"/>
        </w:rPr>
      </w:pPr>
    </w:p>
    <w:p>
      <w:pPr>
        <w:jc w:val="both"/>
        <w:ind w:left="1240" w:right="20" w:firstLine="8"/>
        <w:spacing w:after="0" w:line="278" w:lineRule="auto"/>
        <w:tabs>
          <w:tab w:leader="none" w:pos="1531"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4.9 thousand time-vested RSUs to each of the eight members of the Board of Directors then serving (other than to the Chairman and the CEO), for a total compensation value of $200 each, vesting over a two-year period, with 50% vesting on the first anniversary of the date of grant and 50% on the second anniversary of the date of grant.</w:t>
      </w:r>
    </w:p>
    <w:p>
      <w:pPr>
        <w:spacing w:after="0" w:line="208" w:lineRule="exact"/>
        <w:rPr>
          <w:rFonts w:ascii="Times New Roman" w:cs="Times New Roman" w:eastAsia="Times New Roman" w:hAnsi="Times New Roman"/>
          <w:sz w:val="16"/>
          <w:szCs w:val="16"/>
          <w:color w:val="auto"/>
        </w:rPr>
      </w:pPr>
    </w:p>
    <w:p>
      <w:pPr>
        <w:ind w:left="1620" w:hanging="360"/>
        <w:spacing w:after="0"/>
        <w:tabs>
          <w:tab w:leader="none" w:pos="1620" w:val="left"/>
        </w:tabs>
        <w:numPr>
          <w:ilvl w:val="2"/>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RSUs awards</w:t>
      </w:r>
    </w:p>
    <w:p>
      <w:pPr>
        <w:spacing w:after="0" w:line="267" w:lineRule="exact"/>
        <w:rPr>
          <w:sz w:val="20"/>
          <w:szCs w:val="20"/>
          <w:color w:val="auto"/>
        </w:rPr>
      </w:pPr>
    </w:p>
    <w:tbl>
      <w:tblPr>
        <w:tblLayout w:type="fixed"/>
        <w:tblInd w:w="1600" w:type="dxa"/>
        <w:tblCellMar>
          <w:top w:w="0" w:type="dxa"/>
          <w:left w:w="0" w:type="dxa"/>
          <w:bottom w:w="0" w:type="dxa"/>
          <w:right w:w="0" w:type="dxa"/>
        </w:tblCellMar>
      </w:tblPr>
      <w:tr>
        <w:trPr>
          <w:trHeight w:val="227"/>
        </w:trPr>
        <w:tc>
          <w:tcPr>
            <w:tcW w:w="4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76"/>
        </w:trPr>
        <w:tc>
          <w:tcPr>
            <w:tcW w:w="4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5"/>
                <w:szCs w:val="15"/>
                <w:color w:val="auto"/>
              </w:rPr>
            </w:pPr>
          </w:p>
        </w:tc>
      </w:tr>
      <w:tr>
        <w:trPr>
          <w:trHeight w:val="206"/>
        </w:trPr>
        <w:tc>
          <w:tcPr>
            <w:tcW w:w="4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average fair</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176"/>
        </w:trPr>
        <w:tc>
          <w:tcPr>
            <w:tcW w:w="240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Details</w:t>
            </w:r>
          </w:p>
        </w:tc>
        <w:tc>
          <w:tcPr>
            <w:tcW w:w="920" w:type="dxa"/>
            <w:vAlign w:val="bottom"/>
            <w:gridSpan w:val="2"/>
          </w:tcPr>
          <w:p>
            <w:pPr>
              <w:jc w:val="right"/>
              <w:ind w:right="320"/>
              <w:spacing w:after="0" w:line="177" w:lineRule="exact"/>
              <w:rPr>
                <w:sz w:val="20"/>
                <w:szCs w:val="20"/>
                <w:color w:val="auto"/>
              </w:rPr>
            </w:pPr>
            <w:r>
              <w:rPr>
                <w:rFonts w:ascii="Times New Roman" w:cs="Times New Roman" w:eastAsia="Times New Roman" w:hAnsi="Times New Roman"/>
                <w:sz w:val="16"/>
                <w:szCs w:val="16"/>
                <w:b w:val="1"/>
                <w:bCs w:val="1"/>
                <w:color w:val="auto"/>
              </w:rPr>
              <w:t>RSUs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20"/>
              <w:spacing w:after="0" w:line="177" w:lineRule="exact"/>
              <w:rPr>
                <w:sz w:val="20"/>
                <w:szCs w:val="20"/>
                <w:color w:val="auto"/>
              </w:rPr>
            </w:pPr>
            <w:r>
              <w:rPr>
                <w:rFonts w:ascii="Times New Roman" w:cs="Times New Roman" w:eastAsia="Times New Roman" w:hAnsi="Times New Roman"/>
                <w:sz w:val="16"/>
                <w:szCs w:val="16"/>
                <w:b w:val="1"/>
                <w:bCs w:val="1"/>
                <w:color w:val="auto"/>
              </w:rPr>
              <w:t>value</w:t>
            </w:r>
          </w:p>
        </w:tc>
        <w:tc>
          <w:tcPr>
            <w:tcW w:w="980" w:type="dxa"/>
            <w:vAlign w:val="bottom"/>
            <w:gridSpan w:val="2"/>
          </w:tcPr>
          <w:p>
            <w:pPr>
              <w:jc w:val="right"/>
              <w:ind w:right="380"/>
              <w:spacing w:after="0" w:line="177" w:lineRule="exact"/>
              <w:rPr>
                <w:sz w:val="20"/>
                <w:szCs w:val="20"/>
                <w:color w:val="auto"/>
              </w:rPr>
            </w:pPr>
            <w:r>
              <w:rPr>
                <w:rFonts w:ascii="Times New Roman" w:cs="Times New Roman" w:eastAsia="Times New Roman" w:hAnsi="Times New Roman"/>
                <w:sz w:val="16"/>
                <w:szCs w:val="16"/>
                <w:b w:val="1"/>
                <w:bCs w:val="1"/>
                <w:color w:val="auto"/>
              </w:rPr>
              <w:t>RSUs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line="177"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900" w:type="dxa"/>
            <w:vAlign w:val="bottom"/>
            <w:gridSpan w:val="2"/>
          </w:tcPr>
          <w:p>
            <w:pPr>
              <w:jc w:val="right"/>
              <w:ind w:right="300"/>
              <w:spacing w:after="0" w:line="177" w:lineRule="exact"/>
              <w:rPr>
                <w:sz w:val="20"/>
                <w:szCs w:val="20"/>
                <w:color w:val="auto"/>
              </w:rPr>
            </w:pPr>
            <w:r>
              <w:rPr>
                <w:rFonts w:ascii="Times New Roman" w:cs="Times New Roman" w:eastAsia="Times New Roman" w:hAnsi="Times New Roman"/>
                <w:sz w:val="16"/>
                <w:szCs w:val="16"/>
                <w:b w:val="1"/>
                <w:bCs w:val="1"/>
                <w:color w:val="auto"/>
              </w:rPr>
              <w:t>RSUs</w:t>
            </w:r>
          </w:p>
        </w:tc>
        <w:tc>
          <w:tcPr>
            <w:tcW w:w="40" w:type="dxa"/>
            <w:vAlign w:val="bottom"/>
          </w:tcPr>
          <w:p>
            <w:pPr>
              <w:spacing w:after="0"/>
              <w:rPr>
                <w:sz w:val="15"/>
                <w:szCs w:val="15"/>
                <w:color w:val="auto"/>
              </w:rPr>
            </w:pPr>
          </w:p>
        </w:tc>
        <w:tc>
          <w:tcPr>
            <w:tcW w:w="900" w:type="dxa"/>
            <w:vAlign w:val="bottom"/>
            <w:gridSpan w:val="3"/>
          </w:tcPr>
          <w:p>
            <w:pPr>
              <w:jc w:val="center"/>
              <w:ind w:right="80"/>
              <w:spacing w:after="0" w:line="177" w:lineRule="exact"/>
              <w:rPr>
                <w:sz w:val="20"/>
                <w:szCs w:val="20"/>
                <w:color w:val="auto"/>
              </w:rPr>
            </w:pPr>
            <w:r>
              <w:rPr>
                <w:rFonts w:ascii="Times New Roman" w:cs="Times New Roman" w:eastAsia="Times New Roman" w:hAnsi="Times New Roman"/>
                <w:sz w:val="16"/>
                <w:szCs w:val="16"/>
                <w:b w:val="1"/>
                <w:bCs w:val="1"/>
                <w:color w:val="auto"/>
              </w:rPr>
              <w:t>fair value</w:t>
            </w:r>
          </w:p>
        </w:tc>
      </w:tr>
      <w:tr>
        <w:trPr>
          <w:trHeight w:val="33"/>
        </w:trPr>
        <w:tc>
          <w:tcPr>
            <w:tcW w:w="480" w:type="dxa"/>
            <w:vAlign w:val="bottom"/>
            <w:tcBorders>
              <w:top w:val="single" w:sz="8" w:color="auto"/>
            </w:tcBorders>
          </w:tcPr>
          <w:p>
            <w:pPr>
              <w:spacing w:after="0"/>
              <w:rPr>
                <w:sz w:val="2"/>
                <w:szCs w:val="2"/>
                <w:color w:val="auto"/>
              </w:rPr>
            </w:pPr>
          </w:p>
        </w:tc>
        <w:tc>
          <w:tcPr>
            <w:tcW w:w="19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78"/>
        </w:trPr>
        <w:tc>
          <w:tcPr>
            <w:tcW w:w="240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Outstanding as of beginning of</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3"/>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2,398,135</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34.51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1,585,560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38.10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1,712,996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32.90</w:t>
            </w:r>
          </w:p>
        </w:tc>
      </w:tr>
      <w:tr>
        <w:trPr>
          <w:trHeight w:val="206"/>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781,952</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46.37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1,581,492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31.89</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797,241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37.64</w:t>
            </w:r>
          </w:p>
        </w:tc>
      </w:tr>
      <w:tr>
        <w:trPr>
          <w:trHeight w:val="206"/>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Converted</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(983,643)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35.62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(726,007)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36.52</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(870,720)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27.80</w:t>
            </w:r>
          </w:p>
        </w:tc>
      </w:tr>
      <w:tr>
        <w:trPr>
          <w:trHeight w:val="211"/>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(49,820)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36.87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(42,910)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36.96</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(53,957)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32.49</w:t>
            </w:r>
          </w:p>
        </w:tc>
      </w:tr>
      <w:tr>
        <w:trPr>
          <w:trHeight w:val="246"/>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end of year (*)</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2,146,624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38.26</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2,398,135</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34.51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38.10</w:t>
            </w:r>
          </w:p>
        </w:tc>
      </w:tr>
    </w:tbl>
    <w:p>
      <w:pPr>
        <w:spacing w:after="0" w:line="226" w:lineRule="exact"/>
        <w:rPr>
          <w:sz w:val="20"/>
          <w:szCs w:val="20"/>
          <w:color w:val="auto"/>
        </w:rPr>
      </w:pPr>
    </w:p>
    <w:p>
      <w:pPr>
        <w:ind w:left="1240" w:right="20" w:firstLine="8"/>
        <w:spacing w:after="0" w:line="287" w:lineRule="auto"/>
        <w:tabs>
          <w:tab w:leader="none" w:pos="148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(i) 717,148, 736,014 and 559,184 PSUs as of December 31, 2025, 2024 and 2023, respectively and (ii) 535,809 and 649,249 MSUs as of December 31, 2025 and 2024, respectively.</w:t>
      </w:r>
    </w:p>
    <w:p>
      <w:pPr>
        <w:spacing w:after="0" w:line="201" w:lineRule="exact"/>
        <w:rPr>
          <w:rFonts w:ascii="Times New Roman" w:cs="Times New Roman" w:eastAsia="Times New Roman" w:hAnsi="Times New Roman"/>
          <w:sz w:val="16"/>
          <w:szCs w:val="16"/>
          <w:color w:val="auto"/>
        </w:rPr>
      </w:pPr>
    </w:p>
    <w:p>
      <w:pPr>
        <w:ind w:left="1620" w:hanging="360"/>
        <w:spacing w:after="0"/>
        <w:tabs>
          <w:tab w:leader="none" w:pos="1620" w:val="left"/>
        </w:tabs>
        <w:numPr>
          <w:ilvl w:val="1"/>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Information about Employees’ Share Incentive Plans</w:t>
      </w:r>
    </w:p>
    <w:p>
      <w:pPr>
        <w:spacing w:after="0" w:line="245"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Details for the year ended December 31,</w:t>
            </w:r>
          </w:p>
        </w:tc>
        <w:tc>
          <w:tcPr>
            <w:tcW w:w="180" w:type="dxa"/>
            <w:vAlign w:val="bottom"/>
          </w:tcPr>
          <w:p>
            <w:pPr>
              <w:spacing w:after="0"/>
              <w:rPr>
                <w:sz w:val="16"/>
                <w:szCs w:val="16"/>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6"/>
                <w:szCs w:val="16"/>
                <w:color w:val="auto"/>
              </w:rPr>
            </w:pPr>
          </w:p>
        </w:tc>
      </w:tr>
      <w:tr>
        <w:trPr>
          <w:trHeight w:val="33"/>
        </w:trPr>
        <w:tc>
          <w:tcPr>
            <w:tcW w:w="2620" w:type="dxa"/>
            <w:vAlign w:val="bottom"/>
            <w:tcBorders>
              <w:top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intrinsic value of converted RSUs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26,976</w:t>
            </w:r>
          </w:p>
        </w:tc>
        <w:tc>
          <w:tcPr>
            <w:tcW w:w="80" w:type="dxa"/>
            <w:vAlign w:val="bottom"/>
            <w:shd w:val="clear" w:color="auto" w:fill="CCEEFF"/>
          </w:tcPr>
          <w:p>
            <w:pPr>
              <w:spacing w:after="0"/>
              <w:rPr>
                <w:sz w:val="17"/>
                <w:szCs w:val="17"/>
                <w:color w:val="auto"/>
              </w:rPr>
            </w:pPr>
          </w:p>
        </w:tc>
      </w:tr>
      <w:tr>
        <w:trPr>
          <w:trHeight w:val="210"/>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original fair value of converted RSUs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35,039</w:t>
            </w: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26,510</w:t>
            </w: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24,206</w:t>
            </w:r>
          </w:p>
        </w:tc>
      </w:tr>
    </w:tbl>
    <w:p>
      <w:pPr>
        <w:spacing w:after="0" w:line="2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Stock-based compensation expenses were recognized in the Statement of Operations for the years ended December 31, 2025, 2024 and 2023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tcPr>
          <w:p>
            <w:pPr>
              <w:spacing w:after="0"/>
              <w:rPr>
                <w:sz w:val="16"/>
                <w:szCs w:val="16"/>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Details</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3"/>
        </w:trPr>
        <w:tc>
          <w:tcPr>
            <w:tcW w:w="16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6"/>
        </w:trPr>
        <w:tc>
          <w:tcPr>
            <w:tcW w:w="1600" w:type="dxa"/>
            <w:vAlign w:val="bottom"/>
          </w:tcPr>
          <w:p>
            <w:pPr>
              <w:spacing w:after="0"/>
              <w:rPr>
                <w:sz w:val="17"/>
                <w:szCs w:val="17"/>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goods</w:t>
            </w:r>
          </w:p>
        </w:tc>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8,764</w:t>
            </w: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8,332</w:t>
            </w: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7,984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7,422</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5,639</w:t>
            </w: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17,651</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13,960</w:t>
            </w:r>
          </w:p>
        </w:tc>
        <w:tc>
          <w:tcPr>
            <w:tcW w:w="1460" w:type="dxa"/>
            <w:vAlign w:val="bottom"/>
          </w:tcPr>
          <w:p>
            <w:pPr>
              <w:spacing w:after="0"/>
              <w:rPr>
                <w:sz w:val="17"/>
                <w:szCs w:val="17"/>
                <w:color w:val="auto"/>
              </w:rPr>
            </w:pPr>
          </w:p>
        </w:tc>
      </w:tr>
      <w:tr>
        <w:trPr>
          <w:trHeight w:val="24"/>
        </w:trPr>
        <w:tc>
          <w:tcPr>
            <w:tcW w:w="1600" w:type="dxa"/>
            <w:vAlign w:val="bottom"/>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tcPr>
          <w:p>
            <w:pPr>
              <w:spacing w:after="0"/>
              <w:rPr>
                <w:sz w:val="2"/>
                <w:szCs w:val="2"/>
                <w:color w:val="auto"/>
              </w:rPr>
            </w:pPr>
          </w:p>
        </w:tc>
      </w:tr>
      <w:tr>
        <w:trPr>
          <w:trHeight w:val="206"/>
        </w:trPr>
        <w:tc>
          <w:tcPr>
            <w:tcW w:w="160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1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33,837</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27,931</w:t>
            </w:r>
          </w:p>
        </w:tc>
        <w:tc>
          <w:tcPr>
            <w:tcW w:w="1460" w:type="dxa"/>
            <w:vAlign w:val="bottom"/>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595"/>
        </w:trPr>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80" w:type="dxa"/>
            <w:vAlign w:val="bottom"/>
            <w:gridSpan w:val="2"/>
          </w:tcPr>
          <w:p>
            <w:pPr>
              <w:jc w:val="right"/>
              <w:ind w:right="1219"/>
              <w:spacing w:after="0"/>
              <w:rPr>
                <w:sz w:val="20"/>
                <w:szCs w:val="20"/>
                <w:color w:val="auto"/>
              </w:rPr>
            </w:pPr>
            <w:r>
              <w:rPr>
                <w:rFonts w:ascii="Times New Roman" w:cs="Times New Roman" w:eastAsia="Times New Roman" w:hAnsi="Times New Roman"/>
                <w:sz w:val="16"/>
                <w:szCs w:val="16"/>
                <w:color w:val="auto"/>
              </w:rPr>
              <w:t>F - 36</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8"/>
        </w:trPr>
        <w:tc>
          <w:tcPr>
            <w:tcW w:w="16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78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64" w:right="319" w:bottom="1440" w:gutter="0" w:footer="0" w:header="0"/>
        </w:sectPr>
      </w:pPr>
    </w:p>
    <w:bookmarkStart w:id="41" w:name="page42"/>
    <w:bookmarkEnd w:id="41"/>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13:</w:t>
        <w:tab/>
        <w:t>SHAREHOLDERS’ EQUITY (continued)</w:t>
      </w:r>
    </w:p>
    <w:p>
      <w:pPr>
        <w:spacing w:after="0" w:line="204" w:lineRule="exact"/>
        <w:rPr>
          <w:sz w:val="20"/>
          <w:szCs w:val="20"/>
          <w:color w:val="auto"/>
        </w:rPr>
      </w:pPr>
    </w:p>
    <w:p>
      <w:pPr>
        <w:ind w:left="1240" w:hanging="345"/>
        <w:spacing w:after="0"/>
        <w:tabs>
          <w:tab w:leader="none" w:pos="1240"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Treasury Stock</w:t>
      </w:r>
    </w:p>
    <w:p>
      <w:pPr>
        <w:spacing w:after="0" w:line="206" w:lineRule="exact"/>
        <w:rPr>
          <w:rFonts w:ascii="Times New Roman" w:cs="Times New Roman" w:eastAsia="Times New Roman" w:hAnsi="Times New Roman"/>
          <w:sz w:val="16"/>
          <w:szCs w:val="16"/>
          <w:b w:val="1"/>
          <w:bCs w:val="1"/>
          <w:color w:val="auto"/>
        </w:rPr>
      </w:pPr>
    </w:p>
    <w:p>
      <w:pPr>
        <w:ind w:left="1240" w:right="20"/>
        <w:spacing w:after="0" w:line="28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1999 and 1998, the Company funded the purchase by a trustee of an aggregate of approximately 87 thousand ordinary Tower shares. These shares are classified as treasury shares.</w:t>
      </w:r>
    </w:p>
    <w:p>
      <w:pPr>
        <w:spacing w:after="0" w:line="1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14:</w:t>
        <w:tab/>
        <w:t>INFORMATION ON GEOGRAPHIC AREAS AND MAJOR CUSTOMERS</w:t>
      </w:r>
    </w:p>
    <w:p>
      <w:pPr>
        <w:spacing w:after="0" w:line="253" w:lineRule="exact"/>
        <w:rPr>
          <w:sz w:val="20"/>
          <w:szCs w:val="20"/>
          <w:color w:val="auto"/>
        </w:rPr>
      </w:pPr>
    </w:p>
    <w:p>
      <w:pPr>
        <w:ind w:left="1240" w:right="5700" w:hanging="345"/>
        <w:spacing w:after="0" w:line="579" w:lineRule="auto"/>
        <w:tabs>
          <w:tab w:leader="none" w:pos="1240"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Revenue by Geographic Area - as Percentage of Total Revenue </w:t>
      </w:r>
      <w:r>
        <w:rPr>
          <w:rFonts w:ascii="Times New Roman" w:cs="Times New Roman" w:eastAsia="Times New Roman" w:hAnsi="Times New Roman"/>
          <w:sz w:val="16"/>
          <w:szCs w:val="16"/>
          <w:color w:val="auto"/>
        </w:rPr>
        <w:t>Years ended December 31, 2025, 2024 and 2023:</w:t>
      </w:r>
    </w:p>
    <w:tbl>
      <w:tblPr>
        <w:tblLayout w:type="fixed"/>
        <w:tblInd w:w="1600" w:type="dxa"/>
        <w:tblCellMar>
          <w:top w:w="0" w:type="dxa"/>
          <w:left w:w="0" w:type="dxa"/>
          <w:bottom w:w="0" w:type="dxa"/>
          <w:right w:w="0" w:type="dxa"/>
        </w:tblCellMar>
      </w:tblPr>
      <w:tr>
        <w:trPr>
          <w:trHeight w:val="227"/>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8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9"/>
                <w:szCs w:val="19"/>
                <w:color w:val="auto"/>
              </w:rPr>
            </w:pPr>
          </w:p>
        </w:tc>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9"/>
                <w:szCs w:val="19"/>
                <w:color w:val="auto"/>
              </w:rPr>
            </w:pPr>
          </w:p>
        </w:tc>
      </w:tr>
      <w:tr>
        <w:trPr>
          <w:trHeight w:val="20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USA</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46%</w:t>
            </w:r>
          </w:p>
        </w:tc>
      </w:tr>
      <w:tr>
        <w:trPr>
          <w:trHeight w:val="206"/>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Japan</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7"/>
                <w:szCs w:val="17"/>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17</w:t>
            </w:r>
          </w:p>
        </w:tc>
        <w:tc>
          <w:tcPr>
            <w:tcW w:w="160" w:type="dxa"/>
            <w:vAlign w:val="bottom"/>
          </w:tcPr>
          <w:p>
            <w:pPr>
              <w:spacing w:after="0"/>
              <w:rPr>
                <w:sz w:val="17"/>
                <w:szCs w:val="17"/>
                <w:color w:val="auto"/>
              </w:rPr>
            </w:pPr>
          </w:p>
        </w:tc>
      </w:tr>
      <w:tr>
        <w:trPr>
          <w:trHeight w:val="20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Asia (other than Japan)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27</w:t>
            </w:r>
          </w:p>
        </w:tc>
        <w:tc>
          <w:tcPr>
            <w:tcW w:w="160" w:type="dxa"/>
            <w:vAlign w:val="bottom"/>
            <w:shd w:val="clear" w:color="auto" w:fill="CCEEFF"/>
          </w:tcPr>
          <w:p>
            <w:pPr>
              <w:spacing w:after="0"/>
              <w:rPr>
                <w:sz w:val="17"/>
                <w:szCs w:val="17"/>
                <w:color w:val="auto"/>
              </w:rPr>
            </w:pPr>
          </w:p>
        </w:tc>
      </w:tr>
      <w:tr>
        <w:trPr>
          <w:trHeight w:val="206"/>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w:t>
            </w: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10</w:t>
            </w:r>
          </w:p>
        </w:tc>
        <w:tc>
          <w:tcPr>
            <w:tcW w:w="160" w:type="dxa"/>
            <w:vAlign w:val="bottom"/>
          </w:tcPr>
          <w:p>
            <w:pPr>
              <w:spacing w:after="0"/>
              <w:rPr>
                <w:sz w:val="17"/>
                <w:szCs w:val="17"/>
                <w:color w:val="auto"/>
              </w:rPr>
            </w:pPr>
          </w:p>
        </w:tc>
      </w:tr>
      <w:tr>
        <w:trPr>
          <w:trHeight w:val="24"/>
        </w:trPr>
        <w:tc>
          <w:tcPr>
            <w:tcW w:w="5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2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6" w:lineRule="exact"/>
        <w:rPr>
          <w:sz w:val="20"/>
          <w:szCs w:val="20"/>
          <w:color w:val="auto"/>
        </w:rPr>
      </w:pPr>
    </w:p>
    <w:p>
      <w:pPr>
        <w:ind w:left="1240" w:right="20"/>
        <w:spacing w:after="0" w:line="287" w:lineRule="auto"/>
        <w:rPr>
          <w:sz w:val="20"/>
          <w:szCs w:val="20"/>
          <w:color w:val="auto"/>
        </w:rPr>
      </w:pPr>
      <w:r>
        <w:rPr>
          <w:rFonts w:ascii="Times New Roman" w:cs="Times New Roman" w:eastAsia="Times New Roman" w:hAnsi="Times New Roman"/>
          <w:sz w:val="16"/>
          <w:szCs w:val="16"/>
          <w:color w:val="auto"/>
        </w:rPr>
        <w:t>The basis of attributing revenue from external customers to a certain geographic area is based on the headquarters’ location of the customer issuing the purchase order.</w:t>
      </w:r>
    </w:p>
    <w:p>
      <w:pPr>
        <w:spacing w:after="0" w:line="201" w:lineRule="exact"/>
        <w:rPr>
          <w:sz w:val="20"/>
          <w:szCs w:val="20"/>
          <w:color w:val="auto"/>
        </w:rPr>
      </w:pPr>
    </w:p>
    <w:p>
      <w:pPr>
        <w:ind w:left="1240" w:hanging="345"/>
        <w:spacing w:after="0"/>
        <w:tabs>
          <w:tab w:leader="none" w:pos="1240" w:val="left"/>
        </w:tabs>
        <w:numPr>
          <w:ilvl w:val="0"/>
          <w:numId w:val="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Long-Lived Assets by Geographic Area</w:t>
      </w:r>
    </w:p>
    <w:p>
      <w:pPr>
        <w:spacing w:after="0" w:line="255" w:lineRule="exact"/>
        <w:rPr>
          <w:rFonts w:ascii="Times New Roman" w:cs="Times New Roman" w:eastAsia="Times New Roman" w:hAnsi="Times New Roman"/>
          <w:sz w:val="16"/>
          <w:szCs w:val="16"/>
          <w:b w:val="1"/>
          <w:bCs w:val="1"/>
          <w:color w:val="auto"/>
        </w:rPr>
      </w:pPr>
    </w:p>
    <w:p>
      <w:pPr>
        <w:ind w:left="1240" w:right="20"/>
        <w:spacing w:after="0" w:line="28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Substantially all of Tower’s long-lived assets are located in Israel, substantially all of TSNB’s and TSSA’s long-lived assets are located in the United States, substantially all of TPSCo’s long-lived assets are located in Japan and substantially all of TSIT’s long-lived assets are located in Italy.</w:t>
      </w:r>
    </w:p>
    <w:p>
      <w:pPr>
        <w:spacing w:after="0" w:line="166"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and 2024, property and equipment, net consisted of the following: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0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3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6"/>
        </w:trPr>
        <w:tc>
          <w:tcPr>
            <w:tcW w:w="1600" w:type="dxa"/>
            <w:vAlign w:val="bottom"/>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Israel</w:t>
            </w:r>
          </w:p>
        </w:tc>
        <w:tc>
          <w:tcPr>
            <w:tcW w:w="39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348,558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279,023</w:t>
            </w: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399,227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322,947</w:t>
            </w: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3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462,794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452,557</w:t>
            </w:r>
          </w:p>
        </w:tc>
        <w:tc>
          <w:tcPr>
            <w:tcW w:w="1460" w:type="dxa"/>
            <w:vAlign w:val="bottom"/>
          </w:tcPr>
          <w:p>
            <w:pPr>
              <w:spacing w:after="0"/>
              <w:rPr>
                <w:sz w:val="17"/>
                <w:szCs w:val="17"/>
                <w:color w:val="auto"/>
              </w:rPr>
            </w:pPr>
          </w:p>
        </w:tc>
      </w:tr>
      <w:tr>
        <w:trPr>
          <w:trHeight w:val="211"/>
        </w:trPr>
        <w:tc>
          <w:tcPr>
            <w:tcW w:w="16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Japan</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232,095</w:t>
            </w:r>
          </w:p>
        </w:tc>
        <w:tc>
          <w:tcPr>
            <w:tcW w:w="1460" w:type="dxa"/>
            <w:vAlign w:val="bottom"/>
          </w:tcPr>
          <w:p>
            <w:pPr>
              <w:spacing w:after="0"/>
              <w:rPr>
                <w:sz w:val="18"/>
                <w:szCs w:val="18"/>
                <w:color w:val="auto"/>
              </w:rPr>
            </w:pPr>
          </w:p>
        </w:tc>
      </w:tr>
      <w:tr>
        <w:trPr>
          <w:trHeight w:val="246"/>
        </w:trPr>
        <w:tc>
          <w:tcPr>
            <w:tcW w:w="1600" w:type="dxa"/>
            <w:vAlign w:val="bottom"/>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1,463,056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1,286,622</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Pr>
          <w:p>
            <w:pPr>
              <w:spacing w:after="0"/>
              <w:rPr>
                <w:sz w:val="21"/>
                <w:szCs w:val="21"/>
                <w:color w:val="auto"/>
              </w:rPr>
            </w:pPr>
          </w:p>
        </w:tc>
      </w:tr>
      <w:tr>
        <w:trPr>
          <w:trHeight w:val="583"/>
        </w:trPr>
        <w:tc>
          <w:tcPr>
            <w:tcW w:w="1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120" w:type="dxa"/>
            <w:vAlign w:val="bottom"/>
            <w:gridSpan w:val="2"/>
          </w:tcPr>
          <w:p>
            <w:pPr>
              <w:jc w:val="right"/>
              <w:ind w:right="2159"/>
              <w:spacing w:after="0"/>
              <w:rPr>
                <w:sz w:val="20"/>
                <w:szCs w:val="20"/>
                <w:color w:val="auto"/>
              </w:rPr>
            </w:pPr>
            <w:r>
              <w:rPr>
                <w:rFonts w:ascii="Times New Roman" w:cs="Times New Roman" w:eastAsia="Times New Roman" w:hAnsi="Times New Roman"/>
                <w:sz w:val="16"/>
                <w:szCs w:val="16"/>
                <w:color w:val="auto"/>
              </w:rPr>
              <w:t>F - 37</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8"/>
        </w:trPr>
        <w:tc>
          <w:tcPr>
            <w:tcW w:w="16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3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64" w:right="319" w:bottom="1440" w:gutter="0" w:footer="0" w:header="0"/>
        </w:sectPr>
      </w:pPr>
    </w:p>
    <w:bookmarkStart w:id="42" w:name="page43"/>
    <w:bookmarkEnd w:id="42"/>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14:</w:t>
        <w:tab/>
        <w:t>INFORMATION ON GEOGRAPHIC AREAS AND MAJOR CUSTOMERS (continued)</w:t>
      </w:r>
    </w:p>
    <w:p>
      <w:pPr>
        <w:spacing w:after="0" w:line="253" w:lineRule="exact"/>
        <w:rPr>
          <w:sz w:val="20"/>
          <w:szCs w:val="20"/>
          <w:color w:val="auto"/>
        </w:rPr>
      </w:pPr>
    </w:p>
    <w:p>
      <w:pPr>
        <w:ind w:left="1240" w:hanging="345"/>
        <w:spacing w:after="0"/>
        <w:tabs>
          <w:tab w:leader="none" w:pos="124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Major Customers - as Percentage of Net Accounts Receivable Balance</w:t>
      </w:r>
    </w:p>
    <w:p>
      <w:pPr>
        <w:spacing w:after="0" w:line="255"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and 2024, one and two customers, respectively exceeded 10% of the net accounts receivable balance.</w:t>
      </w:r>
    </w:p>
    <w:p>
      <w:pPr>
        <w:spacing w:after="0" w:line="263" w:lineRule="exact"/>
        <w:rPr>
          <w:rFonts w:ascii="Times New Roman" w:cs="Times New Roman" w:eastAsia="Times New Roman" w:hAnsi="Times New Roman"/>
          <w:sz w:val="16"/>
          <w:szCs w:val="16"/>
          <w:b w:val="1"/>
          <w:bCs w:val="1"/>
          <w:color w:val="auto"/>
        </w:rPr>
      </w:pPr>
    </w:p>
    <w:p>
      <w:pPr>
        <w:ind w:left="1240" w:right="6500" w:hanging="345"/>
        <w:spacing w:after="0" w:line="579" w:lineRule="auto"/>
        <w:tabs>
          <w:tab w:leader="none" w:pos="124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Major Customers - as Percentage of Total Revenue </w:t>
      </w:r>
      <w:r>
        <w:rPr>
          <w:rFonts w:ascii="Times New Roman" w:cs="Times New Roman" w:eastAsia="Times New Roman" w:hAnsi="Times New Roman"/>
          <w:sz w:val="16"/>
          <w:szCs w:val="16"/>
          <w:color w:val="auto"/>
        </w:rPr>
        <w:t>Years ended December 31, 2025, 2024 and 2023:</w:t>
      </w:r>
    </w:p>
    <w:tbl>
      <w:tblPr>
        <w:tblLayout w:type="fixed"/>
        <w:tblInd w:w="1600" w:type="dxa"/>
        <w:tblCellMar>
          <w:top w:w="0" w:type="dxa"/>
          <w:left w:w="0" w:type="dxa"/>
          <w:bottom w:w="0" w:type="dxa"/>
          <w:right w:w="0" w:type="dxa"/>
        </w:tblCellMar>
      </w:tblPr>
      <w:tr>
        <w:trPr>
          <w:trHeight w:val="227"/>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8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9"/>
                <w:szCs w:val="19"/>
                <w:color w:val="auto"/>
              </w:rPr>
            </w:pPr>
          </w:p>
        </w:tc>
      </w:tr>
      <w:tr>
        <w:trPr>
          <w:trHeight w:val="20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A</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11%</w:t>
            </w: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13%</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14%</w:t>
            </w:r>
          </w:p>
        </w:tc>
      </w:tr>
      <w:tr>
        <w:trPr>
          <w:trHeight w:val="206"/>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Customer B</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11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r>
      <w:tr>
        <w:trPr>
          <w:trHeight w:val="20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customers *</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32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16</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21</w:t>
            </w:r>
          </w:p>
        </w:tc>
        <w:tc>
          <w:tcPr>
            <w:tcW w:w="160" w:type="dxa"/>
            <w:vAlign w:val="bottom"/>
            <w:shd w:val="clear" w:color="auto" w:fill="CCEEFF"/>
          </w:tcPr>
          <w:p>
            <w:pPr>
              <w:spacing w:after="0"/>
              <w:rPr>
                <w:sz w:val="17"/>
                <w:szCs w:val="17"/>
                <w:color w:val="auto"/>
              </w:rPr>
            </w:pPr>
          </w:p>
        </w:tc>
      </w:tr>
    </w:tbl>
    <w:p>
      <w:pPr>
        <w:spacing w:after="0" w:line="226" w:lineRule="exact"/>
        <w:rPr>
          <w:sz w:val="20"/>
          <w:szCs w:val="20"/>
          <w:color w:val="auto"/>
        </w:rPr>
      </w:pPr>
    </w:p>
    <w:p>
      <w:pPr>
        <w:ind w:left="1240" w:hanging="345"/>
        <w:spacing w:after="0" w:line="303" w:lineRule="auto"/>
        <w:tabs>
          <w:tab w:leader="none" w:pos="1240" w:val="left"/>
        </w:tabs>
        <w:numPr>
          <w:ilvl w:val="0"/>
          <w:numId w:val="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Represents aggregated revenue to six customers that accounted for between 4% and 7% of total revenue during 2025, to three customers that accounted for between 3% and 9% of total revenue during 2024, and to three customers that accounted for between 3% and 9% of total revenue during 2023.</w:t>
      </w:r>
    </w:p>
    <w:p>
      <w:pPr>
        <w:spacing w:after="0" w:line="177" w:lineRule="exact"/>
        <w:rPr>
          <w:sz w:val="20"/>
          <w:szCs w:val="20"/>
          <w:color w:val="auto"/>
        </w:rPr>
      </w:pPr>
    </w:p>
    <w:p>
      <w:pPr>
        <w:ind w:left="1240" w:hanging="345"/>
        <w:spacing w:after="0"/>
        <w:tabs>
          <w:tab w:leader="none" w:pos="124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Reportable Segment</w:t>
      </w:r>
    </w:p>
    <w:p>
      <w:pPr>
        <w:spacing w:after="0" w:line="255" w:lineRule="exact"/>
        <w:rPr>
          <w:rFonts w:ascii="Times New Roman" w:cs="Times New Roman" w:eastAsia="Times New Roman" w:hAnsi="Times New Roman"/>
          <w:sz w:val="16"/>
          <w:szCs w:val="16"/>
          <w:b w:val="1"/>
          <w:bCs w:val="1"/>
          <w:color w:val="auto"/>
        </w:rPr>
      </w:pPr>
    </w:p>
    <w:p>
      <w:pPr>
        <w:jc w:val="both"/>
        <w:ind w:left="1240" w:right="20" w:firstLine="8"/>
        <w:spacing w:after="0" w:line="286" w:lineRule="auto"/>
        <w:tabs>
          <w:tab w:leader="none" w:pos="151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believes it is driving its revenue from a single reportable segment, which is its analog foundry operations that is providing semiconductor solutions offering a broad range of process technologies. To provide the capacity and expanded capabilities for its customers, as of December 31, 2025, the Company owns multiple facilities and is sharing capacity and/ or ownership in other facilities as described in Note 1.</w:t>
      </w:r>
    </w:p>
    <w:p>
      <w:pPr>
        <w:spacing w:after="0" w:line="155" w:lineRule="exact"/>
        <w:rPr>
          <w:rFonts w:ascii="Times New Roman" w:cs="Times New Roman" w:eastAsia="Times New Roman" w:hAnsi="Times New Roman"/>
          <w:sz w:val="16"/>
          <w:szCs w:val="16"/>
          <w:color w:val="auto"/>
        </w:rPr>
      </w:pPr>
    </w:p>
    <w:p>
      <w:pPr>
        <w:jc w:val="both"/>
        <w:ind w:left="1240" w:right="20" w:firstLine="8"/>
        <w:spacing w:after="0" w:line="278" w:lineRule="auto"/>
        <w:tabs>
          <w:tab w:leader="none" w:pos="1493"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Company has a single reportable segment, the accounting policies of the segment are the same as those described in the summary of significant accounting policies. The chief operating decision maker (“CODM”) assesses performance and decides how to allocate resources based on the consolidated results of the Company.</w:t>
      </w:r>
    </w:p>
    <w:p>
      <w:pPr>
        <w:spacing w:after="0" w:line="174" w:lineRule="exact"/>
        <w:rPr>
          <w:rFonts w:ascii="Times New Roman" w:cs="Times New Roman" w:eastAsia="Times New Roman" w:hAnsi="Times New Roman"/>
          <w:sz w:val="16"/>
          <w:szCs w:val="16"/>
          <w:color w:val="auto"/>
        </w:rPr>
      </w:pPr>
    </w:p>
    <w:p>
      <w:pPr>
        <w:ind w:left="1240" w:right="20" w:firstLine="8"/>
        <w:spacing w:after="0" w:line="287" w:lineRule="auto"/>
        <w:tabs>
          <w:tab w:leader="none" w:pos="1489"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Company has a single reportable segment, its CODM does not allocate resources among segments but is responsible for allocating the entity’s resources. The CODM uses the consolidated measures of profit or loss mostly when assessing performance rather than allocating resources.</w:t>
      </w:r>
    </w:p>
    <w:p>
      <w:pPr>
        <w:spacing w:after="0" w:line="166" w:lineRule="exact"/>
        <w:rPr>
          <w:rFonts w:ascii="Times New Roman" w:cs="Times New Roman" w:eastAsia="Times New Roman" w:hAnsi="Times New Roman"/>
          <w:sz w:val="16"/>
          <w:szCs w:val="16"/>
          <w:color w:val="auto"/>
        </w:rPr>
      </w:pPr>
    </w:p>
    <w:p>
      <w:pPr>
        <w:ind w:left="1480" w:hanging="232"/>
        <w:spacing w:after="0"/>
        <w:tabs>
          <w:tab w:leader="none" w:pos="148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Company has a single reportable segment, it manages its business activities on a consolidated basis.</w:t>
      </w:r>
    </w:p>
    <w:p>
      <w:pPr>
        <w:spacing w:after="0" w:line="216" w:lineRule="exact"/>
        <w:rPr>
          <w:rFonts w:ascii="Times New Roman" w:cs="Times New Roman" w:eastAsia="Times New Roman" w:hAnsi="Times New Roman"/>
          <w:sz w:val="16"/>
          <w:szCs w:val="16"/>
          <w:color w:val="auto"/>
        </w:rPr>
      </w:pPr>
    </w:p>
    <w:p>
      <w:pPr>
        <w:ind w:left="1480" w:hanging="232"/>
        <w:spacing w:after="0"/>
        <w:tabs>
          <w:tab w:leader="none" w:pos="148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CODM is the chief executive officer of the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15:</w:t>
        <w:tab/>
        <w:t>FINANCING INCOME, NET</w:t>
      </w:r>
    </w:p>
    <w:p>
      <w:pPr>
        <w:spacing w:after="0" w:line="2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Financing income, net consists of the following for the years ended December 31, 2025, 2024 and 2023:</w:t>
      </w:r>
    </w:p>
    <w:p>
      <w:pPr>
        <w:spacing w:after="0" w:line="215" w:lineRule="exact"/>
        <w:rPr>
          <w:sz w:val="20"/>
          <w:szCs w:val="20"/>
          <w:color w:val="auto"/>
        </w:rPr>
      </w:pPr>
    </w:p>
    <w:tbl>
      <w:tblPr>
        <w:tblLayout w:type="fixed"/>
        <w:tblInd w:w="1600" w:type="dxa"/>
        <w:tblCellMar>
          <w:top w:w="0" w:type="dxa"/>
          <w:left w:w="0" w:type="dxa"/>
          <w:bottom w:w="0" w:type="dxa"/>
          <w:right w:w="0" w:type="dxa"/>
        </w:tblCellMar>
      </w:tblP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r>
      <w:tr>
        <w:trPr>
          <w:trHeight w:val="20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55,488</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39,987</w:t>
            </w:r>
          </w:p>
        </w:tc>
        <w:tc>
          <w:tcPr>
            <w:tcW w:w="80" w:type="dxa"/>
            <w:vAlign w:val="bottom"/>
            <w:shd w:val="clear" w:color="auto" w:fill="CCEEFF"/>
          </w:tcPr>
          <w:p>
            <w:pPr>
              <w:spacing w:after="0"/>
              <w:rPr>
                <w:sz w:val="17"/>
                <w:szCs w:val="17"/>
                <w:color w:val="auto"/>
              </w:rPr>
            </w:pPr>
          </w:p>
        </w:tc>
      </w:tr>
      <w:tr>
        <w:trPr>
          <w:trHeight w:val="20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(3,658)</w:t>
            </w: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(4,029)</w:t>
            </w: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(4,444)</w:t>
            </w:r>
          </w:p>
        </w:tc>
      </w:tr>
      <w:tr>
        <w:trPr>
          <w:trHeight w:val="20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rate results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3,403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1,013</w:t>
            </w:r>
          </w:p>
        </w:tc>
      </w:tr>
      <w:tr>
        <w:trPr>
          <w:trHeight w:val="20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Hedging transactions related gain (loss), net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(7,800)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(5,153)</w:t>
            </w:r>
          </w:p>
        </w:tc>
      </w:tr>
      <w:tr>
        <w:trPr>
          <w:trHeight w:val="20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Marketable securities fair value adjustments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5,605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2,944</w:t>
            </w:r>
          </w:p>
        </w:tc>
      </w:tr>
      <w:tr>
        <w:trPr>
          <w:trHeight w:val="211"/>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Bank fees and others</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(1,833)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(3,816)</w:t>
            </w:r>
          </w:p>
        </w:tc>
      </w:tr>
      <w:tr>
        <w:trPr>
          <w:trHeight w:val="246"/>
        </w:trPr>
        <w:tc>
          <w:tcPr>
            <w:tcW w:w="5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56,738</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2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16:</w:t>
        <w:tab/>
        <w:t>RELATED PARTIES BALANCES AND TRANSACTIONS</w:t>
      </w:r>
    </w:p>
    <w:p>
      <w:pPr>
        <w:spacing w:after="0" w:line="217" w:lineRule="exact"/>
        <w:rPr>
          <w:sz w:val="20"/>
          <w:szCs w:val="20"/>
          <w:color w:val="auto"/>
        </w:rPr>
      </w:pPr>
    </w:p>
    <w:p>
      <w:pPr>
        <w:ind w:left="1240" w:hanging="345"/>
        <w:spacing w:after="0"/>
        <w:tabs>
          <w:tab w:leader="none" w:pos="124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w:t>
      </w:r>
    </w:p>
    <w:p>
      <w:pPr>
        <w:spacing w:after="0" w:line="255"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nature of the relationship involved as of December 31, 2025 and 2024:</w:t>
      </w:r>
    </w:p>
    <w:p>
      <w:pPr>
        <w:spacing w:after="0" w:line="265" w:lineRule="exact"/>
        <w:rPr>
          <w:sz w:val="20"/>
          <w:szCs w:val="20"/>
          <w:color w:val="auto"/>
        </w:rPr>
      </w:pPr>
    </w:p>
    <w:tbl>
      <w:tblPr>
        <w:tblLayout w:type="fixed"/>
        <w:tblInd w:w="1600" w:type="dxa"/>
        <w:tblCellMar>
          <w:top w:w="0" w:type="dxa"/>
          <w:left w:w="0" w:type="dxa"/>
          <w:bottom w:w="0" w:type="dxa"/>
          <w:right w:w="0" w:type="dxa"/>
        </w:tblCellMar>
      </w:tblPr>
      <w:tr>
        <w:trPr>
          <w:trHeight w:val="227"/>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28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Description</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r>
      <w:tr>
        <w:trPr>
          <w:trHeight w:val="178"/>
        </w:trPr>
        <w:tc>
          <w:tcPr>
            <w:tcW w:w="2000" w:type="dxa"/>
            <w:vAlign w:val="bottom"/>
            <w:shd w:val="clear" w:color="auto" w:fill="CCEEFF"/>
          </w:tcPr>
          <w:p>
            <w:pPr>
              <w:spacing w:after="0"/>
              <w:rPr>
                <w:sz w:val="15"/>
                <w:szCs w:val="15"/>
                <w:color w:val="auto"/>
              </w:rPr>
            </w:pPr>
          </w:p>
        </w:tc>
        <w:tc>
          <w:tcPr>
            <w:tcW w:w="2880" w:type="dxa"/>
            <w:vAlign w:val="bottom"/>
            <w:shd w:val="clear" w:color="auto" w:fill="CCEEFF"/>
          </w:tcPr>
          <w:p>
            <w:pPr>
              <w:ind w:left="540"/>
              <w:spacing w:after="0" w:line="178" w:lineRule="exact"/>
              <w:rPr>
                <w:sz w:val="20"/>
                <w:szCs w:val="20"/>
                <w:color w:val="auto"/>
              </w:rPr>
            </w:pPr>
            <w:r>
              <w:rPr>
                <w:rFonts w:ascii="Times New Roman" w:cs="Times New Roman" w:eastAsia="Times New Roman" w:hAnsi="Times New Roman"/>
                <w:sz w:val="16"/>
                <w:szCs w:val="16"/>
                <w:color w:val="auto"/>
              </w:rPr>
              <w:t>Equity investment in a limited</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7"/>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investment</w:t>
            </w:r>
          </w:p>
        </w:tc>
        <w:tc>
          <w:tcPr>
            <w:tcW w:w="2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partnership</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31"/>
        </w:trPr>
        <w:tc>
          <w:tcPr>
            <w:tcW w:w="200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224" w:lineRule="exact"/>
        <w:rPr>
          <w:sz w:val="20"/>
          <w:szCs w:val="20"/>
          <w:color w:val="auto"/>
        </w:rPr>
      </w:pPr>
    </w:p>
    <w:p>
      <w:pPr>
        <w:ind w:left="1240" w:hanging="345"/>
        <w:spacing w:after="0"/>
        <w:tabs>
          <w:tab w:leader="none" w:pos="1240"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Transactions</w:t>
      </w:r>
    </w:p>
    <w:p>
      <w:pPr>
        <w:spacing w:after="0" w:line="255"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Description of the transactions for the years ended December 31, 2025, 2024 and 2023:</w:t>
      </w:r>
    </w:p>
    <w:p>
      <w:pPr>
        <w:spacing w:after="0" w:line="265" w:lineRule="exact"/>
        <w:rPr>
          <w:sz w:val="20"/>
          <w:szCs w:val="20"/>
          <w:color w:val="auto"/>
        </w:rPr>
      </w:pPr>
    </w:p>
    <w:tbl>
      <w:tblPr>
        <w:tblLayout w:type="fixed"/>
        <w:tblInd w:w="1600" w:type="dxa"/>
        <w:tblCellMar>
          <w:top w:w="0" w:type="dxa"/>
          <w:left w:w="0" w:type="dxa"/>
          <w:bottom w:w="0" w:type="dxa"/>
          <w:right w:w="0" w:type="dxa"/>
        </w:tblCellMar>
      </w:tblPr>
      <w:tr>
        <w:trPr>
          <w:trHeight w:val="227"/>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Description</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2023</w:t>
            </w:r>
          </w:p>
        </w:tc>
      </w:tr>
      <w:tr>
        <w:trPr>
          <w:trHeight w:val="178"/>
        </w:trPr>
        <w:tc>
          <w:tcPr>
            <w:tcW w:w="2420" w:type="dxa"/>
            <w:vAlign w:val="bottom"/>
            <w:shd w:val="clear" w:color="auto" w:fill="CCEEFF"/>
          </w:tcPr>
          <w:p>
            <w:pPr>
              <w:spacing w:after="0"/>
              <w:rPr>
                <w:sz w:val="15"/>
                <w:szCs w:val="15"/>
                <w:color w:val="auto"/>
              </w:rPr>
            </w:pPr>
          </w:p>
        </w:tc>
        <w:tc>
          <w:tcPr>
            <w:tcW w:w="2680" w:type="dxa"/>
            <w:vAlign w:val="bottom"/>
            <w:shd w:val="clear" w:color="auto" w:fill="CCEEFF"/>
          </w:tcPr>
          <w:p>
            <w:pPr>
              <w:ind w:left="120"/>
              <w:spacing w:after="0" w:line="178" w:lineRule="exact"/>
              <w:rPr>
                <w:sz w:val="20"/>
                <w:szCs w:val="20"/>
                <w:color w:val="auto"/>
              </w:rPr>
            </w:pPr>
            <w:r>
              <w:rPr>
                <w:rFonts w:ascii="Times New Roman" w:cs="Times New Roman" w:eastAsia="Times New Roman" w:hAnsi="Times New Roman"/>
                <w:sz w:val="16"/>
                <w:szCs w:val="16"/>
                <w:color w:val="auto"/>
              </w:rPr>
              <w:t>Directors’ fees and reimbursement to</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r>
      <w:tr>
        <w:trPr>
          <w:trHeight w:val="217"/>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directors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804</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31"/>
        </w:trPr>
        <w:tc>
          <w:tcPr>
            <w:tcW w:w="242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r>
    </w:tbl>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17:</w:t>
      </w:r>
      <w:r>
        <w:rPr>
          <w:sz w:val="20"/>
          <w:szCs w:val="20"/>
          <w:color w:val="auto"/>
        </w:rPr>
        <w:tab/>
      </w:r>
      <w:r>
        <w:rPr>
          <w:rFonts w:ascii="Times New Roman" w:cs="Times New Roman" w:eastAsia="Times New Roman" w:hAnsi="Times New Roman"/>
          <w:sz w:val="15"/>
          <w:szCs w:val="15"/>
          <w:b w:val="1"/>
          <w:bCs w:val="1"/>
          <w:color w:val="auto"/>
        </w:rPr>
        <w:t>INCOME TAX</w:t>
      </w:r>
    </w:p>
    <w:p>
      <w:pPr>
        <w:spacing w:after="0" w:line="204" w:lineRule="exact"/>
        <w:rPr>
          <w:sz w:val="20"/>
          <w:szCs w:val="20"/>
          <w:color w:val="auto"/>
        </w:rPr>
      </w:pPr>
    </w:p>
    <w:p>
      <w:pPr>
        <w:ind w:left="1240" w:hanging="345"/>
        <w:spacing w:after="0"/>
        <w:tabs>
          <w:tab w:leader="none" w:pos="1240"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Tower Statutory Income Rates and Pillar 2 Model</w:t>
      </w:r>
    </w:p>
    <w:p>
      <w:pPr>
        <w:spacing w:after="0" w:line="255" w:lineRule="exact"/>
        <w:rPr>
          <w:rFonts w:ascii="Times New Roman" w:cs="Times New Roman" w:eastAsia="Times New Roman" w:hAnsi="Times New Roman"/>
          <w:sz w:val="16"/>
          <w:szCs w:val="16"/>
          <w:b w:val="1"/>
          <w:bCs w:val="1"/>
          <w:color w:val="auto"/>
        </w:rPr>
      </w:pPr>
    </w:p>
    <w:p>
      <w:pPr>
        <w:jc w:val="both"/>
        <w:ind w:left="1240"/>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Pursuant to Amendment 73 to the Israeli Investment Law adopted in 2017 and since Tower is an Israeli industrial company located in Migdal Ha’emek, Israel, it meets the conditions for “Preferred Enterprises” and as such is entitled to an income tax rate of 7.5%. Any portion of Tower’s taxable income that is not eligible for Preferred Enterprise benefits, if at all, is to be taxed at the Israeli statutory corporate income tax rate of 23%.</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44" w:name="page45"/>
    <w:bookmarkEnd w:id="44"/>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17:</w:t>
        <w:tab/>
        <w:t>INCOME TAX (continued)</w:t>
      </w:r>
    </w:p>
    <w:p>
      <w:pPr>
        <w:spacing w:after="0" w:line="204" w:lineRule="exact"/>
        <w:rPr>
          <w:sz w:val="20"/>
          <w:szCs w:val="20"/>
          <w:color w:val="auto"/>
        </w:rPr>
      </w:pPr>
    </w:p>
    <w:p>
      <w:pPr>
        <w:ind w:left="1240" w:hanging="345"/>
        <w:spacing w:after="0"/>
        <w:tabs>
          <w:tab w:leader="none" w:pos="1240"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Tower Statutory Income Rates and Pillar 2 Model (continued)</w:t>
      </w:r>
    </w:p>
    <w:p>
      <w:pPr>
        <w:spacing w:after="0" w:line="255" w:lineRule="exact"/>
        <w:rPr>
          <w:rFonts w:ascii="Times New Roman" w:cs="Times New Roman" w:eastAsia="Times New Roman" w:hAnsi="Times New Roman"/>
          <w:sz w:val="16"/>
          <w:szCs w:val="16"/>
          <w:b w:val="1"/>
          <w:bCs w:val="1"/>
          <w:color w:val="auto"/>
        </w:rPr>
      </w:pPr>
    </w:p>
    <w:p>
      <w:pPr>
        <w:jc w:val="both"/>
        <w:ind w:left="1240"/>
        <w:spacing w:after="0" w:line="25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December 2021, the OECD issued the Pillar Two model rules, which introduce a 15% global minimum tax applicable on a jurisdiction-by-jurisdiction basis to multinational corporations with consolidated annual revenue exceeding €750 million. As of December 31, 2025, the rules had been partially enacted in certain jurisdictions in which the Company operates. The Pillar Two model rules include transitional safe harbor provisions which if met allow such corporations to defer the application of the rules for periods that will commence after December 31, 2025. Until December 31, 2025 (inclusive), the Company qualified for the transitional safe harbor provisions in all jurisdictions in which it operates. As such, the Pillar Two model rules did not have an impact on the Company’s consolidated financial statements through December 31, 2025, however, the Company believes it would result in significant additional income taxes for the years 2026 and beyond, mainly with respect to its Israeli operations.</w:t>
      </w:r>
    </w:p>
    <w:p>
      <w:pPr>
        <w:spacing w:after="0" w:line="210"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 Expense, Net</w:t>
      </w:r>
    </w:p>
    <w:p>
      <w:pPr>
        <w:spacing w:after="0" w:line="218" w:lineRule="exact"/>
        <w:rPr>
          <w:rFonts w:ascii="Times New Roman" w:cs="Times New Roman" w:eastAsia="Times New Roman" w:hAnsi="Times New Roman"/>
          <w:sz w:val="16"/>
          <w:szCs w:val="16"/>
          <w:b w:val="1"/>
          <w:bCs w:val="1"/>
          <w:color w:val="auto"/>
        </w:rPr>
      </w:pPr>
    </w:p>
    <w:p>
      <w:pPr>
        <w:jc w:val="both"/>
        <w:ind w:left="1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provision for income tax is affected by income tax in a multinational tax environment. The income tax provision is an estimate determined based on current enacted tax laws and tax rates at each of its geographic locations, with the use of acceptable allocation methodologies based upon the Company’s organizational structure, operations and business mode of work, resulting in applicable taxable income attributable to each of the locations the Company operates in.</w:t>
      </w:r>
    </w:p>
    <w:p>
      <w:pPr>
        <w:spacing w:after="0" w:line="164"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income tax provision consists of the following for the years ended December 31, 2025, 2024 and 2023:</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2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6"/>
        </w:trPr>
        <w:tc>
          <w:tcPr>
            <w:tcW w:w="1600" w:type="dxa"/>
            <w:vAlign w:val="bottom"/>
          </w:tcPr>
          <w:p>
            <w:pPr>
              <w:spacing w:after="0"/>
              <w:rPr>
                <w:sz w:val="17"/>
                <w:szCs w:val="17"/>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tax expense:</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Local</w:t>
            </w:r>
          </w:p>
        </w:tc>
        <w:tc>
          <w:tcPr>
            <w:tcW w:w="2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14,181</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17,431</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5,579</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13,374</w:t>
            </w: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expense (benefit):</w:t>
            </w: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Local</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17,629</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(17,141)</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62,748</w:t>
            </w:r>
          </w:p>
        </w:tc>
        <w:tc>
          <w:tcPr>
            <w:tcW w:w="1460" w:type="dxa"/>
            <w:vAlign w:val="bottom"/>
          </w:tcPr>
          <w:p>
            <w:pPr>
              <w:spacing w:after="0"/>
              <w:rPr>
                <w:sz w:val="17"/>
                <w:szCs w:val="17"/>
                <w:color w:val="auto"/>
              </w:rPr>
            </w:pPr>
          </w:p>
        </w:tc>
      </w:tr>
      <w:tr>
        <w:trPr>
          <w:trHeight w:val="211"/>
        </w:trPr>
        <w:tc>
          <w:tcPr>
            <w:tcW w:w="160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(12,633)</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4,336</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(10,810)</w:t>
            </w:r>
          </w:p>
        </w:tc>
        <w:tc>
          <w:tcPr>
            <w:tcW w:w="1460" w:type="dxa"/>
            <w:vAlign w:val="bottom"/>
          </w:tcPr>
          <w:p>
            <w:pPr>
              <w:spacing w:after="0"/>
              <w:rPr>
                <w:sz w:val="18"/>
                <w:szCs w:val="18"/>
                <w:color w:val="auto"/>
              </w:rPr>
            </w:pPr>
          </w:p>
        </w:tc>
      </w:tr>
      <w:tr>
        <w:trPr>
          <w:trHeight w:val="246"/>
        </w:trPr>
        <w:tc>
          <w:tcPr>
            <w:tcW w:w="160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net</w:t>
            </w:r>
          </w:p>
        </w:tc>
        <w:tc>
          <w:tcPr>
            <w:tcW w:w="2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21,569</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10,205</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65,312</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Pr>
          <w:p>
            <w:pPr>
              <w:spacing w:after="0"/>
              <w:rPr>
                <w:sz w:val="21"/>
                <w:szCs w:val="21"/>
                <w:color w:val="auto"/>
              </w:rPr>
            </w:pPr>
          </w:p>
        </w:tc>
      </w:tr>
      <w:tr>
        <w:trPr>
          <w:trHeight w:val="442"/>
        </w:trPr>
        <w:tc>
          <w:tcPr>
            <w:tcW w:w="160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2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6"/>
        </w:trPr>
        <w:tc>
          <w:tcPr>
            <w:tcW w:w="1600" w:type="dxa"/>
            <w:vAlign w:val="bottom"/>
          </w:tcPr>
          <w:p>
            <w:pPr>
              <w:spacing w:after="0"/>
              <w:rPr>
                <w:sz w:val="17"/>
                <w:szCs w:val="17"/>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 (loss) before taxes:</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Local</w:t>
            </w:r>
          </w:p>
        </w:tc>
        <w:tc>
          <w:tcPr>
            <w:tcW w:w="2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211,122</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242,879</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588,453</w:t>
            </w: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29,261</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(25,452)</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(3,611)</w:t>
            </w:r>
          </w:p>
        </w:tc>
        <w:tc>
          <w:tcPr>
            <w:tcW w:w="1460" w:type="dxa"/>
            <w:vAlign w:val="bottom"/>
          </w:tcPr>
          <w:p>
            <w:pPr>
              <w:spacing w:after="0"/>
              <w:rPr>
                <w:sz w:val="17"/>
                <w:szCs w:val="17"/>
                <w:color w:val="auto"/>
              </w:rPr>
            </w:pPr>
          </w:p>
        </w:tc>
      </w:tr>
      <w:tr>
        <w:trPr>
          <w:trHeight w:val="24"/>
        </w:trPr>
        <w:tc>
          <w:tcPr>
            <w:tcW w:w="1600" w:type="dxa"/>
            <w:vAlign w:val="bottom"/>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tcPr>
          <w:p>
            <w:pPr>
              <w:spacing w:after="0"/>
              <w:rPr>
                <w:sz w:val="2"/>
                <w:szCs w:val="2"/>
                <w:color w:val="auto"/>
              </w:rPr>
            </w:pPr>
          </w:p>
        </w:tc>
      </w:tr>
      <w:tr>
        <w:trPr>
          <w:trHeight w:val="206"/>
        </w:trPr>
        <w:tc>
          <w:tcPr>
            <w:tcW w:w="160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Total profit (loss) before taxes</w:t>
            </w:r>
          </w:p>
        </w:tc>
        <w:tc>
          <w:tcPr>
            <w:tcW w:w="24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240,383</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217,427</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584,842</w:t>
            </w:r>
          </w:p>
        </w:tc>
        <w:tc>
          <w:tcPr>
            <w:tcW w:w="1460" w:type="dxa"/>
            <w:vAlign w:val="bottom"/>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583"/>
        </w:trPr>
        <w:tc>
          <w:tcPr>
            <w:tcW w:w="16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00" w:type="dxa"/>
            <w:vAlign w:val="bottom"/>
            <w:gridSpan w:val="2"/>
          </w:tcPr>
          <w:p>
            <w:pPr>
              <w:jc w:val="right"/>
              <w:ind w:right="1219"/>
              <w:spacing w:after="0"/>
              <w:rPr>
                <w:sz w:val="20"/>
                <w:szCs w:val="20"/>
                <w:color w:val="auto"/>
              </w:rPr>
            </w:pPr>
            <w:r>
              <w:rPr>
                <w:rFonts w:ascii="Times New Roman" w:cs="Times New Roman" w:eastAsia="Times New Roman" w:hAnsi="Times New Roman"/>
                <w:sz w:val="16"/>
                <w:szCs w:val="16"/>
                <w:color w:val="auto"/>
              </w:rPr>
              <w:t>F - 40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8"/>
        </w:trPr>
        <w:tc>
          <w:tcPr>
            <w:tcW w:w="1600" w:type="dxa"/>
            <w:vAlign w:val="bottom"/>
            <w:tcBorders>
              <w:bottom w:val="single" w:sz="8" w:color="auto"/>
            </w:tcBorders>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64" w:right="319" w:bottom="1440" w:gutter="0" w:footer="0" w:header="0"/>
        </w:sectPr>
      </w:pPr>
    </w:p>
    <w:bookmarkStart w:id="45" w:name="page46"/>
    <w:bookmarkEnd w:id="45"/>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17:</w:t>
        <w:tab/>
        <w:t>INCOME TAX (continued)</w:t>
      </w:r>
    </w:p>
    <w:p>
      <w:pPr>
        <w:spacing w:after="0" w:line="253" w:lineRule="exact"/>
        <w:rPr>
          <w:sz w:val="20"/>
          <w:szCs w:val="20"/>
          <w:color w:val="auto"/>
        </w:rPr>
      </w:pPr>
    </w:p>
    <w:p>
      <w:pPr>
        <w:ind w:left="1240" w:hanging="345"/>
        <w:spacing w:after="0"/>
        <w:tabs>
          <w:tab w:leader="none" w:pos="1240"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Components of Deferred Tax Asset/Liability</w:t>
      </w:r>
    </w:p>
    <w:p>
      <w:pPr>
        <w:spacing w:after="0" w:line="206"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is a summary of the components of the deferred tax assets and liabilities reflected in the balance sheets as of December 31, 2025 and 2024: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 and liability - long-term:</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operating loss carryforward</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19,446</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7,397</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Employees compensation</w:t>
            </w: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10,215</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9,675</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Accruals and allowances</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9,332</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11,355</w:t>
            </w: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credit</w:t>
            </w: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26,027</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24,689</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including Section 174 under U.S. Internal Revenue Code</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18,299</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27,732</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10,629</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9,617</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722</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652</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94,670</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91,117</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 see Note 17E below</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(24,522)</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(31,613)</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70,148</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59,504</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600" w:type="dxa"/>
            <w:vAlign w:val="bottom"/>
          </w:tcPr>
          <w:p>
            <w:pPr>
              <w:spacing w:after="0"/>
              <w:rPr>
                <w:sz w:val="16"/>
                <w:szCs w:val="16"/>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 - long-term:</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(62,184)</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(64,859)</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ROU - assets under operating leases</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(2,284)</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(1,131)</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(1,148)</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(801)</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60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(65,616)</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(66,791)</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60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60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Presented in long term deferred tax assets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13,354</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1,768</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600" w:type="dxa"/>
            <w:vAlign w:val="bottom"/>
          </w:tcPr>
          <w:p>
            <w:pPr>
              <w:spacing w:after="0"/>
              <w:rPr>
                <w:sz w:val="16"/>
                <w:szCs w:val="16"/>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Presented in long term deferred tax liabilities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(8,822)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(9,055)</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320" w:type="dxa"/>
            <w:vAlign w:val="bottom"/>
            <w:vMerge w:val="restart"/>
          </w:tcPr>
          <w:p>
            <w:pPr>
              <w:ind w:left="3840"/>
              <w:spacing w:after="0"/>
              <w:rPr>
                <w:sz w:val="20"/>
                <w:szCs w:val="20"/>
                <w:color w:val="auto"/>
              </w:rPr>
            </w:pPr>
            <w:r>
              <w:rPr>
                <w:rFonts w:ascii="Times New Roman" w:cs="Times New Roman" w:eastAsia="Times New Roman" w:hAnsi="Times New Roman"/>
                <w:sz w:val="16"/>
                <w:szCs w:val="16"/>
                <w:color w:val="auto"/>
              </w:rPr>
              <w:t>F - 41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60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600" w:type="dxa"/>
            <w:vAlign w:val="bottom"/>
            <w:tcBorders>
              <w:bottom w:val="single" w:sz="8" w:color="auto"/>
            </w:tcBorders>
          </w:tcPr>
          <w:p>
            <w:pPr>
              <w:spacing w:after="0"/>
              <w:rPr>
                <w:sz w:val="6"/>
                <w:szCs w:val="6"/>
                <w:color w:val="auto"/>
              </w:rPr>
            </w:pPr>
          </w:p>
        </w:tc>
        <w:tc>
          <w:tcPr>
            <w:tcW w:w="6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64" w:right="319" w:bottom="1440" w:gutter="0" w:footer="0" w:header="0"/>
        </w:sectPr>
      </w:pPr>
    </w:p>
    <w:bookmarkStart w:id="46" w:name="page47"/>
    <w:bookmarkEnd w:id="46"/>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17:</w:t>
        <w:tab/>
        <w:t>INCOME TAX (continued)</w:t>
      </w:r>
    </w:p>
    <w:p>
      <w:pPr>
        <w:spacing w:after="0" w:line="253" w:lineRule="exact"/>
        <w:rPr>
          <w:sz w:val="20"/>
          <w:szCs w:val="20"/>
          <w:color w:val="auto"/>
        </w:rPr>
      </w:pPr>
    </w:p>
    <w:p>
      <w:pPr>
        <w:ind w:left="1240" w:hanging="345"/>
        <w:spacing w:after="0"/>
        <w:tabs>
          <w:tab w:leader="none" w:pos="124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Effective Income Tax</w:t>
      </w:r>
    </w:p>
    <w:p>
      <w:pPr>
        <w:spacing w:after="0" w:line="206"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reconciliation of the Israeli statutory income tax rate to the effective tax rate for the years ended December 31, 2025, 2024 and 2023:</w:t>
      </w:r>
    </w:p>
    <w:p>
      <w:pPr>
        <w:spacing w:after="0" w:line="200" w:lineRule="exact"/>
        <w:rPr>
          <w:sz w:val="20"/>
          <w:szCs w:val="20"/>
          <w:color w:val="auto"/>
        </w:rPr>
      </w:pPr>
    </w:p>
    <w:p>
      <w:pPr>
        <w:spacing w:after="0" w:line="270" w:lineRule="exact"/>
        <w:rPr>
          <w:sz w:val="20"/>
          <w:szCs w:val="20"/>
          <w:color w:val="auto"/>
        </w:rPr>
      </w:pPr>
    </w:p>
    <w:tbl>
      <w:tblPr>
        <w:tblLayout w:type="fixed"/>
        <w:tblInd w:w="1600" w:type="dxa"/>
        <w:tblCellMar>
          <w:top w:w="0" w:type="dxa"/>
          <w:left w:w="0" w:type="dxa"/>
          <w:bottom w:w="0" w:type="dxa"/>
          <w:right w:w="0" w:type="dxa"/>
        </w:tblCellMar>
      </w:tblPr>
      <w:tr>
        <w:trPr>
          <w:trHeight w:val="219"/>
        </w:trPr>
        <w:tc>
          <w:tcPr>
            <w:tcW w:w="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Details</w:t>
            </w:r>
          </w:p>
        </w:tc>
        <w:tc>
          <w:tcPr>
            <w:tcW w:w="5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9"/>
                <w:szCs w:val="19"/>
                <w:color w:val="auto"/>
              </w:rPr>
            </w:pPr>
          </w:p>
        </w:tc>
        <w:tc>
          <w:tcPr>
            <w:tcW w:w="102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Percentages</w:t>
            </w:r>
          </w:p>
        </w:tc>
      </w:tr>
      <w:tr>
        <w:trPr>
          <w:trHeight w:val="31"/>
        </w:trPr>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6"/>
        </w:trPr>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expense computed at statutory rates, see (*) below</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55,288</w:t>
            </w: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23.0%</w:t>
            </w:r>
          </w:p>
        </w:tc>
      </w:tr>
      <w:tr>
        <w:trPr>
          <w:trHeight w:val="206"/>
        </w:trPr>
        <w:tc>
          <w:tcPr>
            <w:tcW w:w="6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Foreign tax effects: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6"/>
        </w:trPr>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w w:val="97"/>
              </w:rPr>
              <w:t>U.S</w:t>
            </w:r>
          </w:p>
        </w:tc>
        <w:tc>
          <w:tcPr>
            <w:tcW w:w="40" w:type="dxa"/>
            <w:vAlign w:val="bottom"/>
            <w:tcBorders>
              <w:bottom w:val="single" w:sz="8" w:color="CCEEFF"/>
            </w:tcBorders>
            <w:shd w:val="clear" w:color="auto" w:fill="CCEEFF"/>
          </w:tcPr>
          <w:p>
            <w:pPr>
              <w:spacing w:after="0"/>
              <w:rPr>
                <w:sz w:val="16"/>
                <w:szCs w:val="16"/>
                <w:color w:val="auto"/>
              </w:rPr>
            </w:pPr>
          </w:p>
        </w:tc>
        <w:tc>
          <w:tcPr>
            <w:tcW w:w="5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206"/>
        </w:trPr>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Changes in valuation allowance, see Note 17E below</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(17,742)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r>
      <w:tr>
        <w:trPr>
          <w:trHeight w:val="206"/>
        </w:trPr>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adjustments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r>
      <w:tr>
        <w:trPr>
          <w:trHeight w:val="206"/>
        </w:trPr>
        <w:tc>
          <w:tcPr>
            <w:tcW w:w="20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5"/>
              </w:rPr>
              <w:t>Italy</w:t>
            </w:r>
          </w:p>
        </w:tc>
        <w:tc>
          <w:tcPr>
            <w:tcW w:w="5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valuation allowance, see Note 17E below</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10,651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w:t>
            </w:r>
          </w:p>
        </w:tc>
      </w:tr>
      <w:tr>
        <w:trPr>
          <w:trHeight w:val="206"/>
        </w:trPr>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impact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(8,061)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r>
      <w:tr>
        <w:trPr>
          <w:trHeight w:val="206"/>
        </w:trPr>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adjustments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r>
      <w:tr>
        <w:trPr>
          <w:trHeight w:val="206"/>
        </w:trPr>
        <w:tc>
          <w:tcPr>
            <w:tcW w:w="200" w:type="dxa"/>
            <w:vAlign w:val="bottom"/>
          </w:tcPr>
          <w:p>
            <w:pPr>
              <w:spacing w:after="0"/>
              <w:rPr>
                <w:sz w:val="17"/>
                <w:szCs w:val="17"/>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jurisdictions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r>
      <w:tr>
        <w:trPr>
          <w:trHeight w:val="206"/>
        </w:trPr>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r>
      <w:tr>
        <w:trPr>
          <w:trHeight w:val="206"/>
        </w:trPr>
        <w:tc>
          <w:tcPr>
            <w:tcW w:w="6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Changes in unrecognized tax benefits, see (**) below</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16,870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r>
      <w:tr>
        <w:trPr>
          <w:trHeight w:val="206"/>
        </w:trPr>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Enterprise benefit in Israel</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(32,673)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w:t>
            </w:r>
          </w:p>
        </w:tc>
      </w:tr>
      <w:tr>
        <w:trPr>
          <w:trHeight w:val="24"/>
        </w:trPr>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6"/>
        </w:trPr>
        <w:tc>
          <w:tcPr>
            <w:tcW w:w="6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21,569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r>
      <w:tr>
        <w:trPr>
          <w:trHeight w:val="20"/>
        </w:trPr>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2"/>
        </w:trPr>
        <w:tc>
          <w:tcPr>
            <w:tcW w:w="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Details</w:t>
            </w: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expense computed at statutory rates, see (*) below</w:t>
            </w:r>
          </w:p>
        </w:tc>
        <w:tc>
          <w:tcPr>
            <w:tcW w:w="1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50,008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134,514</w:t>
            </w:r>
          </w:p>
        </w:tc>
        <w:tc>
          <w:tcPr>
            <w:tcW w:w="80" w:type="dxa"/>
            <w:vAlign w:val="bottom"/>
            <w:shd w:val="clear" w:color="auto" w:fill="CCEEFF"/>
          </w:tcPr>
          <w:p>
            <w:pPr>
              <w:spacing w:after="0"/>
              <w:rPr>
                <w:sz w:val="17"/>
                <w:szCs w:val="17"/>
                <w:color w:val="auto"/>
              </w:rPr>
            </w:pPr>
          </w:p>
        </w:tc>
      </w:tr>
      <w:tr>
        <w:trPr>
          <w:trHeight w:val="206"/>
        </w:trPr>
        <w:tc>
          <w:tcPr>
            <w:tcW w:w="6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Effect of different tax rates in different jurisdictions and Preferred Enterprise Benefit in Israel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(36,588)</w:t>
            </w:r>
          </w:p>
        </w:tc>
        <w:tc>
          <w:tcPr>
            <w:tcW w:w="18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(89,487)</w:t>
            </w:r>
          </w:p>
        </w:tc>
      </w:tr>
      <w:tr>
        <w:trPr>
          <w:trHeight w:val="206"/>
        </w:trPr>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valuation allowance, see Note 17E below</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2,697</w:t>
            </w:r>
          </w:p>
        </w:tc>
      </w:tr>
      <w:tr>
        <w:trPr>
          <w:trHeight w:val="211"/>
        </w:trPr>
        <w:tc>
          <w:tcPr>
            <w:tcW w:w="6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Permanent differences and other,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1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17,588</w:t>
            </w:r>
          </w:p>
        </w:tc>
      </w:tr>
      <w:tr>
        <w:trPr>
          <w:trHeight w:val="246"/>
        </w:trPr>
        <w:tc>
          <w:tcPr>
            <w:tcW w:w="61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26" w:lineRule="exact"/>
        <w:rPr>
          <w:sz w:val="20"/>
          <w:szCs w:val="20"/>
          <w:color w:val="auto"/>
        </w:rPr>
      </w:pPr>
    </w:p>
    <w:p>
      <w:pPr>
        <w:ind w:left="1240" w:right="2420" w:firstLine="8"/>
        <w:spacing w:after="0" w:line="572" w:lineRule="auto"/>
        <w:tabs>
          <w:tab w:leader="none" w:pos="155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expense was computed based on the Israeli statutory corporate income tax rate of 23%. (**) The amount is comprised substantially from additions for tax positions relating to prior years.</w:t>
      </w:r>
    </w:p>
    <w:p>
      <w:pPr>
        <w:spacing w:after="0" w:line="13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140"/>
          </w:cols>
          <w:pgMar w:left="320" w:top="364" w:right="1439" w:bottom="1440" w:gutter="0" w:footer="0" w:header="0"/>
        </w:sectPr>
      </w:pPr>
    </w:p>
    <w:bookmarkStart w:id="47" w:name="page48"/>
    <w:bookmarkEnd w:id="47"/>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17:</w:t>
        <w:tab/>
        <w:t>INCOME TAX (continued)</w:t>
      </w:r>
    </w:p>
    <w:p>
      <w:pPr>
        <w:spacing w:after="0" w:line="253" w:lineRule="exact"/>
        <w:rPr>
          <w:sz w:val="20"/>
          <w:szCs w:val="20"/>
          <w:color w:val="auto"/>
        </w:rPr>
      </w:pPr>
    </w:p>
    <w:p>
      <w:pPr>
        <w:ind w:left="1240" w:hanging="345"/>
        <w:spacing w:after="0"/>
        <w:tabs>
          <w:tab w:leader="none" w:pos="124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Net Operating Loss Carryforward</w:t>
      </w:r>
    </w:p>
    <w:p>
      <w:pPr>
        <w:spacing w:after="0" w:line="206"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Tower had no net operating loss carryforward.</w:t>
      </w:r>
    </w:p>
    <w:p>
      <w:pPr>
        <w:spacing w:after="0" w:line="228" w:lineRule="exact"/>
        <w:rPr>
          <w:rFonts w:ascii="Times New Roman" w:cs="Times New Roman" w:eastAsia="Times New Roman" w:hAnsi="Times New Roman"/>
          <w:sz w:val="16"/>
          <w:szCs w:val="16"/>
          <w:b w:val="1"/>
          <w:bCs w:val="1"/>
          <w:color w:val="auto"/>
        </w:rPr>
      </w:pPr>
    </w:p>
    <w:p>
      <w:pPr>
        <w:jc w:val="both"/>
        <w:ind w:left="1240"/>
        <w:spacing w:after="0" w:line="27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Tower US Holdings had U.S. federal net operating loss carryforwards of approximately $31,000 of which approximately $22,000 does not expire and is subject to an annual taxable income limitation of 80%. The remaining federal tax loss carryforward of $9,000 will expire in 2028, unless previously utilized.</w:t>
      </w:r>
    </w:p>
    <w:p>
      <w:pPr>
        <w:spacing w:after="0" w:line="161" w:lineRule="exact"/>
        <w:rPr>
          <w:rFonts w:ascii="Times New Roman" w:cs="Times New Roman" w:eastAsia="Times New Roman" w:hAnsi="Times New Roman"/>
          <w:sz w:val="16"/>
          <w:szCs w:val="16"/>
          <w:b w:val="1"/>
          <w:bCs w:val="1"/>
          <w:color w:val="auto"/>
        </w:rPr>
      </w:pPr>
    </w:p>
    <w:p>
      <w:pPr>
        <w:ind w:left="124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Tower US Holdings had a California state net operating loss carryforward of approximately $9,000. The state tax loss carryforward will begin to expire in 2029, unless previously utilized.</w:t>
      </w:r>
    </w:p>
    <w:p>
      <w:pPr>
        <w:spacing w:after="0" w:line="142" w:lineRule="exact"/>
        <w:rPr>
          <w:rFonts w:ascii="Times New Roman" w:cs="Times New Roman" w:eastAsia="Times New Roman" w:hAnsi="Times New Roman"/>
          <w:sz w:val="16"/>
          <w:szCs w:val="16"/>
          <w:b w:val="1"/>
          <w:bCs w:val="1"/>
          <w:color w:val="auto"/>
        </w:rPr>
      </w:pPr>
    </w:p>
    <w:p>
      <w:pPr>
        <w:ind w:left="124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Tower US Holdings recorded a valuation allowance thereby reducing the federal deferred tax asset balances as of December 31, 2024 and 2023. The valuation allowance was released as of December 31, 2025, re-establishing deferred tax assets balances.</w:t>
      </w:r>
    </w:p>
    <w:p>
      <w:pPr>
        <w:spacing w:after="0" w:line="142" w:lineRule="exact"/>
        <w:rPr>
          <w:rFonts w:ascii="Times New Roman" w:cs="Times New Roman" w:eastAsia="Times New Roman" w:hAnsi="Times New Roman"/>
          <w:sz w:val="16"/>
          <w:szCs w:val="16"/>
          <w:b w:val="1"/>
          <w:bCs w:val="1"/>
          <w:color w:val="auto"/>
        </w:rPr>
      </w:pPr>
    </w:p>
    <w:p>
      <w:pPr>
        <w:ind w:left="1240" w:right="420"/>
        <w:spacing w:after="0" w:line="53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Tower US Holdings recorded a valuation allowance thereby reducing the state deferred tax asset balances as of December 31, 2025, 2024 and 2023. As of December 31, 2025 TPSCo had immaterial net operating loss carryforward.</w:t>
      </w: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TSIT had net operating loss carryforward of approximately $13,000.</w:t>
      </w:r>
    </w:p>
    <w:p>
      <w:pPr>
        <w:spacing w:after="0" w:line="216"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TSIT has recorded a valuation allowance thereby reducing the deferred tax asset balance of the net operating loss carryforward.</w:t>
      </w:r>
    </w:p>
    <w:p>
      <w:pPr>
        <w:spacing w:after="0" w:line="214"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Final Tax Assessments</w:t>
      </w:r>
    </w:p>
    <w:p>
      <w:pPr>
        <w:spacing w:after="0" w:line="218"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Tower possesses final tax assessments through the year 2021.</w:t>
      </w:r>
    </w:p>
    <w:p>
      <w:pPr>
        <w:spacing w:after="0" w:line="216" w:lineRule="exact"/>
        <w:rPr>
          <w:rFonts w:ascii="Times New Roman" w:cs="Times New Roman" w:eastAsia="Times New Roman" w:hAnsi="Times New Roman"/>
          <w:sz w:val="16"/>
          <w:szCs w:val="16"/>
          <w:b w:val="1"/>
          <w:bCs w:val="1"/>
          <w:color w:val="auto"/>
        </w:rPr>
      </w:pPr>
    </w:p>
    <w:p>
      <w:pPr>
        <w:ind w:left="124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Tower US Holdings files a consolidated tax return, including TSNB and TSSA. Tower US Holdings and its subsidiaries are subject to U.S. federal income tax as well as income tax in multiple states.</w:t>
      </w:r>
    </w:p>
    <w:p>
      <w:pPr>
        <w:spacing w:after="0" w:line="142" w:lineRule="exact"/>
        <w:rPr>
          <w:rFonts w:ascii="Times New Roman" w:cs="Times New Roman" w:eastAsia="Times New Roman" w:hAnsi="Times New Roman"/>
          <w:sz w:val="16"/>
          <w:szCs w:val="16"/>
          <w:b w:val="1"/>
          <w:bCs w:val="1"/>
          <w:color w:val="auto"/>
        </w:rPr>
      </w:pPr>
    </w:p>
    <w:p>
      <w:pPr>
        <w:jc w:val="both"/>
        <w:ind w:left="1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general, Tower US Holdings is no longer subject to U.S. federal income tax examinations for any of the years before 2021 and state and other U.S. local income tax examinations for any of the years before 2020. However, to the extent allowed by law, the tax authorities may have the right to examine prior periods where net operating losses were generated and carried forward and to make adjustments up to the amount of the net operating loss carryforward amount.</w:t>
      </w:r>
    </w:p>
    <w:p>
      <w:pPr>
        <w:spacing w:after="0" w:line="164" w:lineRule="exact"/>
        <w:rPr>
          <w:rFonts w:ascii="Times New Roman" w:cs="Times New Roman" w:eastAsia="Times New Roman" w:hAnsi="Times New Roman"/>
          <w:sz w:val="16"/>
          <w:szCs w:val="16"/>
          <w:b w:val="1"/>
          <w:bCs w:val="1"/>
          <w:color w:val="auto"/>
        </w:rPr>
      </w:pPr>
    </w:p>
    <w:p>
      <w:pPr>
        <w:ind w:left="1240" w:right="5440"/>
        <w:spacing w:after="0" w:line="55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TPSCo possesses final income tax assessments through the year 2020. TSIT possesses no final income tax assessments.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132715</wp:posOffset>
            </wp:positionV>
            <wp:extent cx="7146290" cy="31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6290" cy="3111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1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6290" cy="31115"/>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196850</wp:posOffset>
            </wp:positionV>
            <wp:extent cx="714629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6290" cy="7620"/>
                    </a:xfrm>
                    <a:prstGeom prst="rect">
                      <a:avLst/>
                    </a:prstGeom>
                    <a:noFill/>
                  </pic:spPr>
                </pic:pic>
              </a:graphicData>
            </a:graphic>
          </wp:anchor>
        </w:drawing>
        <w:t>Exhibit 99.2</w:t>
      </w:r>
    </w:p>
    <w:p>
      <w:pPr>
        <w:spacing w:after="0" w:line="21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CONDENSED MANAGEMENT’S DISCUSSION AND ANALYSIS OF</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CONDITION AND RESULTS OF OPERATIONS</w:t>
      </w:r>
    </w:p>
    <w:p>
      <w:pPr>
        <w:spacing w:after="0" w:line="21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The information contained in this section should be read in conjunction with our consolidated financial statements as of December 31, 2025 and 2024 and the related notes for the years then ended. Our financial statements have been prepared in accordance with generally accepted accounting principles in the United States (“US GAAP”).</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certain statement of operations data as a percentage of total revenue for the years ended December 31, 2025 and 2024:</w:t>
      </w:r>
    </w:p>
    <w:p>
      <w:pPr>
        <w:spacing w:after="0" w:line="217"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6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Details</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9"/>
                <w:szCs w:val="19"/>
                <w:color w:val="auto"/>
              </w:rPr>
            </w:pPr>
          </w:p>
        </w:tc>
      </w:tr>
      <w:tr>
        <w:trPr>
          <w:trHeight w:val="20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11"/>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76.4</w:t>
            </w:r>
          </w:p>
        </w:tc>
      </w:tr>
      <w:tr>
        <w:trPr>
          <w:trHeight w:val="20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40" w:type="dxa"/>
            <w:vAlign w:val="bottom"/>
            <w:shd w:val="clear" w:color="auto" w:fill="CCEEFF"/>
          </w:tcPr>
          <w:p>
            <w:pPr>
              <w:spacing w:after="0"/>
              <w:rPr>
                <w:sz w:val="17"/>
                <w:szCs w:val="17"/>
                <w:color w:val="auto"/>
              </w:rPr>
            </w:pPr>
          </w:p>
        </w:tc>
      </w:tr>
      <w:tr>
        <w:trPr>
          <w:trHeight w:val="206"/>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w:t>
            </w:r>
          </w:p>
        </w:tc>
      </w:tr>
      <w:tr>
        <w:trPr>
          <w:trHeight w:val="20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w:t>
            </w:r>
          </w:p>
        </w:tc>
      </w:tr>
      <w:tr>
        <w:trPr>
          <w:trHeight w:val="211"/>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income, net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(0.4)</w:t>
            </w:r>
          </w:p>
        </w:tc>
      </w:tr>
      <w:tr>
        <w:trPr>
          <w:trHeight w:val="20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1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shd w:val="clear" w:color="auto" w:fill="CCEEFF"/>
          </w:tcPr>
          <w:p>
            <w:pPr>
              <w:spacing w:after="0"/>
              <w:rPr>
                <w:sz w:val="17"/>
                <w:szCs w:val="17"/>
                <w:color w:val="auto"/>
              </w:rPr>
            </w:pPr>
          </w:p>
        </w:tc>
      </w:tr>
      <w:tr>
        <w:trPr>
          <w:trHeight w:val="206"/>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Financing income, net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w:t>
            </w:r>
          </w:p>
        </w:tc>
      </w:tr>
      <w:tr>
        <w:trPr>
          <w:trHeight w:val="211"/>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(0.7)</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r>
      <w:tr>
        <w:trPr>
          <w:trHeight w:val="206"/>
        </w:trPr>
        <w:tc>
          <w:tcPr>
            <w:tcW w:w="6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Profit before income tax</w:t>
            </w: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40" w:type="dxa"/>
            <w:vAlign w:val="bottom"/>
            <w:tcBorders>
              <w:top w:val="single" w:sz="8" w:color="CCEEFF"/>
            </w:tcBorders>
          </w:tcPr>
          <w:p>
            <w:pPr>
              <w:spacing w:after="0"/>
              <w:rPr>
                <w:sz w:val="17"/>
                <w:szCs w:val="17"/>
                <w:color w:val="auto"/>
              </w:rPr>
            </w:pPr>
          </w:p>
        </w:tc>
      </w:tr>
      <w:tr>
        <w:trPr>
          <w:trHeight w:val="20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net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(0.7)</w:t>
            </w:r>
          </w:p>
        </w:tc>
      </w:tr>
      <w:tr>
        <w:trPr>
          <w:trHeight w:val="206"/>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Net profit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14.4</w:t>
            </w:r>
          </w:p>
        </w:tc>
      </w:tr>
      <w:tr>
        <w:trPr>
          <w:trHeight w:val="211"/>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6"/>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Net profit attributable to the company</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14.1%</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14.5%</w:t>
            </w:r>
          </w:p>
        </w:tc>
      </w:tr>
      <w:tr>
        <w:trPr>
          <w:trHeight w:val="20"/>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certain statement of operations data for the years ended December 31, 2025 and 2024 (dollars in thousands):</w:t>
      </w:r>
    </w:p>
    <w:p>
      <w:pPr>
        <w:spacing w:after="0" w:line="217"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Details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9"/>
                <w:szCs w:val="19"/>
                <w:color w:val="auto"/>
              </w:rPr>
            </w:pPr>
          </w:p>
        </w:tc>
      </w:tr>
      <w:tr>
        <w:trPr>
          <w:trHeight w:val="20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1,566,104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1,436,122</w:t>
            </w:r>
          </w:p>
        </w:tc>
        <w:tc>
          <w:tcPr>
            <w:tcW w:w="80" w:type="dxa"/>
            <w:vAlign w:val="bottom"/>
            <w:shd w:val="clear" w:color="auto" w:fill="CCEEFF"/>
          </w:tcPr>
          <w:p>
            <w:pPr>
              <w:spacing w:after="0"/>
              <w:rPr>
                <w:sz w:val="17"/>
                <w:szCs w:val="17"/>
                <w:color w:val="auto"/>
              </w:rPr>
            </w:pPr>
          </w:p>
        </w:tc>
      </w:tr>
      <w:tr>
        <w:trPr>
          <w:trHeight w:val="211"/>
        </w:trPr>
        <w:tc>
          <w:tcPr>
            <w:tcW w:w="680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1,202,250</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1,096,680</w:t>
            </w:r>
          </w:p>
        </w:tc>
        <w:tc>
          <w:tcPr>
            <w:tcW w:w="80" w:type="dxa"/>
            <w:vAlign w:val="bottom"/>
          </w:tcPr>
          <w:p>
            <w:pPr>
              <w:spacing w:after="0"/>
              <w:rPr>
                <w:sz w:val="18"/>
                <w:szCs w:val="18"/>
                <w:color w:val="auto"/>
              </w:rPr>
            </w:pPr>
          </w:p>
        </w:tc>
      </w:tr>
      <w:tr>
        <w:trPr>
          <w:trHeight w:val="231"/>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363,854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339,442</w:t>
            </w:r>
          </w:p>
        </w:tc>
      </w:tr>
      <w:tr>
        <w:trPr>
          <w:trHeight w:val="224"/>
        </w:trPr>
        <w:tc>
          <w:tcPr>
            <w:tcW w:w="68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86,496</w:t>
            </w: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79,434</w:t>
            </w:r>
          </w:p>
        </w:tc>
      </w:tr>
      <w:tr>
        <w:trPr>
          <w:trHeight w:val="23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83,186</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74,964</w:t>
            </w:r>
          </w:p>
        </w:tc>
      </w:tr>
      <w:tr>
        <w:trPr>
          <w:trHeight w:val="211"/>
        </w:trPr>
        <w:tc>
          <w:tcPr>
            <w:tcW w:w="680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income,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(6,270)</w:t>
            </w:r>
          </w:p>
        </w:tc>
      </w:tr>
      <w:tr>
        <w:trPr>
          <w:trHeight w:val="231"/>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10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194,172</w:t>
            </w:r>
          </w:p>
        </w:tc>
        <w:tc>
          <w:tcPr>
            <w:tcW w:w="16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191,314</w:t>
            </w:r>
          </w:p>
        </w:tc>
        <w:tc>
          <w:tcPr>
            <w:tcW w:w="80" w:type="dxa"/>
            <w:vAlign w:val="bottom"/>
            <w:shd w:val="clear" w:color="auto" w:fill="CCEEFF"/>
          </w:tcPr>
          <w:p>
            <w:pPr>
              <w:spacing w:after="0"/>
              <w:rPr>
                <w:sz w:val="20"/>
                <w:szCs w:val="20"/>
                <w:color w:val="auto"/>
              </w:rPr>
            </w:pPr>
          </w:p>
        </w:tc>
      </w:tr>
      <w:tr>
        <w:trPr>
          <w:trHeight w:val="224"/>
        </w:trPr>
        <w:tc>
          <w:tcPr>
            <w:tcW w:w="6800" w:type="dxa"/>
            <w:vAlign w:val="bottom"/>
          </w:tcPr>
          <w:p>
            <w:pPr>
              <w:spacing w:after="0"/>
              <w:rPr>
                <w:sz w:val="20"/>
                <w:szCs w:val="20"/>
                <w:color w:val="auto"/>
              </w:rPr>
            </w:pPr>
            <w:r>
              <w:rPr>
                <w:rFonts w:ascii="Times New Roman" w:cs="Times New Roman" w:eastAsia="Times New Roman" w:hAnsi="Times New Roman"/>
                <w:sz w:val="16"/>
                <w:szCs w:val="16"/>
                <w:color w:val="auto"/>
              </w:rPr>
              <w:t>Financing income, net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56,738</w:t>
            </w: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50,834</w:t>
            </w:r>
          </w:p>
        </w:tc>
      </w:tr>
      <w:tr>
        <w:trPr>
          <w:trHeight w:val="21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(10,527)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(24,721)</w:t>
            </w:r>
          </w:p>
        </w:tc>
      </w:tr>
      <w:tr>
        <w:trPr>
          <w:trHeight w:val="224"/>
        </w:trPr>
        <w:tc>
          <w:tcPr>
            <w:tcW w:w="6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Profit before income tax</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240,383</w:t>
            </w: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217,427</w:t>
            </w:r>
          </w:p>
        </w:tc>
        <w:tc>
          <w:tcPr>
            <w:tcW w:w="80" w:type="dxa"/>
            <w:vAlign w:val="bottom"/>
            <w:tcBorders>
              <w:top w:val="single" w:sz="8" w:color="CCEEFF"/>
            </w:tcBorders>
          </w:tcPr>
          <w:p>
            <w:pPr>
              <w:spacing w:after="0"/>
              <w:rPr>
                <w:sz w:val="19"/>
                <w:szCs w:val="19"/>
                <w:color w:val="auto"/>
              </w:rPr>
            </w:pPr>
          </w:p>
        </w:tc>
      </w:tr>
      <w:tr>
        <w:trPr>
          <w:trHeight w:val="21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(21,569)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(10,205)</w:t>
            </w:r>
          </w:p>
        </w:tc>
      </w:tr>
      <w:tr>
        <w:trPr>
          <w:trHeight w:val="224"/>
        </w:trPr>
        <w:tc>
          <w:tcPr>
            <w:tcW w:w="6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profit</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218,814</w:t>
            </w: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207,222</w:t>
            </w:r>
          </w:p>
        </w:tc>
        <w:tc>
          <w:tcPr>
            <w:tcW w:w="80" w:type="dxa"/>
            <w:vAlign w:val="bottom"/>
            <w:tcBorders>
              <w:top w:val="single" w:sz="8" w:color="CCEEFF"/>
            </w:tcBorders>
          </w:tcPr>
          <w:p>
            <w:pPr>
              <w:spacing w:after="0"/>
              <w:rPr>
                <w:sz w:val="19"/>
                <w:szCs w:val="19"/>
                <w:color w:val="auto"/>
              </w:rPr>
            </w:pPr>
          </w:p>
        </w:tc>
      </w:tr>
      <w:tr>
        <w:trPr>
          <w:trHeight w:val="217"/>
        </w:trPr>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6800" w:type="dxa"/>
            <w:vAlign w:val="bottom"/>
          </w:tcPr>
          <w:p>
            <w:pPr>
              <w:spacing w:after="0"/>
              <w:rPr>
                <w:sz w:val="20"/>
                <w:szCs w:val="20"/>
                <w:color w:val="auto"/>
              </w:rPr>
            </w:pPr>
            <w:r>
              <w:rPr>
                <w:rFonts w:ascii="Times New Roman" w:cs="Times New Roman" w:eastAsia="Times New Roman" w:hAnsi="Times New Roman"/>
                <w:sz w:val="16"/>
                <w:szCs w:val="16"/>
                <w:color w:val="auto"/>
              </w:rPr>
              <w:t>Net profit attributable to the company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220,470</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207,864</w:t>
            </w: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88" w:right="319" w:bottom="1440" w:gutter="0" w:footer="0" w:header="0"/>
        </w:sectPr>
      </w:pPr>
    </w:p>
    <w:bookmarkStart w:id="49" w:name="page50"/>
    <w:bookmarkEnd w:id="49"/>
    <w:p>
      <w:pPr>
        <w:ind w:left="300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b w:val="1"/>
          <w:bCs w:val="1"/>
          <w:color w:val="auto"/>
        </w:rPr>
        <w:t>CONDENSED MANAGEMENT’S DISCUSSION AND ANALYSIS OF</w:t>
      </w:r>
    </w:p>
    <w:p>
      <w:pPr>
        <w:spacing w:after="0" w:line="2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FINANCIAL CONDITION AND RESULTS OF OPERATIONS</w:t>
      </w:r>
    </w:p>
    <w:p>
      <w:pPr>
        <w:spacing w:after="0" w:line="16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Year ended December 31, 2025 compared to Year ended December 31,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213"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Revenue for the year ended December 31, 2025 amounted to $1,566.1 million, as compared to $1,436.1 million for the year ended December 31, 2024, reflecting a $130.0 million or 9% year over year revenue increase. The increase is mostly due to higher wafers shipments, including revenue and shipments from the 300mm facility in Agrate, Italy, which commenced volume production and operations in the fourth quarter of 2024, and therefore its revenue was included in our statement of operations for the entire 2025 calendar year, as compared to only a limited portion of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Revenue</w:t>
      </w:r>
    </w:p>
    <w:p>
      <w:pPr>
        <w:spacing w:after="0" w:line="2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Cost of revenue for the year ended December 31, 2025 amounted to $1,202.3 million as compared to $1,096.7 million for the year ended December 31, 2024. The $105.6 million increase in cost of revenue is mainly due to higher depreciation and other manufacturing costs associated with the increased number of wafers shipped in the year ended December 31, 2025, including higher depreciation and other manufacturing costs associated with the 300mm facility in Agrate, Italy, which commenced volume production and operations in the fourth quarter of 2024, and therefore its cost was included in our statement of operations for the entire 2025 calendar year, as compared to only a limited portion of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Gross Profit</w:t>
      </w:r>
    </w:p>
    <w:p>
      <w:pPr>
        <w:spacing w:after="0" w:line="21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Gross profit for the year ended December 31, 2025 amounted to $363.9 million as compared to $339.4 million for the year ended December 31, 2024. The $24.5 million increase in gross profit resulted from the $130.0 million or 9.6% increase in revenue, net of the $105.6 million increase in cost of revenue, as described above.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21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Research and development expenses for the year ended December 31, 2025, amounted to $86.5 million, reflecting 5.5% of revenue, as compared to $79.4 million for the year ended December 31, 2024, also reflecting 5.5% of revenue.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Marketing, General and Administrative</w:t>
      </w:r>
    </w:p>
    <w:p>
      <w:pPr>
        <w:spacing w:after="0" w:line="21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Marketing, general and administrative expenses for the year ended December 31, 2025 amounted to $83.2 million, reflecting 5.3% of revenue, as compared to $75.0 million for the year ended December 31, 2024, reflecting a similar percentage of 5.2% of revenue.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Restructuring Income, net</w:t>
      </w:r>
    </w:p>
    <w:p>
      <w:pPr>
        <w:spacing w:after="0" w:line="23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Restructuring income, net, for the year ended December 31, 2024 amounted to $6.3 million, resulting from the reorganization and restructuring of our Japan operations executed during 2022, as described in Note 12B(ii) to our financial statements for the year ended December 31, 2025.</w:t>
      </w:r>
    </w:p>
    <w:p>
      <w:pPr>
        <w:spacing w:after="0" w:line="31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47625</wp:posOffset>
            </wp:positionV>
            <wp:extent cx="714629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660"/>
          </w:cols>
          <w:pgMar w:left="900" w:top="121" w:right="339" w:bottom="1440" w:gutter="0" w:footer="0" w:header="0"/>
        </w:sectPr>
      </w:pPr>
    </w:p>
    <w:bookmarkStart w:id="50" w:name="page51"/>
    <w:bookmarkEnd w:id="50"/>
    <w:p>
      <w:pPr>
        <w:ind w:left="300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b w:val="1"/>
          <w:bCs w:val="1"/>
          <w:color w:val="auto"/>
        </w:rPr>
        <w:t>CONDENSED MANAGEMENT’S DISCUSSION AND ANALYSIS OF</w:t>
      </w:r>
    </w:p>
    <w:p>
      <w:pPr>
        <w:spacing w:after="0" w:line="2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b w:val="1"/>
          <w:bCs w:val="1"/>
          <w:color w:val="auto"/>
        </w:rPr>
        <w:t>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Profit</w:t>
      </w:r>
    </w:p>
    <w:p>
      <w:pPr>
        <w:spacing w:after="0" w:line="23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Operating profit for the year ended December 31, 2025 amounted to $194.2 million as compared to $191.3 million for the year ended December 31, 2024. The $2.9 million increase in operating profit resulted mainly from the $24.5 million increase in gross profit, as described above, offset by $7.1 million increase in research and development expenses, the $8.2 million increase in marketing, general and administrative expenses in the year ended December 31, 2025 and the $6.3 million restructuring income in 2024, as described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Income, net</w:t>
      </w:r>
    </w:p>
    <w:p>
      <w:pPr>
        <w:spacing w:after="0" w:line="21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Financing income, net, for the year ended December 31, 2025 amounted to $56.7 million as compared to $50.8 million for the year ended December 31, 2024. The $5.9 million increase in financing income, net, is mainly due to hedging transaction gains recorded in the year ended December 31,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Expense, net</w:t>
      </w:r>
    </w:p>
    <w:p>
      <w:pPr>
        <w:spacing w:after="0" w:line="21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Other expense, net, for the year ended December 31, 2025 amounted to $10.5 million as compared to other expense, net, of $24.7 million for the year ended December 31, 2024. Other expense, net included mainly non-recurring, non-operational items.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Expense, net</w:t>
      </w:r>
    </w:p>
    <w:p>
      <w:pPr>
        <w:spacing w:after="0" w:line="23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Income tax expense, net, for the year ended December 31, 2025 amounted to $21.6 million as compared to $10.2 million for the year ended December 31, 2024. The $21.6 million tax expense for the year ended December 31, 2025 reflects 9% of the income before tax, mostly due to the 7.5% preferred income tax rate applied on the Israeli operations eligible income, with other jurisdictions subject to higher tax rate, see also note 17 to the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Profit</w:t>
      </w:r>
    </w:p>
    <w:p>
      <w:pPr>
        <w:spacing w:after="0" w:line="23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Net profit for the year ended December 31, 2025 amounted to $218.8 million as compared to $207.2 million for the year ended December 31, 2024. The $11.6 million increase in net profit is mainly due to the increase in operating profit and financing income, net, and the decrease in other expense, net, as described above, offset by the increase in income tax expense, net, described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w:t>
      </w:r>
    </w:p>
    <w:p>
      <w:pPr>
        <w:spacing w:after="0" w:line="23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Net loss attributable to non-controlling interest for the year ended December 31, 2025 amounted to $1.7 million as compared to net loss attributable to non-controlling interest of $0.6 million for the year ended December 31, 2024. The $1.1 million increase resulted from the increase of $2.2 million in the Company’s 51% owned subsidiary, Tower Partners Semiconductor Co., Ltd.’s (“TPSCo”) net loss.</w:t>
      </w:r>
    </w:p>
    <w:p>
      <w:pPr>
        <w:spacing w:after="0" w:line="33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47625</wp:posOffset>
            </wp:positionV>
            <wp:extent cx="714629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660"/>
          </w:cols>
          <w:pgMar w:left="900" w:top="121" w:right="339" w:bottom="1440" w:gutter="0" w:footer="0" w:header="0"/>
        </w:sectPr>
      </w:pPr>
    </w:p>
    <w:bookmarkStart w:id="51" w:name="page52"/>
    <w:bookmarkEnd w:id="51"/>
    <w:p>
      <w:pPr>
        <w:ind w:left="300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b w:val="1"/>
          <w:bCs w:val="1"/>
          <w:color w:val="auto"/>
        </w:rPr>
        <w:t>CONDENSED MANAGEMENT’S DISCUSSION AND ANALYSIS OF</w:t>
      </w:r>
    </w:p>
    <w:p>
      <w:pPr>
        <w:spacing w:after="0" w:line="2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b w:val="1"/>
          <w:bCs w:val="1"/>
          <w:color w:val="auto"/>
        </w:rPr>
        <w:t>FINANCIAL CONDITION AND RESULTS OF OPERATIONS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Profit Attributable to the Company</w:t>
      </w: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Net profit attributable to the Company for the year ended December 31, 2025 amounted to $220.5 million as compared to $207.9 million for the year ended December 31, 2024. The $12.6 million increase in net profit attributable to the Company is mainly due to the increase in net profit of $11.6 million as described above, and the increase in net loss attributable to non-controlling interest of $1.1 million, as described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Currency Fluctuations</w:t>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Company currently operates in four different regions: the United States, Japan, Israel and Italy. The functional currency of the Company’s entities in the United States, Israel and Italy is the US dollar (“USD”). The functional currency of the Company’s operations in Japan is the Japanese Yen (“JPY”). The Company’s expenses and costs are denominated mainly in USD, JPY, New Israeli Shekels (“NIS”) and Euro, revenue is denominated mainly in USD and JPY, and the cash from operations, investing and financing activities are denominated mainly in USD, JPY and NIS. Therefore, the Company is exposed to the risk of currency exchange rate fluctuations in Japan, Israel and Italy.</w:t>
      </w:r>
    </w:p>
    <w:p>
      <w:pPr>
        <w:spacing w:after="0" w:line="16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color w:val="auto"/>
        </w:rPr>
        <w:t>The majority of TPSCo’s revenue is denominated in JPY and the majority of TPSCo’s expenses and costs are denominated in JPY, which limits the exposure to fluctuations of the USD-to-JPY exchange rate on TPSCo’s results of operations. In order to mitigate a portion of the net exposure to the USD-to-JPY exchange rate, the Company has engaged in cylinder hedging transactions to contain the currency’s fluctuation within a pre-defined fixed range.</w:t>
      </w:r>
    </w:p>
    <w:p>
      <w:pPr>
        <w:spacing w:after="0" w:line="1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During the year ended December 31, 2025, the USD appreciated against the JPY by 0.01%, as compared to 10.7% appreciation during the year ended December 31, 2024. The net effect of USD appreciation against the JPY on TPSCo’s assets and liabilities denominated in JPY is presented in the Cumulative Translation Adjustment as part of Other Comprehensive Income on the balance sheet.</w:t>
      </w:r>
    </w:p>
    <w:p>
      <w:pPr>
        <w:spacing w:after="0" w:line="16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color w:val="auto"/>
        </w:rPr>
        <w:t>The USD cost of the Company’s operations in Israel is influenced by changes in the USD-to-NIS exchange rate, with respect to expenses and costs that are denominated in NIS. During the year ended December 31, 2025, the USD depreciated against the NIS by 12.5%, as compared to 0.6% appreciation during the year ended December 31, 2024.</w:t>
      </w:r>
    </w:p>
    <w:p>
      <w:pPr>
        <w:spacing w:after="0" w:line="156"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color w:val="auto"/>
        </w:rPr>
        <w:t>The fluctuation of the USD against the NIS may affect the Company’s results of operations as it relates to the entity in Israel. Appreciation of the NIS may increase cost, in USD terms, of the Israeli facility such as utilities, taxes and labor costs that are denominated in NIS, which may lead to erosion of profit margins. The Company uses foreign currency cylinder and forward transactions to hedge a portion of this currency exposure to be contained within a pre-defined fixed range.</w:t>
      </w:r>
    </w:p>
    <w:p>
      <w:pPr>
        <w:spacing w:after="0" w:line="17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color w:val="auto"/>
        </w:rPr>
        <w:t>The USD cost of the Company’s operations in Italy is influenced by changes in the USD-to-Euro exchange rate, with respect to expenses and costs that are denominated in Euro, however the amount of cost denominated in Euro is immaterial, and therefore the Company exposure to Euro fluctuations is limited. During the year ended December 31, 2025, the USD appreciated against the Euro by 12.8%, as compared to 5.9% depreciation during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31"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color w:val="auto"/>
        </w:rPr>
        <w:t>As of December 31, 2025, the Company had an aggregate amount of $235.4 million in cash and cash equivalents, as compared to $271.9 million as of December 31, 2024. The main cash items during the year ended December 31, 2025 were as follows: $395.5 million net cash provided by operating activities; $444.4 million invested in property and equipment, net; $38.5 million received from sales of short-term deposits, net; and $33.4 million net cash used in financing activities.</w:t>
      </w:r>
    </w:p>
    <w:p>
      <w:pPr>
        <w:spacing w:after="0" w:line="162"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color w:val="auto"/>
        </w:rPr>
        <w:t>Short-term and long-term debt presented in the balance sheet as of December 31, 2025 amounted to $28.1 million and $133.4 million, respectively, and included loans, operating leases and capital leases.</w:t>
      </w:r>
    </w:p>
    <w:p>
      <w:pPr>
        <w:spacing w:after="0" w:line="14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71120</wp:posOffset>
            </wp:positionV>
            <wp:extent cx="714629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155575</wp:posOffset>
            </wp:positionV>
            <wp:extent cx="7146290" cy="31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6290" cy="31115"/>
                    </a:xfrm>
                    <a:prstGeom prst="rect">
                      <a:avLst/>
                    </a:prstGeom>
                    <a:noFill/>
                  </pic:spPr>
                </pic:pic>
              </a:graphicData>
            </a:graphic>
          </wp:anchor>
        </w:drawing>
      </w:r>
    </w:p>
    <w:p>
      <w:pPr>
        <w:sectPr>
          <w:pgSz w:w="11900" w:h="16838" w:orient="portrait"/>
          <w:cols w:equalWidth="0" w:num="1">
            <w:col w:w="10680"/>
          </w:cols>
          <w:pgMar w:left="900" w:top="121" w:right="3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11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6290" cy="31115"/>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196850</wp:posOffset>
            </wp:positionV>
            <wp:extent cx="714629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6290" cy="7620"/>
                    </a:xfrm>
                    <a:prstGeom prst="rect">
                      <a:avLst/>
                    </a:prstGeom>
                    <a:noFill/>
                  </pic:spPr>
                </pic:pic>
              </a:graphicData>
            </a:graphic>
          </wp:anchor>
        </w:drawing>
        <w:t>Exhibit 99.3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217" w:lineRule="exact"/>
        <w:rPr>
          <w:sz w:val="20"/>
          <w:szCs w:val="20"/>
          <w:color w:val="auto"/>
        </w:rPr>
      </w:pPr>
    </w:p>
    <w:p>
      <w:pPr>
        <w:ind w:right="380"/>
        <w:spacing w:after="0" w:line="303"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 Nos. 333-204173 and 333-277536 on Form S-8 of our report dated March 2, 2026 relating to the consolidated financial statements of Tower Semiconductor Ltd appearing in this Report on Form 6-K of Tower Semiconductor Ltd filed on March 2, 2026.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Brightman Almagor Zohar &amp; Co.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Brightman Almagor Zohar &amp; Co.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Certified Public Accountants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Firm in the Deloitte Global Network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 Aviv, Israel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191770</wp:posOffset>
            </wp:positionV>
            <wp:extent cx="714629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276860</wp:posOffset>
            </wp:positionV>
            <wp:extent cx="7146290" cy="311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6290" cy="31115"/>
                    </a:xfrm>
                    <a:prstGeom prst="rect">
                      <a:avLst/>
                    </a:prstGeom>
                    <a:noFill/>
                  </pic:spPr>
                </pic:pic>
              </a:graphicData>
            </a:graphic>
          </wp:anchor>
        </w:drawing>
      </w:r>
    </w:p>
    <w:sectPr>
      <w:pgSz w:w="11900" w:h="16838" w:orient="portrait"/>
      <w:cols w:equalWidth="0" w:num="1">
        <w:col w:w="11260"/>
      </w:cols>
      <w:pgMar w:left="320" w:top="38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lvl w:ilvl="1">
      <w:lvlJc w:val="left"/>
      <w:lvlText w:val="•"/>
      <w:numFmt w:val="bullet"/>
      <w:start w:val="1"/>
    </w:lvl>
  </w:abstractNum>
  <w:abstractNum w:abstractNumId="1">
    <w:nsid w:val="4353D0CD"/>
    <w:multiLevelType w:val="hybridMultilevel"/>
    <w:lvl w:ilvl="0">
      <w:lvlJc w:val="left"/>
      <w:lvlText w:val="%1"/>
      <w:numFmt w:val="decimal"/>
      <w:start w:val="90"/>
    </w:lvl>
  </w:abstractNum>
  <w:abstractNum w:abstractNumId="2">
    <w:nsid w:val="B03E0C6"/>
    <w:multiLevelType w:val="hybridMultilevel"/>
    <w:lvl w:ilvl="0">
      <w:lvlJc w:val="left"/>
      <w:lvlText w:val="%1."/>
      <w:numFmt w:val="upperLetter"/>
      <w:start w:val="1"/>
    </w:lvl>
  </w:abstractNum>
  <w:abstractNum w:abstractNumId="3">
    <w:nsid w:val="189A769B"/>
    <w:multiLevelType w:val="hybridMultilevel"/>
    <w:lvl w:ilvl="0">
      <w:lvlJc w:val="left"/>
      <w:lvlText w:val="%1."/>
      <w:numFmt w:val="upperLetter"/>
      <w:start w:val="8"/>
    </w:lvl>
    <w:lvl w:ilvl="1">
      <w:lvlJc w:val="left"/>
      <w:lvlText w:val="•"/>
      <w:numFmt w:val="bullet"/>
      <w:start w:val="1"/>
    </w:lvl>
  </w:abstractNum>
  <w:abstractNum w:abstractNumId="4">
    <w:nsid w:val="54E49EB4"/>
    <w:multiLevelType w:val="hybridMultilevel"/>
    <w:lvl w:ilvl="0">
      <w:lvlJc w:val="left"/>
      <w:lvlText w:val="%1."/>
      <w:numFmt w:val="upperLetter"/>
      <w:start w:val="11"/>
    </w:lvl>
  </w:abstractNum>
  <w:abstractNum w:abstractNumId="5">
    <w:nsid w:val="71F32454"/>
    <w:multiLevelType w:val="hybridMultilevel"/>
    <w:lvl w:ilvl="0">
      <w:lvlJc w:val="left"/>
      <w:lvlText w:val="%1."/>
      <w:numFmt w:val="upperLetter"/>
      <w:start w:val="13"/>
    </w:lvl>
  </w:abstractNum>
  <w:abstractNum w:abstractNumId="6">
    <w:nsid w:val="2CA88611"/>
    <w:multiLevelType w:val="hybridMultilevel"/>
    <w:lvl w:ilvl="0">
      <w:lvlJc w:val="left"/>
      <w:lvlText w:val="%1."/>
      <w:numFmt w:val="upperLetter"/>
      <w:start w:val="15"/>
    </w:lvl>
  </w:abstractNum>
  <w:abstractNum w:abstractNumId="7">
    <w:nsid w:val="836C40E"/>
    <w:multiLevelType w:val="hybridMultilevel"/>
    <w:lvl w:ilvl="0">
      <w:lvlJc w:val="left"/>
      <w:lvlText w:val="%1."/>
      <w:numFmt w:val="upperLetter"/>
      <w:start w:val="17"/>
    </w:lvl>
  </w:abstractNum>
  <w:abstractNum w:abstractNumId="8">
    <w:nsid w:val="2901D82"/>
    <w:multiLevelType w:val="hybridMultilevel"/>
    <w:lvl w:ilvl="0">
      <w:lvlJc w:val="left"/>
      <w:lvlText w:val="%1."/>
      <w:numFmt w:val="upperLetter"/>
      <w:start w:val="21"/>
    </w:lvl>
  </w:abstractNum>
  <w:abstractNum w:abstractNumId="9">
    <w:nsid w:val="3A95F874"/>
    <w:multiLevelType w:val="hybridMultilevel"/>
    <w:lvl w:ilvl="0">
      <w:lvlJc w:val="left"/>
      <w:lvlText w:val="%1."/>
      <w:numFmt w:val="upperLetter"/>
      <w:start w:val="22"/>
    </w:lvl>
  </w:abstractNum>
  <w:abstractNum w:abstractNumId="10">
    <w:nsid w:val="8138641"/>
    <w:multiLevelType w:val="hybridMultilevel"/>
    <w:lvl w:ilvl="0">
      <w:lvlJc w:val="left"/>
      <w:lvlText w:val="W"/>
      <w:numFmt w:val="bullet"/>
      <w:start w:val="1"/>
    </w:lvl>
  </w:abstractNum>
  <w:abstractNum w:abstractNumId="11">
    <w:nsid w:val="1E7FF521"/>
    <w:multiLevelType w:val="hybridMultilevel"/>
    <w:lvl w:ilvl="0">
      <w:lvlJc w:val="left"/>
      <w:lvlText w:val="%1."/>
      <w:numFmt w:val="upperLetter"/>
      <w:start w:val="24"/>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upperLetter"/>
      <w:start w:val="1"/>
    </w:lvl>
  </w:abstractNum>
  <w:abstractNum w:abstractNumId="14">
    <w:nsid w:val="6CEAF087"/>
    <w:multiLevelType w:val="hybridMultilevel"/>
    <w:lvl w:ilvl="0">
      <w:lvlJc w:val="left"/>
      <w:lvlText w:val="%1."/>
      <w:numFmt w:val="upperLetter"/>
      <w:start w:val="3"/>
    </w:lvl>
  </w:abstractNum>
  <w:abstractNum w:abstractNumId="15">
    <w:nsid w:val="22221A70"/>
    <w:multiLevelType w:val="hybridMultilevel"/>
    <w:lvl w:ilvl="0">
      <w:lvlJc w:val="left"/>
      <w:lvlText w:val="%1."/>
      <w:numFmt w:val="upperLetter"/>
      <w:start w:val="4"/>
    </w:lvl>
  </w:abstractNum>
  <w:abstractNum w:abstractNumId="16">
    <w:nsid w:val="4516DDE9"/>
    <w:multiLevelType w:val="hybridMultilevel"/>
    <w:lvl w:ilvl="0">
      <w:lvlJc w:val="left"/>
      <w:lvlText w:val="%1."/>
      <w:numFmt w:val="upperLetter"/>
      <w:start w:val="5"/>
    </w:lvl>
  </w:abstractNum>
  <w:abstractNum w:abstractNumId="17">
    <w:nsid w:val="3006C83E"/>
    <w:multiLevelType w:val="hybridMultilevel"/>
    <w:lvl w:ilvl="0">
      <w:lvlJc w:val="left"/>
      <w:lvlText w:val="%1."/>
      <w:numFmt w:val="upperLetter"/>
      <w:start w:val="1"/>
    </w:lvl>
  </w:abstractNum>
  <w:abstractNum w:abstractNumId="18">
    <w:nsid w:val="614FD4A1"/>
    <w:multiLevelType w:val="hybridMultilevel"/>
    <w:lvl w:ilvl="0">
      <w:lvlJc w:val="left"/>
      <w:lvlText w:val="%1."/>
      <w:numFmt w:val="upperLetter"/>
      <w:start w:val="2"/>
    </w:lvl>
  </w:abstractNum>
  <w:abstractNum w:abstractNumId="19">
    <w:nsid w:val="419AC241"/>
    <w:multiLevelType w:val="hybridMultilevel"/>
    <w:lvl w:ilvl="0">
      <w:lvlJc w:val="left"/>
      <w:lvlText w:val="%1."/>
      <w:numFmt w:val="upperLetter"/>
      <w:start w:val="4"/>
    </w:lvl>
  </w:abstractNum>
  <w:abstractNum w:abstractNumId="20">
    <w:nsid w:val="5577F8E1"/>
    <w:multiLevelType w:val="hybridMultilevel"/>
    <w:lvl w:ilvl="0">
      <w:lvlJc w:val="left"/>
      <w:lvlText w:val="%1."/>
      <w:numFmt w:val="upperLetter"/>
      <w:start w:val="5"/>
    </w:lvl>
  </w:abstractNum>
  <w:abstractNum w:abstractNumId="21">
    <w:nsid w:val="440BADFC"/>
    <w:multiLevelType w:val="hybridMultilevel"/>
    <w:lvl w:ilvl="0">
      <w:lvlJc w:val="left"/>
      <w:lvlText w:val="%1."/>
      <w:numFmt w:val="upperLetter"/>
      <w:start w:val="1"/>
    </w:lvl>
  </w:abstractNum>
  <w:abstractNum w:abstractNumId="22">
    <w:nsid w:val="5072367"/>
    <w:multiLevelType w:val="hybridMultilevel"/>
    <w:lvl w:ilvl="0">
      <w:lvlJc w:val="left"/>
      <w:lvlText w:val="%1."/>
      <w:numFmt w:val="upperLetter"/>
      <w:start w:val="2"/>
    </w:lvl>
  </w:abstractNum>
  <w:abstractNum w:abstractNumId="23">
    <w:nsid w:val="3804823E"/>
    <w:multiLevelType w:val="hybridMultilevel"/>
    <w:lvl w:ilvl="0">
      <w:lvlJc w:val="left"/>
      <w:lvlText w:val="%1."/>
      <w:numFmt w:val="upperLetter"/>
      <w:start w:val="2"/>
    </w:lvl>
  </w:abstractNum>
  <w:abstractNum w:abstractNumId="24">
    <w:nsid w:val="77465F01"/>
    <w:multiLevelType w:val="hybridMultilevel"/>
    <w:lvl w:ilvl="0">
      <w:lvlJc w:val="left"/>
      <w:lvlText w:val="%1."/>
      <w:numFmt w:val="upperLetter"/>
      <w:start w:val="1"/>
    </w:lvl>
    <w:lvl w:ilvl="1">
      <w:lvlJc w:val="left"/>
      <w:lvlText w:val="%2."/>
      <w:numFmt w:val="upperLetter"/>
      <w:start w:val="9"/>
    </w:lvl>
  </w:abstractNum>
  <w:abstractNum w:abstractNumId="25">
    <w:nsid w:val="7724C67E"/>
    <w:multiLevelType w:val="hybridMultilevel"/>
    <w:lvl w:ilvl="0">
      <w:lvlJc w:val="left"/>
      <w:lvlText w:val="%1."/>
      <w:numFmt w:val="upperLetter"/>
      <w:start w:val="35"/>
    </w:lvl>
  </w:abstractNum>
  <w:abstractNum w:abstractNumId="26">
    <w:nsid w:val="5C482A97"/>
    <w:multiLevelType w:val="hybridMultilevel"/>
    <w:lvl w:ilvl="0">
      <w:lvlJc w:val="left"/>
      <w:lvlText w:val="%1."/>
      <w:numFmt w:val="upperLetter"/>
      <w:start w:val="3"/>
    </w:lvl>
  </w:abstractNum>
  <w:abstractNum w:abstractNumId="27">
    <w:nsid w:val="2463B9EA"/>
    <w:multiLevelType w:val="hybridMultilevel"/>
    <w:lvl w:ilvl="0">
      <w:lvlJc w:val="left"/>
      <w:lvlText w:val="%1."/>
      <w:numFmt w:val="upperLetter"/>
      <w:start w:val="6"/>
    </w:lvl>
  </w:abstractNum>
  <w:abstractNum w:abstractNumId="28">
    <w:nsid w:val="5E884ADC"/>
    <w:multiLevelType w:val="hybridMultilevel"/>
    <w:lvl w:ilvl="0">
      <w:lvlJc w:val="left"/>
      <w:lvlText w:val="%1."/>
      <w:numFmt w:val="upperLetter"/>
      <w:start w:val="1"/>
    </w:lvl>
  </w:abstractNum>
  <w:abstractNum w:abstractNumId="29">
    <w:nsid w:val="51EAD36B"/>
    <w:multiLevelType w:val="hybridMultilevel"/>
    <w:lvl w:ilvl="0">
      <w:lvlJc w:val="left"/>
      <w:lvlText w:val="%1."/>
      <w:numFmt w:val="upperLetter"/>
      <w:start w:val="2"/>
    </w:lvl>
    <w:lvl w:ilvl="1">
      <w:lvlJc w:val="left"/>
      <w:lvlText w:val="(%2)"/>
      <w:numFmt w:val="decimal"/>
      <w:start w:val="1"/>
    </w:lvl>
  </w:abstractNum>
  <w:abstractNum w:abstractNumId="30">
    <w:nsid w:val="2D517796"/>
    <w:multiLevelType w:val="hybridMultilevel"/>
    <w:lvl w:ilvl="0">
      <w:lvlJc w:val="left"/>
      <w:lvlText w:val="(%1)"/>
      <w:numFmt w:val="lowerRoman"/>
      <w:start w:val="1"/>
    </w:lvl>
  </w:abstractNum>
  <w:abstractNum w:abstractNumId="31">
    <w:nsid w:val="580BD78F"/>
    <w:multiLevelType w:val="hybridMultilevel"/>
    <w:lvl w:ilvl="0">
      <w:lvlJc w:val="left"/>
      <w:lvlText w:val="(%1)"/>
      <w:numFmt w:val="lowerRoman"/>
      <w:start w:val="1"/>
    </w:lvl>
  </w:abstractNum>
  <w:abstractNum w:abstractNumId="32">
    <w:nsid w:val="153EA438"/>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33">
    <w:nsid w:val="3855585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34">
    <w:nsid w:val="70A64E2A"/>
    <w:multiLevelType w:val="hybridMultilevel"/>
    <w:lvl w:ilvl="0">
      <w:lvlJc w:val="left"/>
      <w:lvlText w:val="(*)"/>
      <w:numFmt w:val="bullet"/>
      <w:start w:val="1"/>
    </w:lvl>
    <w:lvl w:ilvl="1">
      <w:lvlJc w:val="left"/>
      <w:lvlText w:val="(%2)"/>
      <w:numFmt w:val="decimal"/>
      <w:start w:val="3"/>
    </w:lvl>
  </w:abstractNum>
  <w:abstractNum w:abstractNumId="35">
    <w:nsid w:val="6A2342EC"/>
    <w:multiLevelType w:val="hybridMultilevel"/>
    <w:lvl w:ilvl="0">
      <w:lvlJc w:val="left"/>
      <w:lvlText w:val="%1."/>
      <w:numFmt w:val="upperLetter"/>
      <w:start w:val="3"/>
    </w:lvl>
  </w:abstractNum>
  <w:abstractNum w:abstractNumId="36">
    <w:nsid w:val="2A487CB0"/>
    <w:multiLevelType w:val="hybridMultilevel"/>
    <w:lvl w:ilvl="0">
      <w:lvlJc w:val="left"/>
      <w:lvlText w:val="%1."/>
      <w:numFmt w:val="upperLetter"/>
      <w:start w:val="1"/>
    </w:lvl>
  </w:abstractNum>
  <w:abstractNum w:abstractNumId="37">
    <w:nsid w:val="1D4ED43B"/>
    <w:multiLevelType w:val="hybridMultilevel"/>
    <w:lvl w:ilvl="0">
      <w:lvlJc w:val="left"/>
      <w:lvlText w:val="%1."/>
      <w:numFmt w:val="upperLetter"/>
      <w:start w:val="2"/>
    </w:lvl>
  </w:abstractNum>
  <w:abstractNum w:abstractNumId="38">
    <w:nsid w:val="725A06FB"/>
    <w:multiLevelType w:val="hybridMultilevel"/>
    <w:lvl w:ilvl="0">
      <w:lvlJc w:val="left"/>
      <w:lvlText w:val="%1."/>
      <w:numFmt w:val="upperLetter"/>
      <w:start w:val="3"/>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upperLetter"/>
      <w:start w:val="5"/>
    </w:lvl>
    <w:lvl w:ilvl="1">
      <w:lvlJc w:val="left"/>
      <w:lvlText w:val="(%2)"/>
      <w:numFmt w:val="decimal"/>
      <w:start w:val="1"/>
    </w:lvl>
  </w:abstractNum>
  <w:abstractNum w:abstractNumId="41">
    <w:nsid w:val="7A6D8D3C"/>
    <w:multiLevelType w:val="hybridMultilevel"/>
    <w:lvl w:ilvl="0">
      <w:lvlJc w:val="left"/>
      <w:lvlText w:val="%1."/>
      <w:numFmt w:val="upperLetter"/>
      <w:start w:val="1"/>
    </w:lvl>
  </w:abstractNum>
  <w:abstractNum w:abstractNumId="42">
    <w:nsid w:val="4B588F54"/>
    <w:multiLevelType w:val="hybridMultilevel"/>
    <w:lvl w:ilvl="0">
      <w:lvlJc w:val="left"/>
      <w:lvlText w:val="%1."/>
      <w:numFmt w:val="upperLetter"/>
      <w:start w:val="2"/>
    </w:lvl>
  </w:abstractNum>
  <w:abstractNum w:abstractNumId="43">
    <w:nsid w:val="542289EC"/>
    <w:multiLevelType w:val="hybridMultilevel"/>
    <w:lvl w:ilvl="0">
      <w:lvlJc w:val="left"/>
      <w:lvlText w:val="%1."/>
      <w:numFmt w:val="upperLetter"/>
      <w:start w:val="1"/>
    </w:lvl>
  </w:abstractNum>
  <w:abstractNum w:abstractNumId="44">
    <w:nsid w:val="6DE91B18"/>
    <w:multiLevelType w:val="hybridMultilevel"/>
    <w:lvl w:ilvl="0">
      <w:lvlJc w:val="left"/>
      <w:lvlText w:val="%1."/>
      <w:numFmt w:val="upperLetter"/>
      <w:start w:val="1"/>
    </w:lvl>
  </w:abstractNum>
  <w:abstractNum w:abstractNumId="45">
    <w:nsid w:val="38437FDB"/>
    <w:multiLevelType w:val="hybridMultilevel"/>
    <w:lvl w:ilvl="0">
      <w:lvlJc w:val="left"/>
      <w:lvlText w:val="%1."/>
      <w:numFmt w:val="upperLetter"/>
      <w:start w:val="3"/>
    </w:lvl>
  </w:abstractNum>
  <w:abstractNum w:abstractNumId="46">
    <w:nsid w:val="7644A45C"/>
    <w:multiLevelType w:val="hybridMultilevel"/>
    <w:lvl w:ilvl="0">
      <w:lvlJc w:val="left"/>
      <w:lvlText w:val="%1."/>
      <w:numFmt w:val="upperLetter"/>
      <w:start w:val="4"/>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2026-03-02T15:18:39Z</dcterms:created>
  <dcterms:modified xsi:type="dcterms:W3CDTF">2026-03-02T15:18:39Z</dcterms:modified>
</cp:coreProperties>
</file>