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1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61"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 OF THE</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November 2023 No.1</w:t>
      </w: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000-24790</w:t>
      </w:r>
    </w:p>
    <w:p>
      <w:pPr>
        <w:spacing w:after="0" w:line="234"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2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23"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4" w:lineRule="exact"/>
        <w:rPr>
          <w:sz w:val="24"/>
          <w:szCs w:val="24"/>
          <w:color w:val="auto"/>
        </w:rPr>
      </w:pPr>
    </w:p>
    <w:p>
      <w:pPr>
        <w:ind w:left="444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51" w:right="1440" w:bottom="1440" w:gutter="0" w:footer="0" w:header="0"/>
        </w:sectPr>
      </w:pPr>
    </w:p>
    <w:bookmarkStart w:id="1" w:name="page2"/>
    <w:bookmarkEnd w:id="1"/>
    <w:p>
      <w:pPr>
        <w:ind w:firstLine="639"/>
        <w:spacing w:after="0" w:line="277" w:lineRule="auto"/>
        <w:rPr>
          <w:sz w:val="20"/>
          <w:szCs w:val="20"/>
          <w:color w:val="auto"/>
        </w:rPr>
      </w:pPr>
      <w:r>
        <w:rPr>
          <w:rFonts w:ascii="Arial" w:cs="Arial" w:eastAsia="Arial" w:hAnsi="Arial"/>
          <w:sz w:val="18"/>
          <w:szCs w:val="18"/>
          <w:color w:val="auto"/>
        </w:rPr>
        <w:t>On November 13, 2023, the Registrant issued a press release announcing its financial results for the nine months and the three months ended September 30, 2023. The press release is attached hereto as 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99.1Press release dated November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320" w:firstLine="63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3"/>
          </w:tcPr>
          <w:p>
            <w:pPr>
              <w:ind w:left="1860"/>
              <w:spacing w:after="0"/>
              <w:rPr>
                <w:sz w:val="20"/>
                <w:szCs w:val="20"/>
                <w:color w:val="auto"/>
              </w:rPr>
            </w:pPr>
            <w:r>
              <w:rPr>
                <w:rFonts w:ascii="Arial" w:cs="Arial" w:eastAsia="Arial" w:hAnsi="Arial"/>
                <w:sz w:val="18"/>
                <w:szCs w:val="18"/>
                <w:b w:val="1"/>
                <w:bCs w:val="1"/>
                <w:color w:val="auto"/>
              </w:rPr>
              <w:t>TOWER SEMICONDUCTOR LTD.</w:t>
            </w:r>
          </w:p>
        </w:tc>
      </w:tr>
      <w:tr>
        <w:trPr>
          <w:trHeight w:val="405"/>
        </w:trPr>
        <w:tc>
          <w:tcPr>
            <w:tcW w:w="3760" w:type="dxa"/>
            <w:vAlign w:val="bottom"/>
          </w:tcPr>
          <w:p>
            <w:pPr>
              <w:spacing w:after="0"/>
              <w:rPr>
                <w:sz w:val="20"/>
                <w:szCs w:val="20"/>
                <w:color w:val="auto"/>
              </w:rPr>
            </w:pPr>
            <w:r>
              <w:rPr>
                <w:rFonts w:ascii="Arial" w:cs="Arial" w:eastAsia="Arial" w:hAnsi="Arial"/>
                <w:sz w:val="18"/>
                <w:szCs w:val="18"/>
                <w:color w:val="auto"/>
              </w:rPr>
              <w:t>Date: November 13, 2023</w:t>
            </w:r>
          </w:p>
        </w:tc>
        <w:tc>
          <w:tcPr>
            <w:tcW w:w="7480" w:type="dxa"/>
            <w:vAlign w:val="bottom"/>
            <w:gridSpan w:val="3"/>
          </w:tcPr>
          <w:p>
            <w:pPr>
              <w:ind w:left="1860"/>
              <w:spacing w:after="0"/>
              <w:rPr>
                <w:sz w:val="20"/>
                <w:szCs w:val="20"/>
                <w:color w:val="auto"/>
              </w:rPr>
            </w:pPr>
            <w:r>
              <w:rPr>
                <w:rFonts w:ascii="Arial" w:cs="Arial" w:eastAsia="Arial" w:hAnsi="Arial"/>
                <w:sz w:val="18"/>
                <w:szCs w:val="18"/>
                <w:color w:val="auto"/>
              </w:rPr>
              <w:t>By: /s/ Nati Somekh</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49"/>
        </w:trPr>
        <w:tc>
          <w:tcPr>
            <w:tcW w:w="37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Name: Nati Somekh</w:t>
            </w:r>
          </w:p>
        </w:tc>
      </w:tr>
      <w:tr>
        <w:trPr>
          <w:trHeight w:val="230"/>
        </w:trPr>
        <w:tc>
          <w:tcPr>
            <w:tcW w:w="3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310"/>
        </w:trPr>
        <w:tc>
          <w:tcPr>
            <w:tcW w:w="37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r>
        <w:trPr>
          <w:trHeight w:val="163"/>
        </w:trPr>
        <w:tc>
          <w:tcPr>
            <w:tcW w:w="37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5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Tower Semiconductor Reports 2023 Third Quarter Financial Results</w:t>
      </w:r>
    </w:p>
    <w:p>
      <w:pPr>
        <w:spacing w:after="0" w:line="234"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 xml:space="preserve">MIGDAL HAEMEK, ISRAEL – November 13, 2023 – </w:t>
      </w:r>
      <w:r>
        <w:rPr>
          <w:rFonts w:ascii="Arial" w:cs="Arial" w:eastAsia="Arial" w:hAnsi="Arial"/>
          <w:sz w:val="18"/>
          <w:szCs w:val="18"/>
          <w:color w:val="auto"/>
        </w:rPr>
        <w:t>Tower Semiconductor (NASDAQ: TSEM &amp; TASE: TSEM) reports today its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56"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a capacity corridor agreement with Intel, enabling Tower additional high-volume 12-inch capacity.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quarter 2023 revenue of $358 million, as compared to $357 million for the second quarter of 2023.</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Profit for the third quarter of 2023 of $342 million, including $290 million net profit from the merger contract termination fee received from Intel.</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Mr. Russell Ellwanger, Chief Executive Officer of Tower Semiconductor</w:t>
      </w:r>
      <w:r>
        <w:rPr>
          <w:rFonts w:ascii="Arial" w:cs="Arial" w:eastAsia="Arial" w:hAnsi="Arial"/>
          <w:sz w:val="18"/>
          <w:szCs w:val="18"/>
          <w:color w:val="auto"/>
        </w:rPr>
        <w:t>,</w:t>
      </w:r>
      <w:r>
        <w:rPr>
          <w:rFonts w:ascii="Arial" w:cs="Arial" w:eastAsia="Arial" w:hAnsi="Arial"/>
          <w:sz w:val="18"/>
          <w:szCs w:val="18"/>
          <w:b w:val="1"/>
          <w:bCs w:val="1"/>
          <w:color w:val="auto"/>
        </w:rPr>
        <w:t xml:space="preserve"> stated</w:t>
      </w:r>
      <w:r>
        <w:rPr>
          <w:rFonts w:ascii="Arial" w:cs="Arial" w:eastAsia="Arial" w:hAnsi="Arial"/>
          <w:sz w:val="18"/>
          <w:szCs w:val="18"/>
          <w:color w:val="auto"/>
        </w:rPr>
        <w:t>: “This past period has been most significant putting in place (1) added</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capable to drive substantial revenue growth at accretive margins across the board; (2) additional premier end and direct customers in very high-capacity demand growth markets; and (3) with associated state-of-the-art advancements in critical technology platforms. We are and remain active and committed to creating sustainable value for all our stakeholders.”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Ellwanger further commented: “During this challenging time in Israel we have not missed a single customer commit, with strong activities in place to continue seamless operations. Thank you to all our employees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Third Quarter of 2023 Results Overview</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third quarter of 2023 was $358 million as compared with $357 million for the second quarter of 2023. Revenue for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2022 was $427 million.</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third quarter of 2023 was $87 million as compared with $87 million for the second quarter of 2023. Gross profit for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2022 was $125 million.</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As announced Tower and Intel have mutually agreed to terminate the merger agreement entered in February 2022. The merger termination fee was paid by Intel to Tower during the third quarter of 2023 and is presented in a separate line in the statement of operations for the third quarter of 2023, net of associated cost, in the amount of $314 million. The impact of this fee on net profit for the third quarter of 2023 is $290 million, net of taxes.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for the third quarter of 2023 was $362 million and included $314 million, net, from the Intel merger contract termination.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profit was $51 million in the second quarter of 2023 and $79 million in the third quarter of 2022.</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Net profit </w:t>
      </w:r>
      <w:r>
        <w:rPr>
          <w:rFonts w:ascii="Arial" w:cs="Arial" w:eastAsia="Arial" w:hAnsi="Arial"/>
          <w:sz w:val="18"/>
          <w:szCs w:val="18"/>
          <w:color w:val="auto"/>
        </w:rPr>
        <w:t>for the third quarter of 2023 was $342 million, or $3.10 basic and $3.07 diluted earnings per share, and included $290 million, net 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by Intel of merger contract termination fees. Net profit for the second quarter of 2023 was $51 million, or $0.46 basic and diluted earnings per share. Net profit in the third quarter of 2022 was $69 million, or $0.63 basic and $0.62 diluted earnings per share.</w:t>
      </w:r>
    </w:p>
    <w:p>
      <w:pPr>
        <w:spacing w:after="0" w:line="182" w:lineRule="exact"/>
        <w:rPr>
          <w:sz w:val="20"/>
          <w:szCs w:val="20"/>
          <w:color w:val="auto"/>
        </w:rPr>
      </w:pPr>
    </w:p>
    <w:p>
      <w:pPr>
        <w:jc w:val="both"/>
        <w:ind w:right="180"/>
        <w:spacing w:after="0" w:line="274" w:lineRule="auto"/>
        <w:rPr>
          <w:sz w:val="20"/>
          <w:szCs w:val="20"/>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generated from operating activities in the third quarter of 2023 was $402 million and included net cash proceeds received from Intel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contract termination, as compared with $75 million in the second quarter of 2023. Investments in equipment and other fixed assets were $101 million, net, for the third quarter of 2023 as compared with $89 million in the second quarter of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guides revenue for the fourth quarter of 2023 to be $350 million, with an upward or downward range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Teleconference and Webcast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Tower Semiconductor will host an investor conference call today, Monday, November 13, 2023, at 10:00 a.m. Eastern time (9:00 a.m. Central time, 8:00 a.m. Mountain time, 7:00 a.m. Pacific time and 5:00 p.m. Israel time) to discuss the company’s financial results for the third quarter of 2023 and its outlook.</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This call will be webcast and can be accessed via Tower Semiconductor’s website at </w:t>
      </w:r>
      <w:r>
        <w:rPr>
          <w:rFonts w:ascii="Arial" w:cs="Arial" w:eastAsia="Arial" w:hAnsi="Arial"/>
          <w:sz w:val="18"/>
          <w:szCs w:val="18"/>
          <w:u w:val="single" w:color="auto"/>
          <w:color w:val="0000FF"/>
        </w:rPr>
        <w:t>www.towersemi.com</w:t>
      </w:r>
      <w:r>
        <w:rPr>
          <w:rFonts w:ascii="Arial" w:cs="Arial" w:eastAsia="Arial" w:hAnsi="Arial"/>
          <w:sz w:val="18"/>
          <w:szCs w:val="18"/>
          <w:color w:val="auto"/>
        </w:rPr>
        <w:t xml:space="preserve"> or by calling 1-888-642-5032 (U.S. Toll-Free), 03-918-0610 (Israel), +972-3-918-0610 (International). For those who are not available to listen to the live broadcast, the call will be archived on Tower Semiconductor’s website for 90 days.</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 xml:space="preserve">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may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as included in our operating costs and expenses, (2) compensation expenses in respect of equity grants to directors, officers, and employees as included in our operating costs and expenses, (3) merger contract termination fees received from Intel, net of associated cost and taxes following the previously announced Intel contract termination as included in net profit, and (4) restructuring income, net, which includes income, net of cost and taxes associated with the cessation of operations of the Arai manufacturing factory in Japan which occurred during </w:t>
      </w:r>
      <w:r>
        <w:rPr>
          <w:rFonts w:ascii="Arial" w:cs="Arial" w:eastAsia="Arial" w:hAnsi="Arial"/>
          <w:sz w:val="16"/>
          <w:szCs w:val="16"/>
          <w:color w:val="auto"/>
        </w:rPr>
        <w:t>2022</w:t>
      </w:r>
      <w:r>
        <w:rPr>
          <w:rFonts w:ascii="Arial" w:cs="Arial" w:eastAsia="Arial" w:hAnsi="Arial"/>
          <w:sz w:val="16"/>
          <w:szCs w:val="16"/>
          <w:i w:val="1"/>
          <w:iCs w:val="1"/>
          <w:color w:val="auto"/>
        </w:rPr>
        <w:t xml:space="preserve"> as included in net profit. These adjusted financial measures should be evaluated in conjunction with, and are not a substitute for, GAAP financial measures. The tables may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may be included and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w:t>
      </w:r>
    </w:p>
    <w:p>
      <w:pPr>
        <w:spacing w:after="0" w:line="10" w:lineRule="exact"/>
        <w:rPr>
          <w:sz w:val="20"/>
          <w:szCs w:val="20"/>
          <w:color w:val="auto"/>
        </w:rPr>
      </w:pPr>
    </w:p>
    <w:p>
      <w:pPr>
        <w:jc w:val="both"/>
        <w:ind w:firstLine="8"/>
        <w:spacing w:after="0" w:line="296" w:lineRule="auto"/>
        <w:tabs>
          <w:tab w:leader="none" w:pos="33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amortization of acquired intangible assets, (iv) merger contract termination fees received from Intel, net of associated cost following the previously announced Intel contract termination, as included in operating profit and (v) restructuring income, net in relation to the Arai manufacturing factory in Japan, as included in operating profit. EBITDA is reconciled in the tables below and/or in prior earnings-related filings and/ or in related public disclosures or filings with respect to the financial statements and/ or results of the Company from GAAP operating profit. EBITDA and the adjusted financial information presented herein and/ or prior earnings-related filings and/ or in related public disclosures or filings with respect to the financial statements and/ or results of the Company, are not a required GAAP financial measure and may not be comparable to a similarly titled measure employed by other companies. EBITDA and the adjusted financial information presented herein and/ or prior earnings-related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$402 million, $75 million and $122 million for the three months periods ended September 30, 2023, June 30, 2023 and September 30, 2022, respectively</w:t>
      </w:r>
      <w:r>
        <w:rPr>
          <w:rFonts w:ascii="Arial" w:cs="Arial" w:eastAsia="Arial" w:hAnsi="Arial"/>
          <w:sz w:val="16"/>
          <w:szCs w:val="16"/>
          <w:color w:val="auto"/>
        </w:rPr>
        <w:t>(</w:t>
      </w:r>
      <w:r>
        <w:rPr>
          <w:rFonts w:ascii="Arial" w:cs="Arial" w:eastAsia="Arial" w:hAnsi="Arial"/>
          <w:sz w:val="16"/>
          <w:szCs w:val="16"/>
          <w:i w:val="1"/>
          <w:iCs w:val="1"/>
          <w:color w:val="auto"/>
        </w:rPr>
        <w:t xml:space="preserve"> less cash used for investments in property and equipment, net (in the amounts of $101 million, $89 million and $45 million for the three months periods ended September 30, 2023, June 30, 2023 and September 30, 2022,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Tower Semiconductor</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by STMicroelectronics.</w:t>
      </w:r>
      <w:r>
        <w:rPr>
          <w:sz w:val="1"/>
          <w:szCs w:val="1"/>
          <w:color w:val="auto"/>
        </w:rPr>
        <w:drawing>
          <wp:inline distT="0" distB="0" distL="0" distR="0">
            <wp:extent cx="3429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 xml:space="preserve">For more information, please visit: </w:t>
      </w:r>
      <w:r>
        <w:rPr>
          <w:rFonts w:ascii="Arial" w:cs="Arial" w:eastAsia="Arial" w:hAnsi="Arial"/>
          <w:sz w:val="17"/>
          <w:szCs w:val="17"/>
          <w:u w:val="single" w:color="auto"/>
          <w:color w:val="auto"/>
        </w:rPr>
        <w:t>www.towersemi.com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Noit Levy | Investor Relations | +972 74 737 7556 | </w:t>
      </w:r>
      <w:r>
        <w:rPr>
          <w:rFonts w:ascii="Arial" w:cs="Arial" w:eastAsia="Arial" w:hAnsi="Arial"/>
          <w:sz w:val="18"/>
          <w:szCs w:val="18"/>
          <w:u w:val="single" w:color="auto"/>
          <w:color w:val="auto"/>
        </w:rPr>
        <w:t>noitle@towersemi.com</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and investments and purchases of equipment and other fixed assets associated with the capacity corridor transaction with Intel as announced in September 2023, in addition to other previously announced capacity expansion plans,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in order to enable us to maintain our profitability , (xxii) the purchase of equipment to increase capacity, the timely completion of the equipment installation, technology transfer and raising the funds therefor,</w:t>
      </w:r>
    </w:p>
    <w:p>
      <w:pPr>
        <w:spacing w:after="0" w:line="9" w:lineRule="exact"/>
        <w:rPr>
          <w:sz w:val="20"/>
          <w:szCs w:val="20"/>
          <w:color w:val="auto"/>
        </w:rPr>
      </w:pPr>
    </w:p>
    <w:p>
      <w:pPr>
        <w:jc w:val="both"/>
        <w:ind w:firstLine="8"/>
        <w:spacing w:after="0" w:line="295" w:lineRule="auto"/>
        <w:tabs>
          <w:tab w:leader="none" w:pos="51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and the capacity corridor transaction with Intel as announced in September 2023, such as their qualification schedule, technology, equipment and process qualification and production facility ramp-up, customer engagements, cost structure and investment amounts and other terms, which may require additional funding to cover their significant capacity investment needs and other payments, the availability of which funding cannot be assured on favorable terms, if at all, (xxxvi) potential impact, in addition to the aforementioned restructuring costs and future additional such costs, incurred by TPSCo and the Company due to the purchase in 2020 of 49% of TPSCo by NTCJ (previously named PSCS) from Panasonic and due to the cessation of operations of Arai manufacturing factory in Japan, which manufactured products solely for NTCJ through June 2022 and did not serve Tower’s or TPSCo’s foundry customers, (xxxvii) industry and market impact due to pandemics and potential impact on our business, operational continuity, supply chain, revenue and profitability, (xxxviii) potential security, cyber and privacy breaches, and (xxxix), business interruption due to fire, earthquake and other natural disasters, the security situation in Israel, global trade “war”, pandemics, the current war in Israel, including potential inability to continue uninterrupted operations of the Israeli fabs, impact on global supply chain to and from the Israeli fabs, power interruptions, chemicals or other leaks or damages as a result of the war, absence of workforce due to military service and other events beyond our control.</w:t>
      </w:r>
    </w:p>
    <w:p>
      <w:pPr>
        <w:spacing w:after="0" w:line="19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5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  #</w:t>
      </w:r>
    </w:p>
    <w:p>
      <w:pPr>
        <w:sectPr>
          <w:pgSz w:w="11900" w:h="16838" w:orient="portrait"/>
          <w:cols w:equalWidth="0" w:num="1">
            <w:col w:w="11240"/>
          </w:cols>
          <w:pgMar w:left="320" w:top="351" w:right="339" w:bottom="0" w:gutter="0" w:footer="0" w:header="0"/>
        </w:sect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7"/>
          <w:szCs w:val="17"/>
          <w:i w:val="1"/>
          <w:iCs w:val="1"/>
          <w:color w:val="auto"/>
        </w:rPr>
        <w:t>(Financial tables follow)</w:t>
      </w:r>
    </w:p>
    <w:p>
      <w:pPr>
        <w:sectPr>
          <w:pgSz w:w="11900" w:h="16838" w:orient="portrait"/>
          <w:cols w:equalWidth="0" w:num="1">
            <w:col w:w="11240"/>
          </w:cols>
          <w:pgMar w:left="320" w:top="351" w:right="3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2"/>
                <w:szCs w:val="2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314,816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318,195</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340,759</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735,382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419,528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495,359</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179,381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175,872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169,694</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150,162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163,293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152,935</w:t>
            </w: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304,245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330,819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302,108</w:t>
            </w:r>
          </w:p>
        </w:tc>
      </w:tr>
      <w:tr>
        <w:trPr>
          <w:trHeight w:val="237"/>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33,453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32,396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34,319</w:t>
            </w:r>
          </w:p>
        </w:tc>
      </w:tr>
      <w:tr>
        <w:trPr>
          <w:trHeight w:val="229"/>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1,717,439</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87"/>
              </w:rPr>
              <w:t>1,440,103</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1,495,174</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1,062,456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1,018,636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962,258</w:t>
            </w: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 AND OTHER INTANGIBLE ASSETS,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12,557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14,031</w:t>
            </w: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DEFERRED TAX AND OTHER LONG-TERM ASSETS,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43,342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62,288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76,145</w:t>
            </w:r>
          </w:p>
        </w:tc>
      </w:tr>
      <w:tr>
        <w:trPr>
          <w:trHeight w:val="270"/>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2,835,794</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87"/>
              </w:rPr>
              <w:t>2,534,076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2,547,608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47,671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41,300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62,275</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106,362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154,507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150,930</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23,745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38,911</w:t>
            </w: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80,392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83,631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135,272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258,170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301,840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387,388</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179,901</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178,865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210,069</w:t>
            </w: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30,285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31,209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40,893</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AND OTHER LONG-TERM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486,982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522,971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659,067</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2,348,812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2,011,105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1,888,541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2,835,794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2,534,076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2,547,608</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 w:name="page10"/>
    <w:bookmarkEnd w:id="9"/>
    <w:p>
      <w:pPr>
        <w:jc w:val="center"/>
        <w:spacing w:after="0" w:line="281"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358,167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357,191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427,087</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271,299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270,674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302,576</w:t>
            </w:r>
          </w:p>
        </w:tc>
      </w:tr>
      <w:tr>
        <w:trPr>
          <w:trHeight w:val="23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86,868</w:t>
            </w: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86,517</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124,511</w:t>
            </w:r>
          </w:p>
        </w:tc>
        <w:tc>
          <w:tcPr>
            <w:tcW w:w="100" w:type="dxa"/>
            <w:vAlign w:val="bottom"/>
            <w:shd w:val="clear" w:color="auto" w:fill="CCEEFF"/>
          </w:tcPr>
          <w:p>
            <w:pPr>
              <w:spacing w:after="0"/>
              <w:rPr>
                <w:sz w:val="20"/>
                <w:szCs w:val="20"/>
                <w:color w:val="auto"/>
              </w:rPr>
            </w:pPr>
          </w:p>
        </w:tc>
      </w:tr>
      <w:tr>
        <w:trPr>
          <w:trHeight w:val="230"/>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20,176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22,406</w:t>
            </w: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18,037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17,387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18,864</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Restructuring cost (income, net) *</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4,033</w:t>
            </w:r>
          </w:p>
        </w:tc>
      </w:tr>
      <w:tr>
        <w:trPr>
          <w:trHeight w:val="237"/>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Merger-contract termination fee, net **</w:t>
            </w:r>
          </w:p>
        </w:tc>
        <w:tc>
          <w:tcPr>
            <w:tcW w:w="24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(313,501)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(275,288)</w:t>
            </w:r>
          </w:p>
        </w:tc>
        <w:tc>
          <w:tcPr>
            <w:tcW w:w="240" w:type="dxa"/>
            <w:vAlign w:val="bottom"/>
            <w:tcBorders>
              <w:bottom w:val="single" w:sz="8" w:color="CCEEFF"/>
            </w:tcBorders>
            <w:gridSpan w:val="2"/>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35,988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45,303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362,156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50,529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79,208</w:t>
            </w: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(9,351)</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372,131</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54,453</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69,857</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(34,394)</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(5,747)</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(3,175)</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337,737</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48,706</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66,682</w:t>
            </w:r>
          </w:p>
        </w:tc>
        <w:tc>
          <w:tcPr>
            <w:tcW w:w="100" w:type="dxa"/>
            <w:vAlign w:val="bottom"/>
            <w:shd w:val="clear" w:color="auto" w:fill="CCEEFF"/>
          </w:tcPr>
          <w:p>
            <w:pPr>
              <w:spacing w:after="0"/>
              <w:rPr>
                <w:sz w:val="19"/>
                <w:szCs w:val="19"/>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2,484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2,453</w:t>
            </w:r>
          </w:p>
        </w:tc>
      </w:tr>
      <w:tr>
        <w:trPr>
          <w:trHeight w:val="270"/>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342,055</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51,190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69,135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3.10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110,302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110,088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109,416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3.07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111,242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110,825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340" w:firstLine="8"/>
        <w:spacing w:after="0" w:line="329"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cost (income, net) resulted from the previously disclosed reorganization and restructure of our Japan operations during 2022. ** Merger-contract termination fee received from Intel during the third quarter of 2023, net of associated cost.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342,055</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51,190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69,135</w:t>
            </w: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Amortization of stock based compensation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7,898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6,923</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6,526</w:t>
            </w: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3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509</w:t>
            </w: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Restructuring cost (income, net) ***</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1,910</w:t>
            </w: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Merger-contract termination fee, net ****</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(289,988)</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73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60,456</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58,354</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78,080</w:t>
            </w:r>
          </w:p>
        </w:tc>
      </w:tr>
      <w:tr>
        <w:trPr>
          <w:trHeight w:val="20"/>
        </w:trPr>
        <w:tc>
          <w:tcPr>
            <w:tcW w:w="7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30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0.55</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0.53</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0.71</w:t>
            </w:r>
          </w:p>
        </w:tc>
      </w:tr>
      <w:tr>
        <w:trPr>
          <w:trHeight w:val="20"/>
        </w:trPr>
        <w:tc>
          <w:tcPr>
            <w:tcW w:w="7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0.54</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200" w:firstLine="8"/>
        <w:spacing w:after="0" w:line="268" w:lineRule="auto"/>
        <w:tabs>
          <w:tab w:leader="none" w:pos="3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 (income, net) resulted from the previously disclosed reorganization and restructure of our Japan operations during 2022, net of taxes.</w:t>
      </w:r>
    </w:p>
    <w:p>
      <w:pPr>
        <w:spacing w:after="0" w:line="1" w:lineRule="exact"/>
        <w:rPr>
          <w:rFonts w:ascii="Arial" w:cs="Arial" w:eastAsia="Arial" w:hAnsi="Arial"/>
          <w:sz w:val="18"/>
          <w:szCs w:val="18"/>
          <w:b w:val="1"/>
          <w:bCs w:val="1"/>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line="281"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1,070,969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1,274,387</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801,867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932,805</w:t>
            </w:r>
          </w:p>
        </w:tc>
      </w:tr>
      <w:tr>
        <w:trPr>
          <w:trHeight w:val="237"/>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269,102</w:t>
            </w:r>
          </w:p>
        </w:tc>
        <w:tc>
          <w:tcPr>
            <w:tcW w:w="2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341,582</w:t>
            </w:r>
          </w:p>
        </w:tc>
        <w:tc>
          <w:tcPr>
            <w:tcW w:w="100" w:type="dxa"/>
            <w:vAlign w:val="bottom"/>
            <w:shd w:val="clear" w:color="auto" w:fill="CCEEFF"/>
          </w:tcPr>
          <w:p>
            <w:pPr>
              <w:spacing w:after="0"/>
              <w:rPr>
                <w:sz w:val="20"/>
                <w:szCs w:val="20"/>
                <w:color w:val="auto"/>
              </w:rPr>
            </w:pPr>
          </w:p>
        </w:tc>
      </w:tr>
      <w:tr>
        <w:trPr>
          <w:trHeight w:val="22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58,959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63,205</w:t>
            </w:r>
          </w:p>
        </w:tc>
      </w:tr>
      <w:tr>
        <w:trPr>
          <w:trHeight w:val="229"/>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54,053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61,402</w:t>
            </w: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Restructuring cost (income, net) *</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(32,506)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4,033</w:t>
            </w:r>
          </w:p>
        </w:tc>
      </w:tr>
      <w:tr>
        <w:trPr>
          <w:trHeight w:val="23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Merger-contract termination fee, net **</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(313,501)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(232,995)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128,640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502,097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212,942</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20,896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(19,646)</w:t>
            </w:r>
          </w:p>
        </w:tc>
      </w:tr>
      <w:tr>
        <w:trPr>
          <w:trHeight w:val="229"/>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522,993</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193,296</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(55,182)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(12,667)</w:t>
            </w:r>
          </w:p>
        </w:tc>
      </w:tr>
      <w:tr>
        <w:trPr>
          <w:trHeight w:val="230"/>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467,811</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180,629</w:t>
            </w:r>
          </w:p>
        </w:tc>
        <w:tc>
          <w:tcPr>
            <w:tcW w:w="100" w:type="dxa"/>
            <w:vAlign w:val="bottom"/>
            <w:tcBorders>
              <w:top w:val="single" w:sz="8" w:color="CCEEFF"/>
            </w:tcBorders>
          </w:tcPr>
          <w:p>
            <w:pPr>
              <w:spacing w:after="0"/>
              <w:rPr>
                <w:sz w:val="19"/>
                <w:szCs w:val="19"/>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(3,164)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w:t>
            </w:r>
          </w:p>
        </w:tc>
      </w:tr>
      <w:tr>
        <w:trPr>
          <w:trHeight w:val="230"/>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464,647</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181,245</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110,118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109,165</w:t>
            </w:r>
          </w:p>
        </w:tc>
        <w:tc>
          <w:tcPr>
            <w:tcW w:w="10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111,184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110,691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8"/>
        <w:spacing w:after="0" w:line="329" w:lineRule="auto"/>
        <w:tabs>
          <w:tab w:leader="none" w:pos="13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cost (income, net) resulted from the previously disclosed reorganization and restructure of our Japan operations during 2022. ** Merger-contract termination fee received from Intel during the third quarter of 2023, net of associated cost.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NET PROFIT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464,647</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181,245</w:t>
            </w: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Amortization of stock based compensation</w:t>
            </w:r>
          </w:p>
        </w:tc>
        <w:tc>
          <w:tcPr>
            <w:tcW w:w="2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21,269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17,784</w:t>
            </w: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1,481</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1,523</w:t>
            </w: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Restructuring cost (income, net) ***</w:t>
            </w:r>
          </w:p>
        </w:tc>
        <w:tc>
          <w:tcPr>
            <w:tcW w:w="28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(11,224)</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1,910</w:t>
            </w:r>
          </w:p>
        </w:tc>
      </w:tr>
      <w:tr>
        <w:trPr>
          <w:trHeight w:val="23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Merger-contract termination fee, net ****</w:t>
            </w:r>
          </w:p>
        </w:tc>
        <w:tc>
          <w:tcPr>
            <w:tcW w:w="2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(289,988)</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ADJUSTED NET PROFIT</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186,185</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202,462</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EARNINGS PER SHARE: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Basic</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w:t>
            </w:r>
          </w:p>
        </w:tc>
      </w:tr>
      <w:tr>
        <w:trPr>
          <w:trHeight w:val="20"/>
        </w:trPr>
        <w:tc>
          <w:tcPr>
            <w:tcW w:w="8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160" w:firstLine="8"/>
        <w:spacing w:after="0" w:line="268" w:lineRule="auto"/>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cost (income, net) resulted from the previously disclosed reorganization and restructure of our Japan operations during 2022, net of taxes.</w:t>
      </w:r>
    </w:p>
    <w:p>
      <w:pPr>
        <w:spacing w:after="0" w:line="1" w:lineRule="exact"/>
        <w:rPr>
          <w:rFonts w:ascii="Arial" w:cs="Arial" w:eastAsia="Arial" w:hAnsi="Arial"/>
          <w:sz w:val="18"/>
          <w:szCs w:val="18"/>
          <w:b w:val="1"/>
          <w:bCs w:val="1"/>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318,195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304,934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211,177</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operating activities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402,242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75,494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122,402</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(101,080)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(89,433)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(45,134)</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received (repaid) and others, net</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15,493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(10,093)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(28,164)</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Proceeds from an investment in a subsidiary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5,469</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(1,537)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(5,322)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(4,638)</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(318,497)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42,615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129,257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314,816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318,195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390,369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8"/>
        <w:spacing w:after="0" w:line="297" w:lineRule="auto"/>
        <w:tabs>
          <w:tab w:leader="none" w:pos="13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Merger-contract termination fee received from Intel during the third quarter of 2023, net of cost, in the amount of $313,501 was included within the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ind w:left="340" w:right="2280"/>
        <w:spacing w:after="0" w:line="281"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337,737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48,706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66,682</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66,877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63,579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74,958</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Effect of exchange rate differences and fair value adjustment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w:t>
            </w:r>
          </w:p>
        </w:tc>
      </w:tr>
      <w:tr>
        <w:trPr>
          <w:trHeight w:val="229"/>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Other expense (income),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7,950</w:t>
            </w: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12,529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3,991</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(4,099)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2,114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527</w:t>
            </w:r>
          </w:p>
        </w:tc>
      </w:tr>
      <w:tr>
        <w:trPr>
          <w:trHeight w:val="230"/>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22,477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(25,510)</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(58,107)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(24,712)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(15,951)</w:t>
            </w:r>
          </w:p>
        </w:tc>
      </w:tr>
      <w:tr>
        <w:trPr>
          <w:trHeight w:val="230"/>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419</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(10,723)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(16,906)</w:t>
            </w: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(3,885)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20,725</w:t>
            </w:r>
          </w:p>
        </w:tc>
      </w:tr>
      <w:tr>
        <w:trPr>
          <w:trHeight w:val="229"/>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(220)</w:t>
            </w: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25,080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3,715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6,052</w:t>
            </w:r>
          </w:p>
        </w:tc>
      </w:tr>
      <w:tr>
        <w:trPr>
          <w:trHeight w:val="237"/>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operating activities **</w:t>
            </w: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402,242</w:t>
            </w: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75,494</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122,402</w:t>
            </w:r>
          </w:p>
        </w:tc>
        <w:tc>
          <w:tcPr>
            <w:tcW w:w="100" w:type="dxa"/>
            <w:vAlign w:val="bottom"/>
            <w:shd w:val="clear" w:color="auto" w:fill="CCEEFF"/>
          </w:tcPr>
          <w:p>
            <w:pPr>
              <w:spacing w:after="0"/>
              <w:rPr>
                <w:sz w:val="20"/>
                <w:szCs w:val="20"/>
                <w:color w:val="auto"/>
              </w:rPr>
            </w:pPr>
          </w:p>
        </w:tc>
      </w:tr>
      <w:tr>
        <w:trPr>
          <w:trHeight w:val="229"/>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(101,080)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(89,433)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(45,134)</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(318,497)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42,615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129,257</w:t>
            </w:r>
          </w:p>
        </w:tc>
      </w:tr>
      <w:tr>
        <w:trPr>
          <w:trHeight w:val="236"/>
        </w:trPr>
        <w:tc>
          <w:tcPr>
            <w:tcW w:w="7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(419,577)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(46,818)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Debt received (repaid),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15,493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(28,164)</w:t>
            </w:r>
          </w:p>
        </w:tc>
      </w:tr>
      <w:tr>
        <w:trPr>
          <w:trHeight w:val="23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Proceeds from an investment in a subsidiary</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5,469</w:t>
            </w:r>
          </w:p>
        </w:tc>
      </w:tr>
      <w:tr>
        <w:trPr>
          <w:trHeight w:val="237"/>
        </w:trPr>
        <w:tc>
          <w:tcPr>
            <w:tcW w:w="7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15,493</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(22,695)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(1,537)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(5,322)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(4,638)</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(3,379)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179,192</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318,195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304,934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211,177</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314,816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318,195</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390,369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8"/>
        <w:spacing w:after="0" w:line="268" w:lineRule="auto"/>
        <w:tabs>
          <w:tab w:leader="none" w:pos="13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Includes amortization of acquired intangible assets and stock based compensation in the amounts of $8,389, $7,414 and $7,035 for the three months ended September 30, 2023, June 30, 2023 and September 30, 2022, respectively.</w:t>
      </w:r>
    </w:p>
    <w:p>
      <w:pPr>
        <w:spacing w:after="0" w:line="1" w:lineRule="exact"/>
        <w:rPr>
          <w:rFonts w:ascii="Arial" w:cs="Arial" w:eastAsia="Arial" w:hAnsi="Arial"/>
          <w:sz w:val="18"/>
          <w:szCs w:val="18"/>
          <w:b w:val="1"/>
          <w:bCs w:val="1"/>
          <w:color w:val="auto"/>
        </w:rPr>
      </w:pPr>
    </w:p>
    <w:p>
      <w:pPr>
        <w:ind w:right="500"/>
        <w:spacing w:after="0" w:line="276" w:lineRule="auto"/>
        <w:rPr>
          <w:rFonts w:ascii="Arial" w:cs="Arial" w:eastAsia="Arial" w:hAnsi="Arial"/>
          <w:sz w:val="18"/>
          <w:szCs w:val="18"/>
          <w:b w:val="1"/>
          <w:bCs w:val="1"/>
          <w:color w:val="auto"/>
        </w:rPr>
      </w:pPr>
      <w:r>
        <w:rPr>
          <w:rFonts w:ascii="Arial" w:cs="Arial" w:eastAsia="Arial" w:hAnsi="Arial"/>
          <w:sz w:val="18"/>
          <w:szCs w:val="18"/>
          <w:b w:val="1"/>
          <w:bCs w:val="1"/>
          <w:color w:val="auto"/>
        </w:rPr>
        <w:t>** Merger-contract termination fee received from Intel during the third quarter of 2023, net of cost, in the amount of $313,501 was included within the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Roman"/>
      <w:start w:val="3"/>
    </w:lvl>
  </w:abstractNum>
  <w:abstractNum w:abstractNumId="2">
    <w:nsid w:val="41B71EFB"/>
    <w:multiLevelType w:val="hybridMultilevel"/>
    <w:lvl w:ilvl="0">
      <w:lvlJc w:val="left"/>
      <w:lvlText w:val="(%1)"/>
      <w:numFmt w:val="lowerRoman"/>
      <w:start w:val="23"/>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2023-11-13T06:09:54Z</dcterms:created>
  <dcterms:modified xsi:type="dcterms:W3CDTF">2023-11-13T06:09:54Z</dcterms:modified>
</cp:coreProperties>
</file>