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May 2022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left="660" w:right="659"/>
        <w:spacing w:after="0" w:line="293" w:lineRule="auto"/>
        <w:rPr>
          <w:sz w:val="20"/>
          <w:szCs w:val="20"/>
          <w:color w:val="auto"/>
        </w:rPr>
      </w:pPr>
      <w:r>
        <w:rPr>
          <w:rFonts w:ascii="Arial" w:cs="Arial" w:eastAsia="Arial" w:hAnsi="Arial"/>
          <w:sz w:val="25"/>
          <w:szCs w:val="25"/>
          <w:b w:val="1"/>
          <w:bCs w:val="1"/>
          <w:color w:val="auto"/>
        </w:rPr>
        <w:t>On May 2, 2022, the Registrant announces First Quarter 2022 Earnings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32842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76327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Announces First Quarter 2022 Earnings Release Date</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MIGDAL HAEMEK, Israel – May 2, 2022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first quarter 2022 earnings on Monday, May 16, 2022.</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22"/>
          <w:szCs w:val="22"/>
          <w:color w:val="auto"/>
        </w:rPr>
        <w:t>In light of the previously announced transaction with Intel, Tower will not provide guidance for the second-quarter 2022 and will not host an earnings 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93" w:lineRule="exact"/>
        <w:rPr>
          <w:sz w:val="20"/>
          <w:szCs w:val="20"/>
          <w:color w:val="auto"/>
        </w:rPr>
      </w:pPr>
    </w:p>
    <w:p>
      <w:pPr>
        <w:ind w:right="40"/>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Microelectronics. For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6711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67119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195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2022-05-02T06:13:59Z</dcterms:created>
  <dcterms:modified xsi:type="dcterms:W3CDTF">2022-05-02T06:13:59Z</dcterms:modified>
</cp:coreProperties>
</file>