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Ordinary Shares, par value NIS 15.00 per share</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M87915274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December 3, 2024</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39"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39" w:lineRule="exact"/>
        <w:rPr>
          <w:sz w:val="24"/>
          <w:szCs w:val="24"/>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w:t>
      </w:r>
      <w:r>
        <w:rPr>
          <w:rFonts w:ascii="Times New Roman" w:cs="Times New Roman" w:eastAsia="Times New Roman" w:hAnsi="Times New Roman"/>
          <w:sz w:val="18"/>
          <w:szCs w:val="18"/>
          <w:i w:val="1"/>
          <w:iCs w:val="1"/>
          <w:color w:val="auto"/>
        </w:rPr>
        <w:t>Securities Exchange Act</w:t>
      </w:r>
      <w:r>
        <w:rPr>
          <w:rFonts w:ascii="Times New Roman" w:cs="Times New Roman" w:eastAsia="Times New Roman" w:hAnsi="Times New Roman"/>
          <w:sz w:val="18"/>
          <w:szCs w:val="18"/>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0"/>
        </w:trPr>
        <w:tc>
          <w:tcPr>
            <w:tcW w:w="2020" w:type="dxa"/>
            <w:vAlign w:val="bottom"/>
            <w:tcBorders>
              <w:top w:val="single" w:sz="8" w:color="auto"/>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M87915274</w:t>
            </w:r>
          </w:p>
        </w:tc>
        <w:tc>
          <w:tcPr>
            <w:tcW w:w="660" w:type="dxa"/>
            <w:vAlign w:val="bottom"/>
            <w:tcBorders>
              <w:top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4000" w:type="dxa"/>
            <w:vAlign w:val="bottom"/>
            <w:tcBorders>
              <w:right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 2 of 6 Pages</w:t>
            </w:r>
          </w:p>
        </w:tc>
        <w:tc>
          <w:tcPr>
            <w:tcW w:w="0" w:type="dxa"/>
            <w:vAlign w:val="bottom"/>
          </w:tcPr>
          <w:p>
            <w:pPr>
              <w:spacing w:after="0"/>
              <w:rPr>
                <w:sz w:val="1"/>
                <w:szCs w:val="1"/>
                <w:color w:val="auto"/>
              </w:rPr>
            </w:pPr>
          </w:p>
        </w:tc>
      </w:tr>
      <w:tr>
        <w:trPr>
          <w:trHeight w:val="58"/>
        </w:trPr>
        <w:tc>
          <w:tcPr>
            <w:tcW w:w="1380" w:type="dxa"/>
            <w:vAlign w:val="bottom"/>
            <w:tcBorders>
              <w:left w:val="single" w:sz="8" w:color="auto"/>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4000" w:type="dxa"/>
            <w:vAlign w:val="bottom"/>
            <w:tcBorders>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38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gridSpan w:val="4"/>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Borders>
              <w:right w:val="single" w:sz="8" w:color="auto"/>
            </w:tcBorders>
          </w:tcPr>
          <w:p>
            <w:pPr>
              <w:spacing w:after="0"/>
              <w:rPr>
                <w:sz w:val="21"/>
                <w:szCs w:val="21"/>
                <w:color w:val="auto"/>
              </w:rPr>
            </w:pPr>
          </w:p>
        </w:tc>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Menora Mivtachim Holdings Ltd.</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380" w:type="dxa"/>
            <w:vAlign w:val="bottom"/>
            <w:tcBorders>
              <w:bottom w:val="single" w:sz="8" w:color="auto"/>
              <w:right w:val="single" w:sz="8" w:color="auto"/>
            </w:tcBorders>
          </w:tcPr>
          <w:p>
            <w:pPr>
              <w:spacing w:after="0"/>
              <w:rPr>
                <w:sz w:val="4"/>
                <w:szCs w:val="4"/>
                <w:color w:val="auto"/>
              </w:rPr>
            </w:pPr>
          </w:p>
        </w:tc>
        <w:tc>
          <w:tcPr>
            <w:tcW w:w="6740" w:type="dxa"/>
            <w:vAlign w:val="bottom"/>
            <w:tcBorders>
              <w:bottom w:val="single" w:sz="8" w:color="auto"/>
            </w:tcBorders>
            <w:gridSpan w:val="4"/>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380" w:type="dxa"/>
            <w:vAlign w:val="bottom"/>
            <w:tcBorders>
              <w:right w:val="single" w:sz="8" w:color="auto"/>
            </w:tcBorders>
          </w:tcPr>
          <w:p>
            <w:pPr>
              <w:spacing w:after="0"/>
              <w:rPr>
                <w:sz w:val="20"/>
                <w:szCs w:val="20"/>
                <w:color w:val="auto"/>
              </w:rPr>
            </w:pPr>
          </w:p>
        </w:tc>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6740" w:type="dxa"/>
            <w:vAlign w:val="bottom"/>
            <w:tcBorders>
              <w:right w:val="single" w:sz="8" w:color="BFBFBF"/>
            </w:tcBorders>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31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660" w:type="dxa"/>
            <w:vAlign w:val="bottom"/>
            <w:tcBorders>
              <w:right w:val="single" w:sz="8" w:color="BFBFBF"/>
            </w:tcBorders>
            <w:shd w:val="clear" w:color="auto" w:fill="BFBFBF"/>
          </w:tcPr>
          <w:p>
            <w:pPr>
              <w:spacing w:after="0"/>
              <w:rPr>
                <w:sz w:val="23"/>
                <w:szCs w:val="23"/>
                <w:color w:val="auto"/>
              </w:rPr>
            </w:pPr>
          </w:p>
        </w:tc>
        <w:tc>
          <w:tcPr>
            <w:tcW w:w="1440" w:type="dxa"/>
            <w:vAlign w:val="bottom"/>
            <w:tcBorders>
              <w:right w:val="single" w:sz="8" w:color="BFBFBF"/>
            </w:tcBorders>
            <w:shd w:val="clear" w:color="auto" w:fill="BFBFBF"/>
          </w:tcPr>
          <w:p>
            <w:pPr>
              <w:spacing w:after="0"/>
              <w:rPr>
                <w:sz w:val="23"/>
                <w:szCs w:val="23"/>
                <w:color w:val="auto"/>
              </w:rPr>
            </w:pPr>
          </w:p>
        </w:tc>
        <w:tc>
          <w:tcPr>
            <w:tcW w:w="4000" w:type="dxa"/>
            <w:vAlign w:val="bottom"/>
            <w:tcBorders>
              <w:right w:val="single" w:sz="8" w:color="BFBFBF"/>
            </w:tcBorders>
            <w:shd w:val="clear" w:color="auto" w:fill="BFBFBF"/>
          </w:tcPr>
          <w:p>
            <w:pPr>
              <w:spacing w:after="0"/>
              <w:rPr>
                <w:sz w:val="23"/>
                <w:szCs w:val="23"/>
                <w:color w:val="auto"/>
              </w:rPr>
            </w:pPr>
          </w:p>
        </w:tc>
        <w:tc>
          <w:tcPr>
            <w:tcW w:w="314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shd w:val="clear" w:color="auto" w:fill="BFBFBF"/>
          </w:tcPr>
          <w:p>
            <w:pPr>
              <w:spacing w:after="0"/>
              <w:rPr>
                <w:sz w:val="24"/>
                <w:szCs w:val="24"/>
                <w:color w:val="auto"/>
              </w:rPr>
            </w:pPr>
          </w:p>
        </w:tc>
        <w:tc>
          <w:tcPr>
            <w:tcW w:w="544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314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80" w:type="dxa"/>
            <w:vAlign w:val="bottom"/>
            <w:tcBorders>
              <w:right w:val="single" w:sz="8" w:color="auto"/>
            </w:tcBorders>
          </w:tcPr>
          <w:p>
            <w:pPr>
              <w:spacing w:after="0"/>
              <w:rPr>
                <w:sz w:val="20"/>
                <w:szCs w:val="20"/>
                <w:color w:val="auto"/>
              </w:rPr>
            </w:pPr>
          </w:p>
        </w:tc>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Borders>
              <w:right w:val="single" w:sz="8" w:color="auto"/>
            </w:tcBorders>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6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38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14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spacing w:after="0"/>
              <w:rPr>
                <w:sz w:val="21"/>
                <w:szCs w:val="21"/>
                <w:color w:val="auto"/>
              </w:rPr>
            </w:pP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544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14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660" w:type="dxa"/>
            <w:vAlign w:val="bottom"/>
            <w:tcBorders>
              <w:right w:val="single" w:sz="8" w:color="auto"/>
            </w:tcBorders>
          </w:tcPr>
          <w:p>
            <w:pPr>
              <w:spacing w:after="0"/>
              <w:rPr>
                <w:sz w:val="19"/>
                <w:szCs w:val="19"/>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5,655,282 (*)</w:t>
            </w:r>
          </w:p>
        </w:tc>
        <w:tc>
          <w:tcPr>
            <w:tcW w:w="4000" w:type="dxa"/>
            <w:vAlign w:val="bottom"/>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3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66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5440" w:type="dxa"/>
            <w:vAlign w:val="bottom"/>
            <w:gridSpan w:val="2"/>
            <w:vMerge w:val="continue"/>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440" w:type="dxa"/>
            <w:vAlign w:val="bottom"/>
            <w:vMerge w:val="continue"/>
          </w:tcPr>
          <w:p>
            <w:pPr>
              <w:spacing w:after="0"/>
              <w:rPr>
                <w:sz w:val="19"/>
                <w:szCs w:val="19"/>
                <w:color w:val="auto"/>
              </w:rPr>
            </w:pPr>
          </w:p>
        </w:tc>
        <w:tc>
          <w:tcPr>
            <w:tcW w:w="4000" w:type="dxa"/>
            <w:vAlign w:val="bottom"/>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544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5,655,282 (*)</w:t>
            </w:r>
          </w:p>
        </w:tc>
        <w:tc>
          <w:tcPr>
            <w:tcW w:w="4000" w:type="dxa"/>
            <w:vAlign w:val="bottom"/>
          </w:tcPr>
          <w:p>
            <w:pPr>
              <w:spacing w:after="0"/>
              <w:rPr>
                <w:sz w:val="23"/>
                <w:szCs w:val="23"/>
                <w:color w:val="auto"/>
              </w:rPr>
            </w:pPr>
          </w:p>
        </w:tc>
        <w:tc>
          <w:tcPr>
            <w:tcW w:w="3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440" w:type="dxa"/>
            <w:vAlign w:val="bottom"/>
            <w:vMerge w:val="continue"/>
          </w:tcPr>
          <w:p>
            <w:pPr>
              <w:spacing w:after="0"/>
              <w:rPr>
                <w:sz w:val="19"/>
                <w:szCs w:val="19"/>
                <w:color w:val="auto"/>
              </w:rPr>
            </w:pPr>
          </w:p>
        </w:tc>
        <w:tc>
          <w:tcPr>
            <w:tcW w:w="4000" w:type="dxa"/>
            <w:vAlign w:val="bottom"/>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138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858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5,655,282 (*)</w:t>
            </w:r>
          </w:p>
        </w:tc>
        <w:tc>
          <w:tcPr>
            <w:tcW w:w="14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380" w:type="dxa"/>
            <w:vAlign w:val="bottom"/>
            <w:tcBorders>
              <w:right w:val="single" w:sz="8" w:color="auto"/>
            </w:tcBorders>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138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8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1380" w:type="dxa"/>
            <w:vAlign w:val="bottom"/>
            <w:tcBorders>
              <w:right w:val="single" w:sz="8" w:color="auto"/>
            </w:tcBorders>
          </w:tcPr>
          <w:p>
            <w:pPr>
              <w:spacing w:after="0"/>
              <w:rPr>
                <w:sz w:val="23"/>
                <w:szCs w:val="23"/>
                <w:color w:val="auto"/>
              </w:rPr>
            </w:pPr>
          </w:p>
        </w:tc>
        <w:tc>
          <w:tcPr>
            <w:tcW w:w="64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13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gridSpan w:val="2"/>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Borders>
              <w:right w:val="single" w:sz="8" w:color="auto"/>
            </w:tcBorders>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5.08% (*) (**)</w:t>
            </w:r>
          </w:p>
        </w:tc>
        <w:tc>
          <w:tcPr>
            <w:tcW w:w="14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38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Borders>
              <w:right w:val="single" w:sz="8" w:color="auto"/>
            </w:tcBorders>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6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38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beneficial ownership of the securities reported herein is described in Item 4(a).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Based on 111,290,803 Ordinary Shares outstanding as of December 5, 2024 (as reported on Bloomberg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u w:val="single" w:color="auto"/>
          <w:color w:val="auto"/>
        </w:rPr>
        <w:t>Name of Issuer</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39" w:lineRule="exact"/>
        <w:rPr>
          <w:sz w:val="20"/>
          <w:szCs w:val="20"/>
          <w:color w:val="auto"/>
        </w:rPr>
      </w:pPr>
    </w:p>
    <w:p>
      <w:pPr>
        <w:ind w:left="1400" w:hanging="569"/>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Ramat Gavriel Industrial Park, P.O. Box 619, Migdal Haemek 2310502, Israel.</w:t>
      </w:r>
    </w:p>
    <w:p>
      <w:pPr>
        <w:spacing w:after="0" w:line="23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u w:val="single" w:color="auto"/>
          <w:color w:val="auto"/>
        </w:rPr>
        <w:t>Name of Person Filing</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Menora Mivtachim Holdings Ltd.</w:t>
      </w:r>
    </w:p>
    <w:p>
      <w:pPr>
        <w:spacing w:after="0" w:line="239" w:lineRule="exact"/>
        <w:rPr>
          <w:sz w:val="20"/>
          <w:szCs w:val="20"/>
          <w:color w:val="auto"/>
        </w:rPr>
      </w:pPr>
    </w:p>
    <w:p>
      <w:pPr>
        <w:ind w:left="1400" w:hanging="569"/>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Menora Mivtachim Holdings Ltd. – Menora House, 23 Jabotinsky St., Ramat Gan 5251102, Israel</w:t>
      </w:r>
    </w:p>
    <w:p>
      <w:pPr>
        <w:spacing w:after="0" w:line="238" w:lineRule="exact"/>
        <w:rPr>
          <w:rFonts w:ascii="Times New Roman" w:cs="Times New Roman" w:eastAsia="Times New Roman" w:hAnsi="Times New Roman"/>
          <w:sz w:val="18"/>
          <w:szCs w:val="18"/>
          <w:color w:val="auto"/>
        </w:rPr>
      </w:pPr>
    </w:p>
    <w:p>
      <w:pPr>
        <w:ind w:left="1400" w:right="6820" w:hanging="569"/>
        <w:spacing w:after="0" w:line="546" w:lineRule="auto"/>
        <w:tabs>
          <w:tab w:leader="none" w:pos="139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Citizenship or Place of Incorporation</w:t>
      </w:r>
      <w:r>
        <w:rPr>
          <w:rFonts w:ascii="Times New Roman" w:cs="Times New Roman" w:eastAsia="Times New Roman" w:hAnsi="Times New Roman"/>
          <w:sz w:val="17"/>
          <w:szCs w:val="17"/>
          <w:color w:val="auto"/>
        </w:rPr>
        <w:t>: Menora Mivtachim Holdings Ltd. – Israel</w:t>
      </w:r>
    </w:p>
    <w:p>
      <w:pPr>
        <w:spacing w:after="0" w:line="1" w:lineRule="exact"/>
        <w:rPr>
          <w:rFonts w:ascii="Times New Roman" w:cs="Times New Roman" w:eastAsia="Times New Roman" w:hAnsi="Times New Roman"/>
          <w:sz w:val="17"/>
          <w:szCs w:val="17"/>
          <w:color w:val="auto"/>
        </w:rPr>
      </w:pPr>
    </w:p>
    <w:p>
      <w:pPr>
        <w:ind w:left="1400" w:hanging="569"/>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NIS 15.00 per share</w:t>
      </w:r>
    </w:p>
    <w:p>
      <w:pPr>
        <w:spacing w:after="0" w:line="238" w:lineRule="exact"/>
        <w:rPr>
          <w:rFonts w:ascii="Times New Roman" w:cs="Times New Roman" w:eastAsia="Times New Roman" w:hAnsi="Times New Roman"/>
          <w:sz w:val="18"/>
          <w:szCs w:val="18"/>
          <w:color w:val="auto"/>
        </w:rPr>
      </w:pPr>
    </w:p>
    <w:p>
      <w:pPr>
        <w:ind w:left="1400" w:right="8640" w:hanging="569"/>
        <w:spacing w:after="0" w:line="522" w:lineRule="auto"/>
        <w:tabs>
          <w:tab w:leader="none" w:pos="14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r>
        <w:rPr>
          <w:rFonts w:ascii="Times New Roman" w:cs="Times New Roman" w:eastAsia="Times New Roman" w:hAnsi="Times New Roman"/>
          <w:sz w:val="18"/>
          <w:szCs w:val="18"/>
          <w:color w:val="auto"/>
        </w:rPr>
        <w:t>: M87915274</w:t>
      </w: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r>
              <w:rPr>
                <w:rFonts w:ascii="Times New Roman" w:cs="Times New Roman" w:eastAsia="Times New Roman" w:hAnsi="Times New Roman"/>
                <w:sz w:val="18"/>
                <w:szCs w:val="18"/>
                <w:color w:val="auto"/>
              </w:rPr>
              <w:t>.</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Not applicable.</w:t>
            </w:r>
          </w:p>
        </w:tc>
      </w:tr>
      <w:tr>
        <w:trPr>
          <w:trHeight w:val="391"/>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Ownership:</w:t>
            </w:r>
          </w:p>
        </w:tc>
      </w:tr>
      <w:tr>
        <w:trPr>
          <w:trHeight w:val="20"/>
        </w:trPr>
        <w:tc>
          <w:tcPr>
            <w:tcW w:w="1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38" w:lineRule="exact"/>
        <w:rPr>
          <w:sz w:val="20"/>
          <w:szCs w:val="20"/>
          <w:color w:val="auto"/>
        </w:rPr>
      </w:pPr>
    </w:p>
    <w:p>
      <w:pPr>
        <w:ind w:left="1400" w:hanging="636"/>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9 of cover page of each reporting person.</w:t>
      </w:r>
    </w:p>
    <w:p>
      <w:pPr>
        <w:spacing w:after="0" w:line="238"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5, 2024, the securities reported herein were held as follows:</w:t>
      </w:r>
    </w:p>
    <w:p>
      <w:pPr>
        <w:spacing w:after="0" w:line="238" w:lineRule="exact"/>
        <w:rPr>
          <w:rFonts w:ascii="Times New Roman" w:cs="Times New Roman" w:eastAsia="Times New Roman" w:hAnsi="Times New Roman"/>
          <w:sz w:val="18"/>
          <w:szCs w:val="18"/>
          <w:color w:val="auto"/>
        </w:rPr>
      </w:pPr>
    </w:p>
    <w:p>
      <w:pPr>
        <w:ind w:left="1800" w:hanging="388"/>
        <w:spacing w:after="0" w:line="268" w:lineRule="auto"/>
        <w:tabs>
          <w:tab w:leader="none" w:pos="1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4,831,318 ordinary shares (representing 4.34% of the total ordinary shares outstanding) beneficially owned by Menora Mivtachim Pensions and Gemel Ltd.;</w:t>
      </w:r>
    </w:p>
    <w:p>
      <w:pPr>
        <w:spacing w:after="0" w:line="1" w:lineRule="exact"/>
        <w:rPr>
          <w:rFonts w:ascii="Times New Roman" w:cs="Times New Roman" w:eastAsia="Times New Roman" w:hAnsi="Times New Roman"/>
          <w:sz w:val="18"/>
          <w:szCs w:val="18"/>
          <w:color w:val="auto"/>
        </w:rPr>
      </w:pPr>
    </w:p>
    <w:p>
      <w:pPr>
        <w:ind w:left="1800" w:hanging="388"/>
        <w:spacing w:after="0"/>
        <w:tabs>
          <w:tab w:leader="none" w:pos="1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764,630 ordinary shares (representing 0.69% of the total ordinary shares outstanding) beneficially owned by Menora Mivtachim</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Insurance Ltd.;</w:t>
      </w:r>
    </w:p>
    <w:p>
      <w:pPr>
        <w:spacing w:after="0" w:line="23" w:lineRule="exact"/>
        <w:rPr>
          <w:sz w:val="20"/>
          <w:szCs w:val="20"/>
          <w:color w:val="auto"/>
        </w:rPr>
      </w:pPr>
    </w:p>
    <w:p>
      <w:pPr>
        <w:ind w:left="1800" w:right="20" w:hanging="379"/>
        <w:spacing w:after="0" w:line="258" w:lineRule="auto"/>
        <w:tabs>
          <w:tab w:leader="none" w:pos="1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36,037 ordinary shares (representing 0.03% of the total ordinary shares outstanding) beneficially owned by Menora Mivtachim Vehistadrut Hamehandesim Nihul Kupot Gemel Ltd.; and</w:t>
      </w:r>
    </w:p>
    <w:p>
      <w:pPr>
        <w:ind w:left="1800" w:hanging="388"/>
        <w:spacing w:after="0" w:line="27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23,298 ordinary shares (representing 0.02% of the total ordinary shares outstanding) beneficially owned by Shomera Insurance Company Ltd.</w:t>
      </w:r>
    </w:p>
    <w:p>
      <w:pPr>
        <w:spacing w:after="0" w:line="181" w:lineRule="exact"/>
        <w:rPr>
          <w:sz w:val="20"/>
          <w:szCs w:val="20"/>
          <w:color w:val="auto"/>
        </w:rPr>
      </w:pPr>
    </w:p>
    <w:p>
      <w:pPr>
        <w:jc w:val="both"/>
        <w:ind w:left="1400"/>
        <w:spacing w:after="0" w:line="264" w:lineRule="auto"/>
        <w:rPr>
          <w:sz w:val="20"/>
          <w:szCs w:val="20"/>
          <w:color w:val="auto"/>
        </w:rPr>
      </w:pPr>
      <w:r>
        <w:rPr>
          <w:rFonts w:ascii="Times New Roman" w:cs="Times New Roman" w:eastAsia="Times New Roman" w:hAnsi="Times New Roman"/>
          <w:sz w:val="18"/>
          <w:szCs w:val="18"/>
          <w:color w:val="auto"/>
        </w:rPr>
        <w:t>The securities reported herein are beneficially owned by Menora Mivtachim Holdings Ltd. ("Menora Holdings") and by entities that are direct or indirect, wholly-owned or majority-owned, subsidiaries of Menora Holdings (the "Subsidiaries"), such as Menora Mivtachim Insurance Ltd., Shomera Insurance Company Ltd., Menora Mivtachim Pensions and Gemel Ltd., Menora Mivtachim Vehistadrut Hamehandesim Nihul Kupot Gemel Ltd., and Menora Mivtachim Investment Portfolio Management Ltd. The economic interest or beneficial ownership in a portion of the securities covered by this report (including the right to receive or the power to direct the receipt of dividends from, or the proceeds from the sale of, such securities) is held for the benefit of insurance policy holders, the owners of portfolio accounts, or the members of the provident funds or pension funds, as the case may be. This statement on Schedule 13G shall not be construed as an admission by Menora Holdings or by any of the Subsidiaries that it is the beneficial owner of any of such securities covered by this statement on Schedule 13G, and each of Menora Holdings and the Subsidiaries disclaims beneficial ownership of any such securities except to the extent of its pecuniary interest therein.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400" w:hanging="626"/>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11 of cover page of each reporting person</w:t>
      </w:r>
    </w:p>
    <w:p>
      <w:pPr>
        <w:spacing w:after="0" w:line="238" w:lineRule="exact"/>
        <w:rPr>
          <w:rFonts w:ascii="Times New Roman" w:cs="Times New Roman" w:eastAsia="Times New Roman" w:hAnsi="Times New Roman"/>
          <w:sz w:val="18"/>
          <w:szCs w:val="18"/>
          <w:color w:val="auto"/>
        </w:rPr>
      </w:pPr>
    </w:p>
    <w:p>
      <w:pPr>
        <w:ind w:left="1400" w:hanging="636"/>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such person has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2040" w:hanging="632"/>
        <w:spacing w:after="0"/>
        <w:tabs>
          <w:tab w:leader="none" w:pos="2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38"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cover page of each reporting person</w:t>
      </w:r>
    </w:p>
    <w:p>
      <w:pPr>
        <w:spacing w:after="0" w:line="252" w:lineRule="exact"/>
        <w:rPr>
          <w:rFonts w:ascii="Times New Roman" w:cs="Times New Roman" w:eastAsia="Times New Roman" w:hAnsi="Times New Roman"/>
          <w:sz w:val="18"/>
          <w:szCs w:val="18"/>
          <w:color w:val="auto"/>
        </w:rPr>
      </w:pPr>
    </w:p>
    <w:p>
      <w:pPr>
        <w:ind w:left="2040" w:hanging="632"/>
        <w:spacing w:after="0"/>
        <w:tabs>
          <w:tab w:leader="none" w:pos="2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38"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cover page of each reporting person and note in Item 4(a) above</w:t>
      </w:r>
    </w:p>
    <w:p>
      <w:pPr>
        <w:spacing w:after="0" w:line="252" w:lineRule="exact"/>
        <w:rPr>
          <w:rFonts w:ascii="Times New Roman" w:cs="Times New Roman" w:eastAsia="Times New Roman" w:hAnsi="Times New Roman"/>
          <w:sz w:val="18"/>
          <w:szCs w:val="18"/>
          <w:color w:val="auto"/>
        </w:rPr>
      </w:pPr>
    </w:p>
    <w:p>
      <w:pPr>
        <w:ind w:left="2040" w:right="4339" w:hanging="632"/>
        <w:spacing w:after="0" w:line="555" w:lineRule="auto"/>
        <w:tabs>
          <w:tab w:leader="none" w:pos="204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See row 7 of cover page of each reporting person</w:t>
      </w:r>
    </w:p>
    <w:p>
      <w:pPr>
        <w:ind w:left="2040" w:hanging="632"/>
        <w:spacing w:after="0"/>
        <w:tabs>
          <w:tab w:leader="none" w:pos="2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38"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8 of cover page of each reporting person and note in Item 4(a) above</w:t>
      </w:r>
    </w:p>
    <w:p>
      <w:pPr>
        <w:spacing w:after="0" w:line="248"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Five Percent or Less of a Class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on Behalf of Another</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beneficial ownership of the securities reported herein is described in Item 4(a).</w:t>
      </w:r>
    </w:p>
    <w:p>
      <w:pPr>
        <w:spacing w:after="0" w:line="23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the Subsidiary Which Acquired the Security Being Reported on by the Parent Holding Company or</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Control Person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10</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8,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Menora Mivtachim Holdings Ltd.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w w:val="97"/>
              </w:rPr>
              <w:t>/s/ Ran Kalmi</w:t>
            </w:r>
          </w:p>
        </w:tc>
        <w:tc>
          <w:tcPr>
            <w:tcW w:w="380" w:type="dxa"/>
            <w:vAlign w:val="bottom"/>
          </w:tcPr>
          <w:p>
            <w:pPr>
              <w:spacing w:after="0"/>
              <w:rPr>
                <w:sz w:val="17"/>
                <w:szCs w:val="17"/>
                <w:color w:val="auto"/>
              </w:rPr>
            </w:pPr>
          </w:p>
        </w:tc>
        <w:tc>
          <w:tcPr>
            <w:tcW w:w="4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 Nir Moroz</w:t>
            </w:r>
          </w:p>
        </w:tc>
      </w:tr>
      <w:tr>
        <w:trPr>
          <w:trHeight w:val="20"/>
        </w:trPr>
        <w:tc>
          <w:tcPr>
            <w:tcW w:w="5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18"/>
        </w:trPr>
        <w:tc>
          <w:tcPr>
            <w:tcW w:w="56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Ran Kalmi</w:t>
            </w:r>
          </w:p>
        </w:tc>
        <w:tc>
          <w:tcPr>
            <w:tcW w:w="4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By: Nir Moroz</w:t>
            </w:r>
          </w:p>
        </w:tc>
      </w:tr>
      <w:tr>
        <w:trPr>
          <w:trHeight w:val="234"/>
        </w:trPr>
        <w:tc>
          <w:tcPr>
            <w:tcW w:w="564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CFO</w:t>
            </w:r>
          </w:p>
        </w:tc>
        <w:tc>
          <w:tcPr>
            <w:tcW w:w="4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432"/>
        </w:trPr>
        <w:tc>
          <w:tcPr>
            <w:tcW w:w="66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08"/>
        </w:trPr>
        <w:tc>
          <w:tcPr>
            <w:tcW w:w="5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r>
      <w:tr>
        <w:trPr>
          <w:trHeight w:val="163"/>
        </w:trPr>
        <w:tc>
          <w:tcPr>
            <w:tcW w:w="5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2024-12-09T08:19:08Z</dcterms:created>
  <dcterms:modified xsi:type="dcterms:W3CDTF">2024-12-09T08:19:08Z</dcterms:modified>
</cp:coreProperties>
</file>