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5"/>
          <w:szCs w:val="15"/>
          <w:color w:val="auto"/>
        </w:rPr>
        <w:t>FORM 6-K</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For the month of May 2005 No. 2</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jc w:val="center"/>
        <w:ind w:right="3139"/>
        <w:spacing w:after="0" w:line="237" w:lineRule="auto"/>
        <w:rPr>
          <w:sz w:val="20"/>
          <w:szCs w:val="20"/>
          <w:color w:val="auto"/>
        </w:rPr>
      </w:pPr>
      <w:r>
        <w:rPr>
          <w:rFonts w:ascii="Courier New" w:cs="Courier New" w:eastAsia="Courier New" w:hAnsi="Courier New"/>
          <w:sz w:val="15"/>
          <w:szCs w:val="15"/>
          <w:color w:val="auto"/>
        </w:rPr>
        <w:t>(Translation of registrant's name into English)</w:t>
      </w:r>
    </w:p>
    <w:p>
      <w:pPr>
        <w:spacing w:after="0" w:line="33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RAMAT GAVRIEL INDUSTRIAL PARK</w:t>
      </w:r>
    </w:p>
    <w:p>
      <w:pPr>
        <w:ind w:left="1760"/>
        <w:spacing w:after="0" w:line="237" w:lineRule="auto"/>
        <w:rPr>
          <w:sz w:val="20"/>
          <w:szCs w:val="20"/>
          <w:color w:val="auto"/>
        </w:rPr>
      </w:pPr>
      <w:r>
        <w:rPr>
          <w:rFonts w:ascii="Courier New" w:cs="Courier New" w:eastAsia="Courier New" w:hAnsi="Courier New"/>
          <w:sz w:val="15"/>
          <w:szCs w:val="15"/>
          <w:color w:val="auto"/>
        </w:rPr>
        <w:t>P.O. BOX 619, MIGDAL HAEMEK, ISRAEL 23105</w:t>
      </w:r>
    </w:p>
    <w:p>
      <w:pPr>
        <w:ind w:left="1760"/>
        <w:spacing w:after="0" w:line="238" w:lineRule="auto"/>
        <w:rPr>
          <w:sz w:val="20"/>
          <w:szCs w:val="20"/>
          <w:color w:val="auto"/>
        </w:rPr>
      </w:pPr>
      <w:r>
        <w:rPr>
          <w:rFonts w:ascii="Courier New" w:cs="Courier New" w:eastAsia="Courier New" w:hAnsi="Courier New"/>
          <w:sz w:val="15"/>
          <w:szCs w:val="15"/>
          <w:color w:val="auto"/>
        </w:rPr>
        <w:t>(Address of principal executive offices)</w:t>
      </w:r>
    </w:p>
    <w:p>
      <w:pPr>
        <w:spacing w:after="0" w:line="341" w:lineRule="exact"/>
        <w:rPr>
          <w:sz w:val="24"/>
          <w:szCs w:val="24"/>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67" w:lineRule="exact"/>
        <w:rPr>
          <w:sz w:val="24"/>
          <w:szCs w:val="24"/>
          <w:color w:val="auto"/>
        </w:rPr>
      </w:pPr>
    </w:p>
    <w:p>
      <w:pPr>
        <w:ind w:left="2200"/>
        <w:spacing w:after="0"/>
        <w:tabs>
          <w:tab w:leader="none" w:pos="3760" w:val="left"/>
        </w:tabs>
        <w:rPr>
          <w:sz w:val="20"/>
          <w:szCs w:val="20"/>
          <w:color w:val="auto"/>
        </w:rPr>
      </w:pPr>
      <w:r>
        <w:rPr>
          <w:rFonts w:ascii="Courier New" w:cs="Courier New" w:eastAsia="Courier New" w:hAnsi="Courier New"/>
          <w:sz w:val="15"/>
          <w:szCs w:val="15"/>
          <w:color w:val="auto"/>
        </w:rPr>
        <w:t>Form 20-F [X]</w:t>
      </w:r>
      <w:r>
        <w:rPr>
          <w:sz w:val="20"/>
          <w:szCs w:val="20"/>
          <w:color w:val="auto"/>
        </w:rPr>
        <w:tab/>
      </w:r>
      <w:r>
        <w:rPr>
          <w:rFonts w:ascii="Courier New" w:cs="Courier New" w:eastAsia="Courier New" w:hAnsi="Courier New"/>
          <w:sz w:val="14"/>
          <w:szCs w:val="14"/>
          <w:color w:val="auto"/>
        </w:rPr>
        <w:t>Form 40-F [_]</w:t>
      </w:r>
    </w:p>
    <w:p>
      <w:pPr>
        <w:spacing w:after="0" w:line="341" w:lineRule="exact"/>
        <w:rPr>
          <w:sz w:val="24"/>
          <w:szCs w:val="24"/>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23" w:lineRule="exact"/>
        <w:rPr>
          <w:sz w:val="24"/>
          <w:szCs w:val="24"/>
          <w:color w:val="auto"/>
        </w:rPr>
      </w:pPr>
    </w:p>
    <w:p>
      <w:pPr>
        <w:ind w:left="2720"/>
        <w:spacing w:after="0"/>
        <w:tabs>
          <w:tab w:leader="none" w:pos="3660" w:val="left"/>
        </w:tabs>
        <w:rPr>
          <w:sz w:val="20"/>
          <w:szCs w:val="20"/>
          <w:color w:val="auto"/>
        </w:rPr>
      </w:pPr>
      <w:r>
        <w:rPr>
          <w:rFonts w:ascii="Courier New" w:cs="Courier New" w:eastAsia="Courier New" w:hAnsi="Courier New"/>
          <w:sz w:val="15"/>
          <w:szCs w:val="15"/>
          <w:color w:val="auto"/>
        </w:rPr>
        <w:t>Yes [_]</w:t>
      </w:r>
      <w:r>
        <w:rPr>
          <w:sz w:val="20"/>
          <w:szCs w:val="20"/>
          <w:color w:val="auto"/>
        </w:rPr>
        <w:tab/>
      </w:r>
      <w:r>
        <w:rPr>
          <w:rFonts w:ascii="Courier New" w:cs="Courier New" w:eastAsia="Courier New" w:hAnsi="Courier New"/>
          <w:sz w:val="14"/>
          <w:szCs w:val="14"/>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May 26, 2005, the Registrant announced its financial results for the three months ended March 31, 2005. Attached hereto as Exhibit 99.1 is the press release relating to such announcement and attached hereto as Exhibit 99.2 are the Registrant's unaudited condensed interim consolidated financial statements as of March 31, 2005 and for the three month period then ended.</w:t>
      </w:r>
    </w:p>
    <w:p>
      <w:pPr>
        <w:spacing w:after="0" w:line="174" w:lineRule="exact"/>
        <w:rPr>
          <w:sz w:val="24"/>
          <w:szCs w:val="24"/>
          <w:color w:val="auto"/>
        </w:rPr>
      </w:pPr>
    </w:p>
    <w:p>
      <w:pPr>
        <w:ind w:right="3939" w:firstLine="437"/>
        <w:spacing w:after="0" w:line="261" w:lineRule="auto"/>
        <w:rPr>
          <w:sz w:val="20"/>
          <w:szCs w:val="20"/>
          <w:color w:val="auto"/>
        </w:rPr>
      </w:pPr>
      <w:r>
        <w:rPr>
          <w:rFonts w:ascii="Courier New" w:cs="Courier New" w:eastAsia="Courier New" w:hAnsi="Courier New"/>
          <w:sz w:val="14"/>
          <w:szCs w:val="14"/>
          <w:color w:val="auto"/>
        </w:rPr>
        <w:t>This Form 6-K is being incorporated by reference into all effective registration statements filed by us under the Securities Act of 1933.</w:t>
      </w:r>
    </w:p>
    <w:p>
      <w:pPr>
        <w:sectPr>
          <w:pgSz w:w="11900" w:h="16838" w:orient="portrait"/>
          <w:cols w:equalWidth="0" w:num="1">
            <w:col w:w="10239"/>
          </w:cols>
          <w:pgMar w:left="220" w:top="393" w:right="1440" w:bottom="1440" w:gutter="0" w:footer="0" w:header="0"/>
        </w:sectPr>
      </w:pPr>
    </w:p>
    <w:bookmarkStart w:id="1" w:name="page2"/>
    <w:bookmarkEnd w:id="1"/>
    <w:p>
      <w:pPr>
        <w:jc w:val="center"/>
        <w:ind w:right="321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42"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TOWER SEMICONDUCTOR LTD.</w:t>
      </w:r>
    </w:p>
    <w:p>
      <w:pPr>
        <w:sectPr>
          <w:pgSz w:w="11900" w:h="16838" w:orient="portrait"/>
          <w:cols w:equalWidth="0" w:num="1">
            <w:col w:w="10239"/>
          </w:cols>
          <w:pgMar w:left="220" w:top="785"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May 26,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Nati Somekh Gilboa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 Somekh Gilboa</w:t>
      </w:r>
    </w:p>
    <w:p>
      <w:pPr>
        <w:spacing w:after="0" w:line="237" w:lineRule="auto"/>
        <w:rPr>
          <w:sz w:val="20"/>
          <w:szCs w:val="20"/>
          <w:color w:val="auto"/>
        </w:rPr>
      </w:pPr>
      <w:r>
        <w:rPr>
          <w:rFonts w:ascii="Courier New" w:cs="Courier New" w:eastAsia="Courier New" w:hAnsi="Courier New"/>
          <w:sz w:val="15"/>
          <w:szCs w:val="15"/>
          <w:color w:val="auto"/>
        </w:rPr>
        <w:t>Corporate Secretary</w:t>
      </w:r>
    </w:p>
    <w:p>
      <w:pPr>
        <w:sectPr>
          <w:pgSz w:w="11900" w:h="16838" w:orient="portrait"/>
          <w:cols w:equalWidth="0" w:num="2">
            <w:col w:w="3920" w:space="720"/>
            <w:col w:w="5599"/>
          </w:cols>
          <w:pgMar w:left="220" w:top="785" w:right="1440" w:bottom="1440" w:gutter="0" w:footer="0" w:header="0"/>
          <w:type w:val="continuous"/>
        </w:sectPr>
      </w:pPr>
    </w:p>
    <w:bookmarkStart w:id="2" w:name="page3"/>
    <w:bookmarkEnd w:id="2"/>
    <w:p>
      <w:pPr>
        <w:jc w:val="right"/>
        <w:ind w:right="3239"/>
        <w:spacing w:after="0"/>
        <w:rPr>
          <w:sz w:val="20"/>
          <w:szCs w:val="20"/>
          <w:color w:val="auto"/>
        </w:rPr>
      </w:pPr>
      <w:r>
        <w:rPr>
          <w:rFonts w:ascii="Courier New" w:cs="Courier New" w:eastAsia="Courier New" w:hAnsi="Courier New"/>
          <w:sz w:val="15"/>
          <w:szCs w:val="15"/>
          <w:color w:val="auto"/>
        </w:rPr>
        <w:t>Exhibit 99.1</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TOWER SEMICONDUCTOR ANNOUNCES</w:t>
      </w:r>
    </w:p>
    <w:p>
      <w:pPr>
        <w:ind w:left="2380"/>
        <w:spacing w:after="0" w:line="237" w:lineRule="auto"/>
        <w:rPr>
          <w:sz w:val="20"/>
          <w:szCs w:val="20"/>
          <w:color w:val="auto"/>
        </w:rPr>
      </w:pPr>
      <w:r>
        <w:rPr>
          <w:rFonts w:ascii="Courier New" w:cs="Courier New" w:eastAsia="Courier New" w:hAnsi="Courier New"/>
          <w:sz w:val="15"/>
          <w:szCs w:val="15"/>
          <w:color w:val="auto"/>
        </w:rPr>
        <w:t>FIRST QUARTER 2005 RESULTS</w:t>
      </w:r>
    </w:p>
    <w:p>
      <w:pPr>
        <w:spacing w:after="0" w:line="173" w:lineRule="exact"/>
        <w:rPr>
          <w:sz w:val="20"/>
          <w:szCs w:val="20"/>
          <w:color w:val="auto"/>
        </w:rPr>
      </w:pPr>
    </w:p>
    <w:p>
      <w:pPr>
        <w:jc w:val="center"/>
        <w:ind w:left="240" w:right="160"/>
        <w:spacing w:after="0" w:line="235" w:lineRule="auto"/>
        <w:rPr>
          <w:sz w:val="20"/>
          <w:szCs w:val="20"/>
          <w:color w:val="auto"/>
        </w:rPr>
      </w:pPr>
      <w:r>
        <w:rPr>
          <w:rFonts w:ascii="Courier New" w:cs="Courier New" w:eastAsia="Courier New" w:hAnsi="Courier New"/>
          <w:sz w:val="15"/>
          <w:szCs w:val="15"/>
          <w:color w:val="auto"/>
        </w:rPr>
        <w:t>COMPANY REINVIGORATED BY NEW LEADERSHIP; SIGNED A LETTER OF INTENT WITH ITS BANKS FOR UP TO $60 MILLION OF ADDITIONAL FUNDING, HALF TO BE FROM INVESTORS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Q2 BEGINS WITH NEW CUSTOMER MOMENTUM; TAPE-OUTS EXCEED TOTAL FOR</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SECOND HALF OF `04</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MIGDAL HAEMEK, Israel -- May 26, 2005 -- Tower Semiconductor Ltd. (NASDAQ: TSEM; TASE: TSEM), a pure-play independent specialty foundry, today announced first quarter results for fiscal year 2005, with revenues of $23.2 million. These revenues are compared with $27.2 million in the first quarter of 2004 and $30.1 million in the fourth quarter of 2004.</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2005 first quarter loss was $55.3 million, or $0.84 per share. This loss is compared with a loss of $38.5 million, or $0.61 per share, for the first quarter of 2004, and a loss of $23.3 million, or $0.36 per share, in the fourth quarter of 2004, which included $32 million, or $0.49 per share, of net capital gain from the sale of Saifun shares.</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Tower expects revenues in the second quarter of 2005 to be in the range of $26 to $28 million, including $8 million from a previously announced technology-related agreement.</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Russell Ellwanger, a former senior executive at Applied Materials, was appointed chief executive officer. Ellwanger brings more than 25 years of experience, strategic thinking, management skills and knowledge of the semiconductor industry. His appointment significantly strengthens Tower's senior management team.</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some of its shareholders and banks are holding discussions for additional funding to the company in the amount of approximately $60 million. Accordingly, in May 2005, Tower signed a Letter of Intent ("LOI") with its banks, which states that financing in the amount of up to $30 million will be provided by the banks, subject to Tower raising a similar amount from investors. To date, certain shareholders of Tower have informed the company of their willingness to invest $23.5 million towards such funding. The LOI is further subject to reaching a definitive amendment to the agreement with the banks.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Since Q4 2004 the company has seen an increase in new customer engagements, design starts and subsequent new product tape-outs to Fab 2. This trend continues during the first half of 2005 and is expected to yield increased new product revenue in the second half of 2005. During Q1, a lead customer started a 0.13-micron design for a high volume product.</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"Despite the apparent short term difficulties in our market, our pipeline of new customers, products and value-added technology projects is encouraging," Ellwanger said. "It is especially encouraging to hear from our customers that the added value in several of these tape-outs is significant, and hence will continue to position Tower as a leading specialty foundry for years to 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Q1, Tower's management proactively implemented measures to reduce expenses, cost structure and cash burn. In March, the company announced the completion of a workforce cutback, as part of an across-the-board savings plan focused on operational efficiencies.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Tower's exceptional customer and technical support were recognized through an Award of Excellence from ON Semiconductor (NASDAQ: ONNN) for outstanding service and support to its Analog Products Group. In addition, Tower demonstrated benchmark-setting performance in the area of low power FPGAs through its cooperation with QuickLogic (NASDAQ: QUIK).</w:t>
      </w:r>
    </w:p>
    <w:p>
      <w:pPr>
        <w:spacing w:after="0" w:line="174"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Tower continues to focus on initiatives discussed in previous financial releases:</w:t>
      </w:r>
    </w:p>
    <w:p>
      <w:pPr>
        <w:spacing w:after="0" w:line="335" w:lineRule="exact"/>
        <w:rPr>
          <w:sz w:val="20"/>
          <w:szCs w:val="20"/>
          <w:color w:val="auto"/>
        </w:rPr>
      </w:pPr>
    </w:p>
    <w:p>
      <w:pPr>
        <w:ind w:left="440" w:hanging="430"/>
        <w:spacing w:after="0"/>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DIVERSIFYING CUSTOMER BASE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gridSpan w:val="3"/>
          </w:tcPr>
          <w:p>
            <w:pPr>
              <w:spacing w:after="0"/>
              <w:rPr>
                <w:sz w:val="20"/>
                <w:szCs w:val="20"/>
                <w:color w:val="auto"/>
              </w:rPr>
            </w:pPr>
            <w:r>
              <w:rPr>
                <w:rFonts w:ascii="Courier New" w:cs="Courier New" w:eastAsia="Courier New" w:hAnsi="Courier New"/>
                <w:sz w:val="15"/>
                <w:szCs w:val="15"/>
                <w:color w:val="auto"/>
              </w:rPr>
              <w:t>TOTAL CUSTOMER COUNT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Q1</w:t>
            </w: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2005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Q1</w:t>
            </w: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2004</w:t>
            </w:r>
          </w:p>
        </w:tc>
      </w:tr>
      <w:tr>
        <w:trPr>
          <w:trHeight w:val="168"/>
        </w:trPr>
        <w:tc>
          <w:tcPr>
            <w:tcW w:w="500" w:type="dxa"/>
            <w:vAlign w:val="bottom"/>
            <w:gridSpan w:val="2"/>
          </w:tcPr>
          <w:p>
            <w:pPr>
              <w:spacing w:after="0"/>
              <w:rPr>
                <w:sz w:val="20"/>
                <w:szCs w:val="20"/>
                <w:color w:val="auto"/>
              </w:rPr>
            </w:pPr>
            <w:r>
              <w:rPr>
                <w:rFonts w:ascii="Courier New" w:cs="Courier New" w:eastAsia="Courier New" w:hAnsi="Courier New"/>
                <w:sz w:val="5"/>
                <w:szCs w:val="5"/>
                <w:color w:val="auto"/>
                <w:w w:val="72"/>
              </w:rPr>
              <w:t>- --------------------</w:t>
            </w:r>
          </w:p>
        </w:tc>
        <w:tc>
          <w:tcPr>
            <w:tcW w:w="2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rPr>
              <w:t>95%</w:t>
            </w:r>
          </w:p>
        </w:tc>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of revenue generated by:</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customers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w w:val="93"/>
              </w:rPr>
              <w:t>customers</w:t>
            </w:r>
          </w:p>
        </w:tc>
      </w:tr>
      <w:tr>
        <w:trPr>
          <w:trHeight w:val="168"/>
        </w:trPr>
        <w:tc>
          <w:tcPr>
            <w:tcW w:w="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Fab 2</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production customers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customers</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customers</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Fab</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pre-production customers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customers</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customers</w:t>
            </w:r>
          </w:p>
        </w:tc>
      </w:tr>
    </w:tbl>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BASE PROFILE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TYPE OF CUSTOMER</w:t>
            </w:r>
          </w:p>
        </w:tc>
        <w:tc>
          <w:tcPr>
            <w:tcW w:w="2360" w:type="dxa"/>
            <w:vAlign w:val="bottom"/>
          </w:tcPr>
          <w:p>
            <w:pPr>
              <w:ind w:left="1040"/>
              <w:spacing w:after="0"/>
              <w:rPr>
                <w:sz w:val="20"/>
                <w:szCs w:val="20"/>
                <w:color w:val="auto"/>
              </w:rPr>
            </w:pPr>
            <w:r>
              <w:rPr>
                <w:rFonts w:ascii="Courier New" w:cs="Courier New" w:eastAsia="Courier New" w:hAnsi="Courier New"/>
                <w:sz w:val="15"/>
                <w:szCs w:val="15"/>
                <w:color w:val="auto"/>
              </w:rPr>
              <w:t>Q1 2005</w:t>
            </w:r>
          </w:p>
        </w:tc>
        <w:tc>
          <w:tcPr>
            <w:tcW w:w="1300" w:type="dxa"/>
            <w:vAlign w:val="bottom"/>
          </w:tcPr>
          <w:p>
            <w:pPr>
              <w:ind w:left="520"/>
              <w:spacing w:after="0"/>
              <w:rPr>
                <w:sz w:val="20"/>
                <w:szCs w:val="20"/>
                <w:color w:val="auto"/>
              </w:rPr>
            </w:pPr>
            <w:r>
              <w:rPr>
                <w:rFonts w:ascii="Courier New" w:cs="Courier New" w:eastAsia="Courier New" w:hAnsi="Courier New"/>
                <w:sz w:val="15"/>
                <w:szCs w:val="15"/>
                <w:color w:val="auto"/>
              </w:rPr>
              <w:t>Q1 2004</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Fabless</w:t>
            </w:r>
          </w:p>
        </w:tc>
        <w:tc>
          <w:tcPr>
            <w:tcW w:w="2360" w:type="dxa"/>
            <w:vAlign w:val="bottom"/>
          </w:tcPr>
          <w:p>
            <w:pPr>
              <w:ind w:left="1040"/>
              <w:spacing w:after="0"/>
              <w:rPr>
                <w:sz w:val="20"/>
                <w:szCs w:val="20"/>
                <w:color w:val="auto"/>
              </w:rPr>
            </w:pPr>
            <w:r>
              <w:rPr>
                <w:rFonts w:ascii="Courier New" w:cs="Courier New" w:eastAsia="Courier New" w:hAnsi="Courier New"/>
                <w:sz w:val="15"/>
                <w:szCs w:val="15"/>
                <w:color w:val="auto"/>
              </w:rPr>
              <w:t>76%</w:t>
            </w:r>
          </w:p>
        </w:tc>
        <w:tc>
          <w:tcPr>
            <w:tcW w:w="1300" w:type="dxa"/>
            <w:vAlign w:val="bottom"/>
          </w:tcPr>
          <w:p>
            <w:pPr>
              <w:ind w:left="520"/>
              <w:spacing w:after="0"/>
              <w:rPr>
                <w:sz w:val="20"/>
                <w:szCs w:val="20"/>
                <w:color w:val="auto"/>
              </w:rPr>
            </w:pPr>
            <w:r>
              <w:rPr>
                <w:rFonts w:ascii="Courier New" w:cs="Courier New" w:eastAsia="Courier New" w:hAnsi="Courier New"/>
                <w:sz w:val="15"/>
                <w:szCs w:val="15"/>
                <w:color w:val="auto"/>
              </w:rPr>
              <w:t>60%</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IDM</w:t>
            </w:r>
          </w:p>
        </w:tc>
        <w:tc>
          <w:tcPr>
            <w:tcW w:w="236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24%</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40%</w:t>
            </w:r>
          </w:p>
        </w:tc>
      </w:tr>
    </w:tbl>
    <w:p>
      <w:pPr>
        <w:sectPr>
          <w:pgSz w:w="11900" w:h="16838" w:orient="portrait"/>
          <w:cols w:equalWidth="0" w:num="1">
            <w:col w:w="10239"/>
          </w:cols>
          <w:pgMar w:left="220" w:top="303" w:right="1440" w:bottom="12"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3.   SALES BY GEOGRAPHY</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505"/>
        </w:trPr>
        <w:tc>
          <w:tcPr>
            <w:tcW w:w="3120" w:type="dxa"/>
            <w:vAlign w:val="bottom"/>
          </w:tcPr>
          <w:p>
            <w:pPr>
              <w:spacing w:after="0"/>
              <w:rPr>
                <w:sz w:val="20"/>
                <w:szCs w:val="20"/>
                <w:color w:val="auto"/>
              </w:rPr>
            </w:pPr>
            <w:r>
              <w:rPr>
                <w:rFonts w:ascii="Courier New" w:cs="Courier New" w:eastAsia="Courier New" w:hAnsi="Courier New"/>
                <w:sz w:val="15"/>
                <w:szCs w:val="15"/>
                <w:color w:val="auto"/>
              </w:rPr>
              <w:t>REGION</w:t>
            </w:r>
          </w:p>
        </w:tc>
        <w:tc>
          <w:tcPr>
            <w:tcW w:w="1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Q1 2005</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Q1 2004</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8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77%</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77%</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Israel</w:t>
            </w:r>
          </w:p>
        </w:tc>
        <w:tc>
          <w:tcPr>
            <w:tcW w:w="18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5%</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Pacific Rim (including Japan)</w:t>
            </w:r>
          </w:p>
        </w:tc>
        <w:tc>
          <w:tcPr>
            <w:tcW w:w="18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Europe</w:t>
            </w:r>
          </w:p>
        </w:tc>
        <w:tc>
          <w:tcPr>
            <w:tcW w:w="18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8%</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w:t>
            </w:r>
          </w:p>
        </w:tc>
      </w:tr>
    </w:tbl>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DEVELOPING SPECIALIZED TECHNOLOGY OFFERINGS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Tower continues to develop differentiated technologies, utilizing core technical knowledge in embedded NVM, CMOS image sensors, mixed-signal and RF technologies, according to its strategic roadmap.</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During the first quarter, Tower increased its CMOS image sensors share of total revenue, as can be seen in the table below. Non-volatile memory is reduced mainly to the inclusion of income related to a Fab2 technology agreement milestone in Q1 2004, as well as inventory reduction activity by certain NVM customers and pricing pressures in the stand-alone Flash market.</w:t>
      </w:r>
    </w:p>
    <w:p>
      <w:pPr>
        <w:sectPr>
          <w:pgSz w:w="11900" w:h="16838" w:orient="portrait"/>
          <w:cols w:equalWidth="0" w:num="1">
            <w:col w:w="10239"/>
          </w:cols>
          <w:pgMar w:left="220" w:top="13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TECHNOLOGY SEGMENT CONSOLIDATED</w:t>
            </w:r>
          </w:p>
        </w:tc>
        <w:tc>
          <w:tcPr>
            <w:tcW w:w="17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Q1 2005</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Q1 2004</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7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Core CMOS</w:t>
            </w:r>
          </w:p>
        </w:tc>
        <w:tc>
          <w:tcPr>
            <w:tcW w:w="17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69%</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Non Volatile memory</w:t>
            </w:r>
          </w:p>
        </w:tc>
        <w:tc>
          <w:tcPr>
            <w:tcW w:w="17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8%</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CMOS imager sensors</w:t>
            </w:r>
          </w:p>
        </w:tc>
        <w:tc>
          <w:tcPr>
            <w:tcW w:w="17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11%</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Mixed Signal</w:t>
            </w:r>
          </w:p>
        </w:tc>
        <w:tc>
          <w:tcPr>
            <w:tcW w:w="17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12%</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FAB1</w:t>
            </w: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Core CMOS</w:t>
            </w:r>
          </w:p>
        </w:tc>
        <w:tc>
          <w:tcPr>
            <w:tcW w:w="17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36%</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Non Volatile memory</w:t>
            </w:r>
          </w:p>
        </w:tc>
        <w:tc>
          <w:tcPr>
            <w:tcW w:w="17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18%</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CMOS imager sensors</w:t>
            </w:r>
          </w:p>
        </w:tc>
        <w:tc>
          <w:tcPr>
            <w:tcW w:w="17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20%</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Mixed Signal</w:t>
            </w:r>
          </w:p>
        </w:tc>
        <w:tc>
          <w:tcPr>
            <w:tcW w:w="17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26%</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FAB2</w:t>
            </w: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Core CMOS</w:t>
            </w:r>
          </w:p>
        </w:tc>
        <w:tc>
          <w:tcPr>
            <w:tcW w:w="17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92%</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Non Volatile memory</w:t>
            </w:r>
          </w:p>
        </w:tc>
        <w:tc>
          <w:tcPr>
            <w:tcW w:w="17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CMOS imager sensors</w:t>
            </w:r>
          </w:p>
        </w:tc>
        <w:tc>
          <w:tcPr>
            <w:tcW w:w="17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5%</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Mixed Signal</w:t>
            </w:r>
          </w:p>
        </w:tc>
        <w:tc>
          <w:tcPr>
            <w:tcW w:w="17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2%</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w:t>
            </w:r>
          </w:p>
        </w:tc>
      </w:tr>
    </w:tbl>
    <w:p>
      <w:pPr>
        <w:spacing w:after="0" w:line="341"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The company made progress in 0.13u technology, running initial shuttle with customers test chips and many IP blocks. Tower expects that production ramp will start during the last quarter of 2005 and will increase significantly in 2006.</w:t>
      </w:r>
    </w:p>
    <w:p>
      <w:pPr>
        <w:spacing w:after="0" w:line="323"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DIVERSIFYING REVENUES BY MARKET SEGMENT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Tower maintains its market segment diversification.</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INDUSTRY SEGMENT</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Q1 2005</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Q1 2004</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Consumer</w:t>
            </w:r>
          </w:p>
        </w:tc>
        <w:tc>
          <w:tcPr>
            <w:tcW w:w="16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48%</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37%</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Communication</w:t>
            </w:r>
          </w:p>
        </w:tc>
        <w:tc>
          <w:tcPr>
            <w:tcW w:w="16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18%</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PC</w:t>
            </w:r>
          </w:p>
        </w:tc>
        <w:tc>
          <w:tcPr>
            <w:tcW w:w="16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2%</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Industrial, medical and automotive</w:t>
            </w:r>
          </w:p>
        </w:tc>
        <w:tc>
          <w:tcPr>
            <w:tcW w:w="16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12%</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 market and others</w:t>
            </w:r>
          </w:p>
        </w:tc>
        <w:tc>
          <w:tcPr>
            <w:tcW w:w="16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20%</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w:t>
            </w:r>
          </w:p>
        </w:tc>
      </w:tr>
    </w:tbl>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Tower will host a conference call to discuss these results on May 26, at 11a.m. Eastern time/6 p.m. Israel time. To participate, call 1-800-406-5345 (U.S. toll-free number) or 1-913-981-5571 (international) and mention ID code: TOWER. Callers in Israel are invited to call locally 03-925-5910. The conference call will also be webcast live at www.companyboardroom.com and at www.towersemi.com and will be available thereafter on both websites for replay for 90 days, starting at 2 p.m. Eastern time on the day of the call.</w:t>
      </w:r>
    </w:p>
    <w:p>
      <w:pPr>
        <w:sectPr>
          <w:pgSz w:w="11900" w:h="16838" w:orient="portrait"/>
          <w:cols w:equalWidth="0" w:num="1">
            <w:col w:w="10239"/>
          </w:cols>
          <w:pgMar w:left="220" w:top="785"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ABOUT TOWER SEMICONDUCTOR LTD.</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 micron and below standard and specialized process technologies and has a current capacity of up to 15,000 200mm wafers per month. Tower's website is located at www.towersemi.com.</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OPERATE THE COMPANY AND TO COMPLETE THE FAB 2 PROJECT, INCLUDING IN THE EVENT THAT THE LETTER OF INTENT SIGNED WITH THE BANKS IN MAY 2005 WILL NOT MATERIALIZE INTO A DEFINITIVE AMENDMENT TO THE FACILITY AGREEMENT (III) THE CYCLICAL NATURE OF THE SEMICONDUCTOR INDUSTRY AND THE RESULTING PERIODIC OVERCAPACITY, FLUCTUATIONS IN OPERATING RESULTS, FUTURE AVERAGE SELLING PRICE EROSION THAT MAY BE MORE SEVERE THAN OUR EXPECTATIONS, (IV) OPERATING OUR FACILITIES AT SATISFACTORY UTILIZATION RATES WHICH IS CRITICAL IN ORDER TO COVER THE HIGH LEVEL OF FIXED COSTS ASSOCIATED WITH OPERATING A FOUNDRY, (V) OUR ABILITY TO MEET CERTAIN OF THE COVENANTS STIPULATED IN OUR AMENDED FACILITY AGREEMENT AND THE MATERIALIZATION OF THE LETTER OF INTENT SIGNED WITH THE BANKS IN MAY 2005 INTO A DEFINITIVE AMENDMENT TO THE FACILITY AGREEMENT (VI) OUR ABILITY TO CAPITALIZE ON INCREASES IN DEMAND FOR FOUNDRY SERVICES, (VII) MEETING THE CONDITIONS TO RECEIVE ISRAELI GOVERNMENT GRANTS AND TAX BENEFITS APPROVED FOR FAB 2 AND OBTAINING THE APPROVAL OF THE ISRAELI INVESTMENT CENTER TO EXTEND OR TO EXPAND THE FIVE-YEAR INVESTMENT PERIOD UNDER OUR FAB 2 APPROVED ENTERPRISE PROGRAM, (VIII) ATTRACTING ADDITIONAL CUSTOMERS, (IX) NOT RECEIVING ORDERS FROM OUR WAFER PARTNERS AND TECHNOLOGY PROVIDERS, (X) FAILING TO MAINTAIN AND DEVELOP OUR TECHNOLOGY PROCESSES AND SERVICES, (XI) COMPETING EFFECTIVELY, (XII) OUR LARGE AMOUNT OF DEBT, (XIII) ACHIEVING ACCEPTABLE DEVICE YIELDS, PRODUCT PERFORMANCE AND DELIVERY TIMES, (XIV) THE TIMELY DEVELOPMENT, INTERNAL QUALIFICATION AND CUSTOMER ACCEPTANCE OF NEW PROCESSES AND PRODUCTS, (XV) BUSINESS INTERRUPTION DUE TO EARTHQUAKES, TERROR ATTACKS AND OTHER ACTS OF GOD.</w:t>
      </w:r>
    </w:p>
    <w:p>
      <w:pPr>
        <w:spacing w:after="0" w:line="346"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A MORE COMPLETE DISCUSSION OF RISKS AND UNCERTAINTIES THAT MAY AFFECT THE ACCURACY OF FORWARD-LOOKING STATEMENTS INCLUDED IN THIS PRESS RELEASE OR WHICH MAY OTHERWISE AFFECT OUR BUSINESS IS INCLUDED UNDER THE HEADING "RISK FACTORS" IN OUR MOST RECENT ANNUAL REPORT ON FORMS 20-F AND 6-K, AS WERE FILED WITH THE SECURITIES AND EXCHANGE COMMISSION AND THE ISRAEL SECURITIES AUTHORITY. FUTURE RESULTS MAY DIFFER MATERIALLY FROM THOSE PREVIOUSLY REPORTED. WE DO NOT INTEND TO UPDATE THE INFORMATION CONTAINED IN THIS RELEASE.</w:t>
      </w:r>
    </w:p>
    <w:p>
      <w:pPr>
        <w:sectPr>
          <w:pgSz w:w="11900" w:h="16838" w:orient="portrait"/>
          <w:cols w:equalWidth="0" w:num="1">
            <w:col w:w="10239"/>
          </w:cols>
          <w:pgMar w:left="220" w:top="78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CONTACT: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Tower Semiconductor USA</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Michael Axelrod, +1 408 330 6871</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pr@towersemi.com</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Pacifico Inc.</w:t>
      </w:r>
    </w:p>
    <w:p>
      <w:pPr>
        <w:ind w:left="440"/>
        <w:spacing w:after="0" w:line="237" w:lineRule="auto"/>
        <w:rPr>
          <w:sz w:val="20"/>
          <w:szCs w:val="20"/>
          <w:color w:val="auto"/>
        </w:rPr>
      </w:pPr>
      <w:r>
        <w:rPr>
          <w:rFonts w:ascii="Courier New" w:cs="Courier New" w:eastAsia="Courier New" w:hAnsi="Courier New"/>
          <w:sz w:val="15"/>
          <w:szCs w:val="15"/>
          <w:color w:val="auto"/>
        </w:rPr>
        <w:t>PR Agency Contact</w:t>
      </w:r>
    </w:p>
    <w:p>
      <w:pPr>
        <w:ind w:left="440"/>
        <w:spacing w:after="0" w:line="238" w:lineRule="auto"/>
        <w:rPr>
          <w:sz w:val="20"/>
          <w:szCs w:val="20"/>
          <w:color w:val="auto"/>
        </w:rPr>
      </w:pPr>
      <w:r>
        <w:rPr>
          <w:rFonts w:ascii="Courier New" w:cs="Courier New" w:eastAsia="Courier New" w:hAnsi="Courier New"/>
          <w:sz w:val="15"/>
          <w:szCs w:val="15"/>
          <w:color w:val="auto"/>
        </w:rPr>
        <w:t>Mary Curtis, +1 408 293 8600</w:t>
      </w:r>
    </w:p>
    <w:p>
      <w:pPr>
        <w:ind w:left="440"/>
        <w:spacing w:after="0" w:line="237" w:lineRule="auto"/>
        <w:rPr>
          <w:sz w:val="20"/>
          <w:szCs w:val="20"/>
          <w:color w:val="auto"/>
        </w:rPr>
      </w:pPr>
      <w:r>
        <w:rPr>
          <w:rFonts w:ascii="Courier New" w:cs="Courier New" w:eastAsia="Courier New" w:hAnsi="Courier New"/>
          <w:sz w:val="15"/>
          <w:szCs w:val="15"/>
          <w:color w:val="auto"/>
        </w:rPr>
        <w:t>mcurtis@pacifico.com</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Fusion IR &amp; Communications</w:t>
      </w:r>
    </w:p>
    <w:p>
      <w:pPr>
        <w:ind w:left="440"/>
        <w:spacing w:after="0" w:line="237" w:lineRule="auto"/>
        <w:rPr>
          <w:sz w:val="20"/>
          <w:szCs w:val="20"/>
          <w:color w:val="auto"/>
        </w:rPr>
      </w:pPr>
      <w:r>
        <w:rPr>
          <w:rFonts w:ascii="Courier New" w:cs="Courier New" w:eastAsia="Courier New" w:hAnsi="Courier New"/>
          <w:sz w:val="15"/>
          <w:szCs w:val="15"/>
          <w:color w:val="auto"/>
        </w:rPr>
        <w:t>Investor Relations Contact</w:t>
      </w:r>
    </w:p>
    <w:p>
      <w:pPr>
        <w:ind w:left="440"/>
        <w:spacing w:after="0" w:line="238" w:lineRule="auto"/>
        <w:rPr>
          <w:sz w:val="20"/>
          <w:szCs w:val="20"/>
          <w:color w:val="auto"/>
        </w:rPr>
      </w:pPr>
      <w:r>
        <w:rPr>
          <w:rFonts w:ascii="Courier New" w:cs="Courier New" w:eastAsia="Courier New" w:hAnsi="Courier New"/>
          <w:sz w:val="15"/>
          <w:szCs w:val="15"/>
          <w:color w:val="auto"/>
        </w:rPr>
        <w:t>Sheldon Lutch, +1 212 268 1816</w:t>
      </w:r>
    </w:p>
    <w:p>
      <w:pPr>
        <w:ind w:left="440"/>
        <w:spacing w:after="0" w:line="237" w:lineRule="auto"/>
        <w:rPr>
          <w:sz w:val="20"/>
          <w:szCs w:val="20"/>
          <w:color w:val="auto"/>
        </w:rPr>
      </w:pPr>
      <w:r>
        <w:rPr>
          <w:rFonts w:ascii="Courier New" w:cs="Courier New" w:eastAsia="Courier New" w:hAnsi="Courier New"/>
          <w:sz w:val="15"/>
          <w:szCs w:val="15"/>
          <w:color w:val="auto"/>
        </w:rPr>
        <w:t>sheldon@fusionir.com</w:t>
      </w:r>
    </w:p>
    <w:p>
      <w:pPr>
        <w:sectPr>
          <w:pgSz w:w="11900" w:h="16838" w:orient="portrait"/>
          <w:cols w:equalWidth="0" w:num="1">
            <w:col w:w="10239"/>
          </w:cols>
          <w:pgMar w:left="220" w:top="785" w:right="1440" w:bottom="1440" w:gutter="0" w:footer="0" w:header="0"/>
        </w:sectPr>
      </w:pPr>
    </w:p>
    <w:bookmarkStart w:id="7" w:name="page8"/>
    <w:bookmarkEnd w:id="7"/>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69"/>
        </w:trPr>
        <w:tc>
          <w:tcPr>
            <w:tcW w:w="6920" w:type="dxa"/>
            <w:vAlign w:val="bottom"/>
            <w:gridSpan w:val="3"/>
          </w:tcPr>
          <w:p>
            <w:pPr>
              <w:ind w:left="880"/>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41"/>
        </w:trPr>
        <w:tc>
          <w:tcPr>
            <w:tcW w:w="5820" w:type="dxa"/>
            <w:vAlign w:val="bottom"/>
          </w:tcPr>
          <w:p>
            <w:pPr>
              <w:spacing w:after="0"/>
              <w:rPr>
                <w:sz w:val="24"/>
                <w:szCs w:val="24"/>
                <w:color w:val="auto"/>
              </w:rPr>
            </w:pPr>
          </w:p>
        </w:tc>
        <w:tc>
          <w:tcPr>
            <w:tcW w:w="11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MARCH 31,</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8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2005</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58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82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34,507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27,664</w:t>
            </w: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9"/>
              </w:rPr>
              <w:t>DESIGNATED CASH AND SHORT-TERM INTEREST-BEARING DEPOSITS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17,614</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53,793</w:t>
            </w: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12,141</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19,286</w:t>
            </w: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9,430</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11,365</w:t>
            </w: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INVENTORIES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21,624</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25,669</w:t>
            </w: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861</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1,818</w:t>
            </w:r>
          </w:p>
        </w:tc>
      </w:tr>
      <w:tr>
        <w:trPr>
          <w:trHeight w:val="168"/>
        </w:trPr>
        <w:tc>
          <w:tcPr>
            <w:tcW w:w="58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96,177</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139,595</w:t>
            </w:r>
          </w:p>
        </w:tc>
      </w:tr>
      <w:tr>
        <w:trPr>
          <w:trHeight w:val="168"/>
        </w:trPr>
        <w:tc>
          <w:tcPr>
            <w:tcW w:w="58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LONG-TERM INVESTMENTS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8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DESIGNATED FOR FAB 2 OPERATIONS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5,071</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5,134</w:t>
            </w: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LONG-TERM INVESTMENT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5,071</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5,134</w:t>
            </w:r>
          </w:p>
        </w:tc>
      </w:tr>
      <w:tr>
        <w:trPr>
          <w:trHeight w:val="168"/>
        </w:trPr>
        <w:tc>
          <w:tcPr>
            <w:tcW w:w="58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PROPERTY AND EQUIPMENT, NET</w:t>
            </w:r>
          </w:p>
        </w:tc>
        <w:tc>
          <w:tcPr>
            <w:tcW w:w="2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587,707</w:t>
            </w:r>
          </w:p>
        </w:tc>
        <w:tc>
          <w:tcPr>
            <w:tcW w:w="2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609,296</w:t>
            </w:r>
          </w:p>
        </w:tc>
      </w:tr>
      <w:tr>
        <w:trPr>
          <w:trHeight w:val="168"/>
        </w:trPr>
        <w:tc>
          <w:tcPr>
            <w:tcW w:w="58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OTHER ASSETS, NET</w:t>
            </w:r>
          </w:p>
        </w:tc>
        <w:tc>
          <w:tcPr>
            <w:tcW w:w="2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92,478</w:t>
            </w:r>
          </w:p>
        </w:tc>
        <w:tc>
          <w:tcPr>
            <w:tcW w:w="2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93,483</w:t>
            </w:r>
          </w:p>
        </w:tc>
      </w:tr>
      <w:tr>
        <w:trPr>
          <w:trHeight w:val="168"/>
        </w:trPr>
        <w:tc>
          <w:tcPr>
            <w:tcW w:w="58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ind w:left="1400"/>
              <w:spacing w:after="0"/>
              <w:rPr>
                <w:sz w:val="20"/>
                <w:szCs w:val="20"/>
                <w:color w:val="auto"/>
              </w:rPr>
            </w:pPr>
            <w:r>
              <w:rPr>
                <w:rFonts w:ascii="Courier New" w:cs="Courier New" w:eastAsia="Courier New" w:hAnsi="Courier New"/>
                <w:sz w:val="15"/>
                <w:szCs w:val="15"/>
                <w:color w:val="auto"/>
              </w:rPr>
              <w:t>TOTAL ASSETS</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$ 781,433</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$ 847,508</w:t>
            </w:r>
          </w:p>
        </w:tc>
      </w:tr>
      <w:tr>
        <w:trPr>
          <w:trHeight w:val="168"/>
        </w:trPr>
        <w:tc>
          <w:tcPr>
            <w:tcW w:w="58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8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53,249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65,326</w:t>
            </w: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CURRENT MATURITIES OF CONVERTIBLE DEBENTURES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6,575</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9,625</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10,678</w:t>
            </w:r>
          </w:p>
        </w:tc>
      </w:tr>
      <w:tr>
        <w:trPr>
          <w:trHeight w:val="168"/>
        </w:trPr>
        <w:tc>
          <w:tcPr>
            <w:tcW w:w="58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69,449</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76,004</w:t>
            </w:r>
          </w:p>
        </w:tc>
      </w:tr>
      <w:tr>
        <w:trPr>
          <w:trHeight w:val="336"/>
        </w:trPr>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LONG-TERM DEBT</w:t>
            </w:r>
          </w:p>
        </w:tc>
        <w:tc>
          <w:tcPr>
            <w:tcW w:w="2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497,000</w:t>
            </w:r>
          </w:p>
        </w:tc>
        <w:tc>
          <w:tcPr>
            <w:tcW w:w="2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497,000</w:t>
            </w:r>
          </w:p>
        </w:tc>
      </w:tr>
      <w:tr>
        <w:trPr>
          <w:trHeight w:val="336"/>
        </w:trPr>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CONVERTIBLE DEBENTURES</w:t>
            </w:r>
          </w:p>
        </w:tc>
        <w:tc>
          <w:tcPr>
            <w:tcW w:w="2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19,724</w:t>
            </w:r>
          </w:p>
        </w:tc>
        <w:tc>
          <w:tcPr>
            <w:tcW w:w="2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26,651</w:t>
            </w:r>
          </w:p>
        </w:tc>
      </w:tr>
      <w:tr>
        <w:trPr>
          <w:trHeight w:val="336"/>
        </w:trPr>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LONG-TERM LIABILITY IN RESPECT</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8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63,326</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64,428</w:t>
            </w:r>
          </w:p>
        </w:tc>
      </w:tr>
      <w:tr>
        <w:trPr>
          <w:trHeight w:val="336"/>
        </w:trPr>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OTHER LONG-TERM LIABILITIES</w:t>
            </w:r>
          </w:p>
        </w:tc>
        <w:tc>
          <w:tcPr>
            <w:tcW w:w="2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19,274</w:t>
            </w:r>
          </w:p>
        </w:tc>
        <w:tc>
          <w:tcPr>
            <w:tcW w:w="2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15,445</w:t>
            </w:r>
          </w:p>
        </w:tc>
      </w:tr>
      <w:tr>
        <w:trPr>
          <w:trHeight w:val="168"/>
        </w:trPr>
        <w:tc>
          <w:tcPr>
            <w:tcW w:w="58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668,773</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679,528</w:t>
            </w:r>
          </w:p>
        </w:tc>
      </w:tr>
      <w:tr>
        <w:trPr>
          <w:trHeight w:val="168"/>
        </w:trPr>
        <w:tc>
          <w:tcPr>
            <w:tcW w:w="58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ind w:left="440"/>
              <w:spacing w:after="0"/>
              <w:rPr>
                <w:sz w:val="20"/>
                <w:szCs w:val="20"/>
                <w:color w:val="auto"/>
              </w:rPr>
            </w:pPr>
            <w:r>
              <w:rPr>
                <w:rFonts w:ascii="Courier New" w:cs="Courier New" w:eastAsia="Courier New" w:hAnsi="Courier New"/>
                <w:sz w:val="15"/>
                <w:szCs w:val="15"/>
                <w:color w:val="auto"/>
              </w:rPr>
              <w:t>SHAREHOLDERS' EQUITY</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ORDINARY SHARES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16,274</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16,274</w:t>
            </w: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517,476</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517,476</w:t>
            </w: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SHAREHOLDER RECEIVABLES</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(411,992)</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(356,672)</w:t>
            </w:r>
          </w:p>
        </w:tc>
      </w:tr>
      <w:tr>
        <w:trPr>
          <w:trHeight w:val="168"/>
        </w:trPr>
        <w:tc>
          <w:tcPr>
            <w:tcW w:w="58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121,732</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177,052</w:t>
            </w: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TREASURY STOCK, AT COST</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(9,072)</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58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112,660</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167,980</w:t>
            </w:r>
          </w:p>
        </w:tc>
      </w:tr>
      <w:tr>
        <w:trPr>
          <w:trHeight w:val="168"/>
        </w:trPr>
        <w:tc>
          <w:tcPr>
            <w:tcW w:w="58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ind w:left="140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$ 781,433</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$ 847,508</w:t>
            </w:r>
          </w:p>
        </w:tc>
      </w:tr>
      <w:tr>
        <w:trPr>
          <w:trHeight w:val="168"/>
        </w:trPr>
        <w:tc>
          <w:tcPr>
            <w:tcW w:w="58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785" w:right="1440" w:bottom="1440" w:gutter="0" w:footer="0" w:header="0"/>
        </w:sectPr>
      </w:pPr>
    </w:p>
    <w:bookmarkStart w:id="8" w:name="page9"/>
    <w:bookmarkEnd w:id="8"/>
    <w:p>
      <w:pPr>
        <w:jc w:val="center"/>
        <w:ind w:left="240" w:right="860"/>
        <w:spacing w:after="0" w:line="235" w:lineRule="auto"/>
        <w:rPr>
          <w:sz w:val="20"/>
          <w:szCs w:val="20"/>
          <w:color w:val="auto"/>
        </w:rPr>
      </w:pPr>
      <w:r>
        <w:rPr>
          <w:rFonts w:ascii="Courier New" w:cs="Courier New" w:eastAsia="Courier New" w:hAnsi="Courier New"/>
          <w:sz w:val="15"/>
          <w:szCs w:val="15"/>
          <w:color w:val="auto"/>
        </w:rPr>
        <w:t>TOWER SEMICONDUCTOR LTD. AND SUBSIDIARY CONSOLIDATED STATEMENTS OF OPERATIONS (DOLLARS IN THOUSANDS, EXCEPT SHARE DATA AND PER SHARE DATA)</w:t>
      </w:r>
    </w:p>
    <w:p>
      <w:pPr>
        <w:spacing w:after="0" w:line="200" w:lineRule="exact"/>
        <w:rPr>
          <w:sz w:val="20"/>
          <w:szCs w:val="20"/>
          <w:color w:val="auto"/>
        </w:rPr>
      </w:pPr>
    </w:p>
    <w:p>
      <w:pPr>
        <w:spacing w:after="0" w:line="304"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THREE MONTHS ENDED</w:t>
      </w:r>
    </w:p>
    <w:p>
      <w:pPr>
        <w:ind w:left="4480"/>
        <w:spacing w:after="0" w:line="237" w:lineRule="auto"/>
        <w:rPr>
          <w:sz w:val="20"/>
          <w:szCs w:val="20"/>
          <w:color w:val="auto"/>
        </w:rPr>
      </w:pPr>
      <w:r>
        <w:rPr>
          <w:rFonts w:ascii="Courier New" w:cs="Courier New" w:eastAsia="Courier New" w:hAnsi="Courier New"/>
          <w:sz w:val="15"/>
          <w:szCs w:val="15"/>
          <w:color w:val="auto"/>
        </w:rPr>
        <w:t>MARCH 31,</w:t>
      </w:r>
    </w:p>
    <w:tbl>
      <w:tblPr>
        <w:tblLayout w:type="fixed"/>
        <w:tblInd w:w="0" w:type="dxa"/>
        <w:tblCellMar>
          <w:top w:w="0" w:type="dxa"/>
          <w:left w:w="0" w:type="dxa"/>
          <w:bottom w:w="0" w:type="dxa"/>
          <w:right w:w="0" w:type="dxa"/>
        </w:tblCellMar>
      </w:tblPr>
      <w:tr>
        <w:trPr>
          <w:trHeight w:val="169"/>
        </w:trPr>
        <w:tc>
          <w:tcPr>
            <w:tcW w:w="3820" w:type="dxa"/>
            <w:vAlign w:val="bottom"/>
          </w:tcPr>
          <w:p>
            <w:pPr>
              <w:spacing w:after="0"/>
              <w:rPr>
                <w:sz w:val="14"/>
                <w:szCs w:val="14"/>
                <w:color w:val="auto"/>
              </w:rPr>
            </w:pPr>
          </w:p>
        </w:tc>
        <w:tc>
          <w:tcPr>
            <w:tcW w:w="1960" w:type="dxa"/>
            <w:vAlign w:val="bottom"/>
            <w:gridSpan w:val="2"/>
          </w:tcPr>
          <w:p>
            <w:pPr>
              <w:jc w:val="right"/>
              <w:ind w:right="7"/>
              <w:spacing w:after="0" w:line="169"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4"/>
                <w:szCs w:val="24"/>
                <w:color w:val="auto"/>
              </w:rPr>
            </w:pP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2005</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2004</w:t>
            </w:r>
          </w:p>
        </w:tc>
      </w:tr>
      <w:tr>
        <w:trPr>
          <w:trHeight w:val="168"/>
        </w:trPr>
        <w:tc>
          <w:tcPr>
            <w:tcW w:w="38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8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$ 23,167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$ 27,247</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61,214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50,149</w:t>
            </w:r>
          </w:p>
        </w:tc>
      </w:tr>
      <w:tr>
        <w:trPr>
          <w:trHeight w:val="168"/>
        </w:trPr>
        <w:tc>
          <w:tcPr>
            <w:tcW w:w="38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ind w:left="700"/>
              <w:spacing w:after="0"/>
              <w:rPr>
                <w:sz w:val="20"/>
                <w:szCs w:val="20"/>
                <w:color w:val="auto"/>
              </w:rPr>
            </w:pPr>
            <w:r>
              <w:rPr>
                <w:rFonts w:ascii="Courier New" w:cs="Courier New" w:eastAsia="Courier New" w:hAnsi="Courier New"/>
                <w:sz w:val="15"/>
                <w:szCs w:val="15"/>
                <w:color w:val="auto"/>
              </w:rPr>
              <w:t>GROSS LOSS</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(38,047)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(22,902)</w:t>
            </w:r>
          </w:p>
        </w:tc>
      </w:tr>
      <w:tr>
        <w:trPr>
          <w:trHeight w:val="168"/>
        </w:trPr>
        <w:tc>
          <w:tcPr>
            <w:tcW w:w="38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4,763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3,505</w:t>
            </w: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4,528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5,591</w:t>
            </w:r>
          </w:p>
        </w:tc>
      </w:tr>
      <w:tr>
        <w:trPr>
          <w:trHeight w:val="168"/>
        </w:trPr>
        <w:tc>
          <w:tcPr>
            <w:tcW w:w="38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4"/>
                <w:szCs w:val="24"/>
                <w:color w:val="auto"/>
              </w:rPr>
            </w:pP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9,291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9,096</w:t>
            </w:r>
          </w:p>
        </w:tc>
      </w:tr>
      <w:tr>
        <w:trPr>
          <w:trHeight w:val="168"/>
        </w:trPr>
        <w:tc>
          <w:tcPr>
            <w:tcW w:w="38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820" w:type="dxa"/>
            <w:vAlign w:val="bottom"/>
          </w:tcPr>
          <w:p>
            <w:pPr>
              <w:ind w:left="700"/>
              <w:spacing w:after="0"/>
              <w:rPr>
                <w:sz w:val="20"/>
                <w:szCs w:val="20"/>
                <w:color w:val="auto"/>
              </w:rPr>
            </w:pPr>
            <w:r>
              <w:rPr>
                <w:rFonts w:ascii="Courier New" w:cs="Courier New" w:eastAsia="Courier New" w:hAnsi="Courier New"/>
                <w:sz w:val="15"/>
                <w:szCs w:val="15"/>
                <w:color w:val="auto"/>
              </w:rPr>
              <w:t>OPERATING LOSS</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(47,338)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(31,998)</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FINANCING EXPENSE, NET</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(8,175)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(6,531)</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w:t>
            </w:r>
          </w:p>
        </w:tc>
      </w:tr>
      <w:tr>
        <w:trPr>
          <w:trHeight w:val="168"/>
        </w:trPr>
        <w:tc>
          <w:tcPr>
            <w:tcW w:w="38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ind w:left="1320"/>
              <w:spacing w:after="0"/>
              <w:rPr>
                <w:sz w:val="20"/>
                <w:szCs w:val="20"/>
                <w:color w:val="auto"/>
              </w:rPr>
            </w:pPr>
            <w:r>
              <w:rPr>
                <w:rFonts w:ascii="Courier New" w:cs="Courier New" w:eastAsia="Courier New" w:hAnsi="Courier New"/>
                <w:sz w:val="15"/>
                <w:szCs w:val="15"/>
                <w:color w:val="auto"/>
              </w:rPr>
              <w:t>LOSS FOR THE PERIOD</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$(55,320)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$(38,491)</w:t>
            </w:r>
          </w:p>
        </w:tc>
      </w:tr>
      <w:tr>
        <w:trPr>
          <w:trHeight w:val="168"/>
        </w:trPr>
        <w:tc>
          <w:tcPr>
            <w:tcW w:w="38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Loss per share</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(0.84)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(0.61)</w:t>
            </w:r>
          </w:p>
        </w:tc>
      </w:tr>
      <w:tr>
        <w:trPr>
          <w:trHeight w:val="168"/>
        </w:trPr>
        <w:tc>
          <w:tcPr>
            <w:tcW w:w="38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LOSS USED TO COMPUTE</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BASIC LOSS PER SHARE</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$(55,320)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$(38,484)</w:t>
            </w:r>
          </w:p>
        </w:tc>
      </w:tr>
      <w:tr>
        <w:trPr>
          <w:trHeight w:val="168"/>
        </w:trPr>
        <w:tc>
          <w:tcPr>
            <w:tcW w:w="38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NUMBER OF ORDINARY</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SHARES OUTSTANDING - IN THOUSANDS</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65,700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63,026</w:t>
            </w:r>
          </w:p>
        </w:tc>
      </w:tr>
      <w:tr>
        <w:trPr>
          <w:trHeight w:val="168"/>
        </w:trPr>
        <w:tc>
          <w:tcPr>
            <w:tcW w:w="38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440" w:hanging="430"/>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and diluted loss per share in accordance with U.S. GAAP would be</w:t>
      </w:r>
    </w:p>
    <w:p>
      <w:pPr>
        <w:spacing w:after="0" w:line="4" w:lineRule="exact"/>
        <w:rPr>
          <w:rFonts w:ascii="Courier New" w:cs="Courier New" w:eastAsia="Courier New" w:hAnsi="Courier New"/>
          <w:sz w:val="15"/>
          <w:szCs w:val="15"/>
          <w:color w:val="auto"/>
        </w:rPr>
      </w:pPr>
    </w:p>
    <w:p>
      <w:pPr>
        <w:ind w:left="44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$(0.84) for the three months ended March 31, 2005 and $(0.62) for the three months ended March 31, 2004.</w:t>
      </w:r>
    </w:p>
    <w:p>
      <w:pPr>
        <w:sectPr>
          <w:pgSz w:w="11900" w:h="16838" w:orient="portrait"/>
          <w:cols w:equalWidth="0" w:num="1">
            <w:col w:w="10239"/>
          </w:cols>
          <w:pgMar w:left="220" w:top="792" w:right="1440" w:bottom="1440" w:gutter="0" w:footer="0" w:header="0"/>
        </w:sectPr>
      </w:pPr>
    </w:p>
    <w:bookmarkStart w:id="9" w:name="page10"/>
    <w:bookmarkEnd w:id="9"/>
    <w:p>
      <w:pPr>
        <w:jc w:val="right"/>
        <w:ind w:right="3239"/>
        <w:spacing w:after="0"/>
        <w:rPr>
          <w:sz w:val="20"/>
          <w:szCs w:val="20"/>
          <w:color w:val="auto"/>
        </w:rPr>
      </w:pPr>
      <w:r>
        <w:rPr>
          <w:rFonts w:ascii="Courier New" w:cs="Courier New" w:eastAsia="Courier New" w:hAnsi="Courier New"/>
          <w:sz w:val="15"/>
          <w:szCs w:val="15"/>
          <w:color w:val="auto"/>
        </w:rPr>
        <w:t>Exhibit 99.2</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UNAUDITED CONDENSED INTERIM</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CONSOLIDATED FINANCIAL STATEMENTS</w:t>
      </w:r>
    </w:p>
    <w:tbl>
      <w:tblPr>
        <w:tblLayout w:type="fixed"/>
        <w:tblInd w:w="0" w:type="dxa"/>
        <w:tblCellMar>
          <w:top w:w="0" w:type="dxa"/>
          <w:left w:w="0" w:type="dxa"/>
          <w:bottom w:w="0" w:type="dxa"/>
          <w:right w:w="0" w:type="dxa"/>
        </w:tblCellMar>
      </w:tblPr>
      <w:tr>
        <w:trPr>
          <w:trHeight w:val="168"/>
        </w:trPr>
        <w:tc>
          <w:tcPr>
            <w:tcW w:w="5920" w:type="dxa"/>
            <w:vAlign w:val="bottom"/>
          </w:tcPr>
          <w:p>
            <w:pPr>
              <w:jc w:val="center"/>
              <w:ind w:left="1027"/>
              <w:spacing w:after="0" w:line="168" w:lineRule="exact"/>
              <w:rPr>
                <w:sz w:val="20"/>
                <w:szCs w:val="20"/>
                <w:color w:val="auto"/>
              </w:rPr>
            </w:pPr>
            <w:r>
              <w:rPr>
                <w:rFonts w:ascii="Courier New" w:cs="Courier New" w:eastAsia="Courier New" w:hAnsi="Courier New"/>
                <w:sz w:val="15"/>
                <w:szCs w:val="15"/>
                <w:color w:val="auto"/>
                <w:w w:val="96"/>
              </w:rPr>
              <w:t>AS OF MARCH 31, 2005</w:t>
            </w:r>
          </w:p>
        </w:tc>
        <w:tc>
          <w:tcPr>
            <w:tcW w:w="1000" w:type="dxa"/>
            <w:vAlign w:val="bottom"/>
          </w:tcPr>
          <w:p>
            <w:pPr>
              <w:spacing w:after="0"/>
              <w:rPr>
                <w:sz w:val="14"/>
                <w:szCs w:val="14"/>
                <w:color w:val="auto"/>
              </w:rPr>
            </w:pPr>
          </w:p>
        </w:tc>
      </w:tr>
      <w:tr>
        <w:trPr>
          <w:trHeight w:val="987"/>
        </w:trPr>
        <w:tc>
          <w:tcPr>
            <w:tcW w:w="5920" w:type="dxa"/>
            <w:vAlign w:val="bottom"/>
          </w:tcPr>
          <w:p>
            <w:pPr>
              <w:ind w:left="1840"/>
              <w:spacing w:after="0"/>
              <w:rPr>
                <w:sz w:val="20"/>
                <w:szCs w:val="20"/>
                <w:color w:val="auto"/>
              </w:rPr>
            </w:pPr>
            <w:r>
              <w:rPr>
                <w:rFonts w:ascii="Courier New" w:cs="Courier New" w:eastAsia="Courier New" w:hAnsi="Courier New"/>
                <w:sz w:val="15"/>
                <w:szCs w:val="15"/>
                <w:color w:val="auto"/>
              </w:rPr>
              <w:t>TOWER SEMICONDUCTOR LTD. AND SUBSIDIARY</w:t>
            </w:r>
          </w:p>
        </w:tc>
        <w:tc>
          <w:tcPr>
            <w:tcW w:w="1000" w:type="dxa"/>
            <w:vAlign w:val="bottom"/>
          </w:tcPr>
          <w:p>
            <w:pPr>
              <w:spacing w:after="0"/>
              <w:rPr>
                <w:sz w:val="24"/>
                <w:szCs w:val="24"/>
                <w:color w:val="auto"/>
              </w:rPr>
            </w:pPr>
          </w:p>
        </w:tc>
      </w:tr>
      <w:tr>
        <w:trPr>
          <w:trHeight w:val="336"/>
        </w:trPr>
        <w:tc>
          <w:tcPr>
            <w:tcW w:w="59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6"/>
              </w:rPr>
              <w:t>INDEX TO UNAUDITED CONDENSED INTERIM</w:t>
            </w:r>
          </w:p>
        </w:tc>
        <w:tc>
          <w:tcPr>
            <w:tcW w:w="1000" w:type="dxa"/>
            <w:vAlign w:val="bottom"/>
          </w:tcPr>
          <w:p>
            <w:pPr>
              <w:spacing w:after="0"/>
              <w:rPr>
                <w:sz w:val="24"/>
                <w:szCs w:val="24"/>
                <w:color w:val="auto"/>
              </w:rPr>
            </w:pPr>
          </w:p>
        </w:tc>
      </w:tr>
      <w:tr>
        <w:trPr>
          <w:trHeight w:val="168"/>
        </w:trPr>
        <w:tc>
          <w:tcPr>
            <w:tcW w:w="592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CONSOLIDATED FINANCIAL STATEMENTS</w:t>
            </w:r>
          </w:p>
        </w:tc>
        <w:tc>
          <w:tcPr>
            <w:tcW w:w="1000" w:type="dxa"/>
            <w:vAlign w:val="bottom"/>
          </w:tcPr>
          <w:p>
            <w:pPr>
              <w:spacing w:after="0"/>
              <w:rPr>
                <w:sz w:val="14"/>
                <w:szCs w:val="14"/>
                <w:color w:val="auto"/>
              </w:rPr>
            </w:pPr>
          </w:p>
        </w:tc>
      </w:tr>
      <w:tr>
        <w:trPr>
          <w:trHeight w:val="168"/>
        </w:trPr>
        <w:tc>
          <w:tcPr>
            <w:tcW w:w="5920" w:type="dxa"/>
            <w:vAlign w:val="bottom"/>
          </w:tcPr>
          <w:p>
            <w:pPr>
              <w:jc w:val="center"/>
              <w:ind w:left="1027"/>
              <w:spacing w:after="0" w:line="168" w:lineRule="exact"/>
              <w:rPr>
                <w:sz w:val="20"/>
                <w:szCs w:val="20"/>
                <w:color w:val="auto"/>
              </w:rPr>
            </w:pPr>
            <w:r>
              <w:rPr>
                <w:rFonts w:ascii="Courier New" w:cs="Courier New" w:eastAsia="Courier New" w:hAnsi="Courier New"/>
                <w:sz w:val="15"/>
                <w:szCs w:val="15"/>
                <w:color w:val="auto"/>
                <w:w w:val="96"/>
              </w:rPr>
              <w:t>AS OF MARCH 31, 2005</w:t>
            </w:r>
          </w:p>
        </w:tc>
        <w:tc>
          <w:tcPr>
            <w:tcW w:w="1000" w:type="dxa"/>
            <w:vAlign w:val="bottom"/>
          </w:tcPr>
          <w:p>
            <w:pPr>
              <w:spacing w:after="0"/>
              <w:rPr>
                <w:sz w:val="14"/>
                <w:szCs w:val="14"/>
                <w:color w:val="auto"/>
              </w:rPr>
            </w:pPr>
          </w:p>
        </w:tc>
      </w:tr>
      <w:tr>
        <w:trPr>
          <w:trHeight w:val="841"/>
        </w:trPr>
        <w:tc>
          <w:tcPr>
            <w:tcW w:w="59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ACCOUNTANTS' REVIEW REPORT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BALANCE SHEETS</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STATEMENTS OF OPERATIONS</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STATEMENT OF CHANGES IN SHAREHOLDERS' EQUITY</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STATEMENTS OF CASH FLOWS</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336"/>
        </w:trPr>
        <w:tc>
          <w:tcPr>
            <w:tcW w:w="592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6-15</w:t>
            </w:r>
          </w:p>
        </w:tc>
      </w:tr>
    </w:tbl>
    <w:p>
      <w:pPr>
        <w:sectPr>
          <w:pgSz w:w="11900" w:h="16838" w:orient="portrait"/>
          <w:cols w:equalWidth="0" w:num="1">
            <w:col w:w="10239"/>
          </w:cols>
          <w:pgMar w:left="220" w:top="13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[DELOITTE LOGO]</w:t>
      </w:r>
    </w:p>
    <w:p>
      <w:pPr>
        <w:ind w:left="4480"/>
        <w:spacing w:after="0" w:line="237" w:lineRule="auto"/>
        <w:rPr>
          <w:sz w:val="20"/>
          <w:szCs w:val="20"/>
          <w:color w:val="auto"/>
        </w:rPr>
      </w:pPr>
      <w:r>
        <w:rPr>
          <w:rFonts w:ascii="Courier New" w:cs="Courier New" w:eastAsia="Courier New" w:hAnsi="Courier New"/>
          <w:sz w:val="15"/>
          <w:szCs w:val="15"/>
          <w:color w:val="auto"/>
        </w:rPr>
        <w:t>Brightman Almagor</w:t>
      </w:r>
    </w:p>
    <w:p>
      <w:pPr>
        <w:ind w:left="4480"/>
        <w:spacing w:after="0" w:line="238" w:lineRule="auto"/>
        <w:rPr>
          <w:sz w:val="20"/>
          <w:szCs w:val="20"/>
          <w:color w:val="auto"/>
        </w:rPr>
      </w:pPr>
      <w:r>
        <w:rPr>
          <w:rFonts w:ascii="Courier New" w:cs="Courier New" w:eastAsia="Courier New" w:hAnsi="Courier New"/>
          <w:sz w:val="15"/>
          <w:szCs w:val="15"/>
          <w:color w:val="auto"/>
        </w:rPr>
        <w:t>1 Azrieli Center</w:t>
      </w:r>
    </w:p>
    <w:p>
      <w:pPr>
        <w:ind w:left="4480"/>
        <w:spacing w:after="0" w:line="237" w:lineRule="auto"/>
        <w:rPr>
          <w:sz w:val="20"/>
          <w:szCs w:val="20"/>
          <w:color w:val="auto"/>
        </w:rPr>
      </w:pPr>
      <w:r>
        <w:rPr>
          <w:rFonts w:ascii="Courier New" w:cs="Courier New" w:eastAsia="Courier New" w:hAnsi="Courier New"/>
          <w:sz w:val="15"/>
          <w:szCs w:val="15"/>
          <w:color w:val="auto"/>
        </w:rPr>
        <w:t>Tel Aviv 67021</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P.O.B. 16593, Tel Aviv 61164</w:t>
      </w:r>
    </w:p>
    <w:p>
      <w:pPr>
        <w:spacing w:after="0" w:line="3"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Israel</w:t>
      </w:r>
    </w:p>
    <w:p>
      <w:pPr>
        <w:spacing w:after="0" w:line="16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Tel: +972 (3) 608 5555</w:t>
      </w:r>
    </w:p>
    <w:p>
      <w:pPr>
        <w:ind w:left="4480"/>
        <w:spacing w:after="0" w:line="237" w:lineRule="auto"/>
        <w:rPr>
          <w:sz w:val="20"/>
          <w:szCs w:val="20"/>
          <w:color w:val="auto"/>
        </w:rPr>
      </w:pPr>
      <w:r>
        <w:rPr>
          <w:rFonts w:ascii="Courier New" w:cs="Courier New" w:eastAsia="Courier New" w:hAnsi="Courier New"/>
          <w:sz w:val="15"/>
          <w:szCs w:val="15"/>
          <w:color w:val="auto"/>
        </w:rPr>
        <w:t>Fax: +972 (3) 609 4022</w:t>
      </w:r>
    </w:p>
    <w:p>
      <w:pPr>
        <w:ind w:left="4480"/>
        <w:spacing w:after="0" w:line="238" w:lineRule="auto"/>
        <w:rPr>
          <w:sz w:val="20"/>
          <w:szCs w:val="20"/>
          <w:color w:val="auto"/>
        </w:rPr>
      </w:pPr>
      <w:r>
        <w:rPr>
          <w:rFonts w:ascii="Courier New" w:cs="Courier New" w:eastAsia="Courier New" w:hAnsi="Courier New"/>
          <w:sz w:val="15"/>
          <w:szCs w:val="15"/>
          <w:color w:val="auto"/>
        </w:rPr>
        <w:t>info@deloitte.co.il</w:t>
      </w:r>
    </w:p>
    <w:p>
      <w:pPr>
        <w:ind w:left="4480"/>
        <w:spacing w:after="0" w:line="237" w:lineRule="auto"/>
        <w:rPr>
          <w:sz w:val="20"/>
          <w:szCs w:val="20"/>
          <w:color w:val="auto"/>
        </w:rPr>
      </w:pPr>
      <w:r>
        <w:rPr>
          <w:rFonts w:ascii="Courier New" w:cs="Courier New" w:eastAsia="Courier New" w:hAnsi="Courier New"/>
          <w:sz w:val="15"/>
          <w:szCs w:val="15"/>
          <w:color w:val="auto"/>
        </w:rPr>
        <w:t>www.deloitte.com</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Tower Semiconductor Ltd.</w:t>
      </w:r>
    </w:p>
    <w:p>
      <w:pPr>
        <w:spacing w:after="0" w:line="238" w:lineRule="auto"/>
        <w:rPr>
          <w:sz w:val="20"/>
          <w:szCs w:val="20"/>
          <w:color w:val="auto"/>
        </w:rPr>
      </w:pPr>
      <w:r>
        <w:rPr>
          <w:rFonts w:ascii="Courier New" w:cs="Courier New" w:eastAsia="Courier New" w:hAnsi="Courier New"/>
          <w:sz w:val="15"/>
          <w:szCs w:val="15"/>
          <w:color w:val="auto"/>
        </w:rPr>
        <w:t>MIGDAL HA'EMEK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66" w:lineRule="exact"/>
        <w:rPr>
          <w:sz w:val="20"/>
          <w:szCs w:val="20"/>
          <w:color w:val="auto"/>
        </w:rPr>
      </w:pPr>
    </w:p>
    <w:p>
      <w:pPr>
        <w:ind w:left="1320"/>
        <w:spacing w:after="0"/>
        <w:tabs>
          <w:tab w:leader="none" w:pos="1740" w:val="left"/>
        </w:tabs>
        <w:rPr>
          <w:sz w:val="20"/>
          <w:szCs w:val="20"/>
          <w:color w:val="auto"/>
        </w:rPr>
      </w:pPr>
      <w:r>
        <w:rPr>
          <w:rFonts w:ascii="Courier New" w:cs="Courier New" w:eastAsia="Courier New" w:hAnsi="Courier New"/>
          <w:sz w:val="15"/>
          <w:szCs w:val="15"/>
          <w:color w:val="auto"/>
        </w:rPr>
        <w:t>Re:</w:t>
        <w:tab/>
        <w:t>Review of Unaudited Condensed Interim</w:t>
      </w:r>
    </w:p>
    <w:p>
      <w:pPr>
        <w:ind w:left="1760"/>
        <w:spacing w:after="0" w:line="237" w:lineRule="auto"/>
        <w:rPr>
          <w:sz w:val="20"/>
          <w:szCs w:val="20"/>
          <w:color w:val="auto"/>
        </w:rPr>
      </w:pPr>
      <w:r>
        <w:rPr>
          <w:rFonts w:ascii="Courier New" w:cs="Courier New" w:eastAsia="Courier New" w:hAnsi="Courier New"/>
          <w:sz w:val="15"/>
          <w:szCs w:val="15"/>
          <w:color w:val="auto"/>
        </w:rPr>
        <w:t>CONSOLIDATED FINANCIAL STATEMENTS AS OF MARCH 31, 2005</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At your request, we have reviewed the condensed interim consolidated financial statements ("interim financial statements") of Tower Semiconductor Ltd. and subsidiary ("the Company"), as follows:</w:t>
      </w:r>
    </w:p>
    <w:p>
      <w:pPr>
        <w:spacing w:after="0" w:line="167" w:lineRule="exact"/>
        <w:rPr>
          <w:sz w:val="20"/>
          <w:szCs w:val="20"/>
          <w:color w:val="auto"/>
        </w:rPr>
      </w:pPr>
    </w:p>
    <w:p>
      <w:pPr>
        <w:ind w:left="180" w:hanging="170"/>
        <w:spacing w:after="0"/>
        <w:tabs>
          <w:tab w:leader="none" w:pos="1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Balance sheet as of March 31, 2005.</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Statement of operations for the three months ended March 31, 2005.</w:t>
      </w:r>
    </w:p>
    <w:p>
      <w:pPr>
        <w:spacing w:after="0" w:line="172" w:lineRule="exact"/>
        <w:rPr>
          <w:rFonts w:ascii="Courier New" w:cs="Courier New" w:eastAsia="Courier New" w:hAnsi="Courier New"/>
          <w:sz w:val="15"/>
          <w:szCs w:val="15"/>
          <w:color w:val="auto"/>
        </w:rPr>
      </w:pPr>
    </w:p>
    <w:p>
      <w:pPr>
        <w:ind w:left="440" w:right="3399" w:hanging="430"/>
        <w:spacing w:after="0" w:line="234" w:lineRule="auto"/>
        <w:tabs>
          <w:tab w:leader="none" w:pos="17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changes in shareholders' equity for the three months ended March 31, 2005.</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Statement of cash flows for the three months ended March 31, 2005.</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review was conducted in accordance with procedures prescribed by the Institute of Certified Public Accountants in Israel. The procedures included, inter alia, reading the aforementioned interim financial statements, reading the minutes of the shareholders' meetings and meetings of the board of directors and its committees, and making inquiries with the persons responsible for financial and accounting affairs.</w:t>
      </w:r>
    </w:p>
    <w:p>
      <w:pPr>
        <w:spacing w:after="0" w:line="175"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Since the review that was performed is limited in scope and does not constitute an audit in accordance with generally accepted auditing standards, we do not express an opinion on the aforementioned interim financial statements.</w:t>
      </w:r>
    </w:p>
    <w:p>
      <w:pPr>
        <w:spacing w:after="0" w:line="16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 performing our review, nothing came to our attention which indicates that material adjustments are required to the interim financial statements for them to be deemed financial statements prepared in conformity with accounting principles generally accepted in Israel.</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Accounting principles generally accepted in Israel vary in certain significant respects from accounting principles generally accepted in the United States of America. The effect of the application of the latter on the financial position and results of operations as of the date and for the period presented is summarized in Note 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Respectfully submitted,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Brightman Almagor &amp; Co.</w:t>
      </w:r>
    </w:p>
    <w:p>
      <w:pPr>
        <w:spacing w:after="0" w:line="237" w:lineRule="auto"/>
        <w:rPr>
          <w:sz w:val="20"/>
          <w:szCs w:val="20"/>
          <w:color w:val="auto"/>
        </w:rPr>
      </w:pPr>
      <w:r>
        <w:rPr>
          <w:rFonts w:ascii="Courier New" w:cs="Courier New" w:eastAsia="Courier New" w:hAnsi="Courier New"/>
          <w:sz w:val="15"/>
          <w:szCs w:val="15"/>
          <w:color w:val="auto"/>
        </w:rPr>
        <w:t>Certified Public Accountants</w:t>
      </w:r>
    </w:p>
    <w:p>
      <w:pPr>
        <w:spacing w:after="0" w:line="238" w:lineRule="auto"/>
        <w:rPr>
          <w:sz w:val="20"/>
          <w:szCs w:val="20"/>
          <w:color w:val="auto"/>
        </w:rPr>
      </w:pPr>
      <w:r>
        <w:rPr>
          <w:rFonts w:ascii="Courier New" w:cs="Courier New" w:eastAsia="Courier New" w:hAnsi="Courier New"/>
          <w:sz w:val="15"/>
          <w:szCs w:val="15"/>
          <w:color w:val="auto"/>
        </w:rPr>
        <w:t>A Member Firm of Deloitte Touche Tohmatsu</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 Aviv, Israel</w:t>
      </w:r>
    </w:p>
    <w:p>
      <w:pPr>
        <w:spacing w:after="0" w:line="237" w:lineRule="auto"/>
        <w:rPr>
          <w:sz w:val="20"/>
          <w:szCs w:val="20"/>
          <w:color w:val="auto"/>
        </w:rPr>
      </w:pPr>
      <w:r>
        <w:rPr>
          <w:rFonts w:ascii="Courier New" w:cs="Courier New" w:eastAsia="Courier New" w:hAnsi="Courier New"/>
          <w:sz w:val="15"/>
          <w:szCs w:val="15"/>
          <w:color w:val="auto"/>
        </w:rPr>
        <w:t>May 26, 2005</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- 1 -</w:t>
      </w:r>
    </w:p>
    <w:p>
      <w:pPr>
        <w:sectPr>
          <w:pgSz w:w="11900" w:h="16838" w:orient="portrait"/>
          <w:cols w:equalWidth="0" w:num="1">
            <w:col w:w="10239"/>
          </w:cols>
          <w:pgMar w:left="220" w:top="617" w:right="1440" w:bottom="1440" w:gutter="0" w:footer="0" w:header="0"/>
        </w:sectPr>
      </w:pPr>
    </w:p>
    <w:bookmarkStart w:id="11" w:name="page12"/>
    <w:bookmarkEnd w:id="11"/>
    <w:p>
      <w:pPr>
        <w:jc w:val="center"/>
        <w:ind w:right="376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760"/>
        <w:spacing w:after="0" w:line="237" w:lineRule="auto"/>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69"/>
        </w:trPr>
        <w:tc>
          <w:tcPr>
            <w:tcW w:w="7060" w:type="dxa"/>
            <w:vAlign w:val="bottom"/>
          </w:tcPr>
          <w:p>
            <w:pPr>
              <w:ind w:left="880"/>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41"/>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AS OF MARCH 31,</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7060" w:type="dxa"/>
            <w:vAlign w:val="bottom"/>
          </w:tcPr>
          <w:p>
            <w:pPr>
              <w:spacing w:after="0"/>
              <w:rPr>
                <w:sz w:val="14"/>
                <w:szCs w:val="14"/>
                <w:color w:val="auto"/>
              </w:rPr>
            </w:pPr>
          </w:p>
        </w:tc>
        <w:tc>
          <w:tcPr>
            <w:tcW w:w="2580" w:type="dxa"/>
            <w:vAlign w:val="bottom"/>
            <w:gridSpan w:val="4"/>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2005</w:t>
            </w:r>
          </w:p>
        </w:tc>
        <w:tc>
          <w:tcPr>
            <w:tcW w:w="30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2004</w:t>
            </w:r>
          </w:p>
        </w:tc>
        <w:tc>
          <w:tcPr>
            <w:tcW w:w="34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7060" w:type="dxa"/>
            <w:vAlign w:val="bottom"/>
          </w:tcPr>
          <w:p>
            <w:pPr>
              <w:spacing w:after="0"/>
              <w:rPr>
                <w:sz w:val="14"/>
                <w:szCs w:val="14"/>
                <w:color w:val="auto"/>
              </w:rPr>
            </w:pP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060" w:type="dxa"/>
            <w:vAlign w:val="bottom"/>
          </w:tcPr>
          <w:p>
            <w:pPr>
              <w:spacing w:after="0"/>
              <w:rPr>
                <w:sz w:val="14"/>
                <w:szCs w:val="14"/>
                <w:color w:val="auto"/>
              </w:rPr>
            </w:pPr>
          </w:p>
        </w:tc>
        <w:tc>
          <w:tcPr>
            <w:tcW w:w="2580" w:type="dxa"/>
            <w:vAlign w:val="bottom"/>
            <w:gridSpan w:val="4"/>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706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7060" w:type="dxa"/>
            <w:vAlign w:val="bottom"/>
          </w:tcPr>
          <w:p>
            <w:pPr>
              <w:ind w:left="440"/>
              <w:spacing w:after="0"/>
              <w:rPr>
                <w:sz w:val="20"/>
                <w:szCs w:val="20"/>
                <w:color w:val="auto"/>
              </w:rPr>
            </w:pPr>
            <w:r>
              <w:rPr>
                <w:rFonts w:ascii="Courier New" w:cs="Courier New" w:eastAsia="Courier New" w:hAnsi="Courier New"/>
                <w:sz w:val="15"/>
                <w:szCs w:val="15"/>
                <w:color w:val="auto"/>
              </w:rPr>
              <w:t>CURRENT ASSETS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34,507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11,346</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27,664</w:t>
            </w: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SHORT-TERM INTEREST-BEARING DEPOSITS</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3,000</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DESIGNATED CASH AND SHORT-TERM INTEREST-BEARING DEPOSITS</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17,614</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78,265</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53,793</w:t>
            </w: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12,141</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15,555</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19,286</w:t>
            </w: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9,430</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14,852</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11,365</w:t>
            </w: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INVENTORIES</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21,624</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21,584</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25,669</w:t>
            </w: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861</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2,342</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1,818</w:t>
            </w:r>
          </w:p>
        </w:tc>
      </w:tr>
      <w:tr>
        <w:trPr>
          <w:trHeight w:val="168"/>
        </w:trPr>
        <w:tc>
          <w:tcPr>
            <w:tcW w:w="7060" w:type="dxa"/>
            <w:vAlign w:val="bottom"/>
          </w:tcPr>
          <w:p>
            <w:pPr>
              <w:spacing w:after="0"/>
              <w:rPr>
                <w:sz w:val="14"/>
                <w:szCs w:val="14"/>
                <w:color w:val="auto"/>
              </w:rPr>
            </w:pP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96,177</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146,944</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139,595</w:t>
            </w:r>
          </w:p>
        </w:tc>
      </w:tr>
      <w:tr>
        <w:trPr>
          <w:trHeight w:val="168"/>
        </w:trPr>
        <w:tc>
          <w:tcPr>
            <w:tcW w:w="7060" w:type="dxa"/>
            <w:vAlign w:val="bottom"/>
          </w:tcPr>
          <w:p>
            <w:pPr>
              <w:spacing w:after="0"/>
              <w:rPr>
                <w:sz w:val="14"/>
                <w:szCs w:val="14"/>
                <w:color w:val="auto"/>
              </w:rPr>
            </w:pP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ind w:left="440"/>
              <w:spacing w:after="0"/>
              <w:rPr>
                <w:sz w:val="20"/>
                <w:szCs w:val="20"/>
                <w:color w:val="auto"/>
              </w:rPr>
            </w:pPr>
            <w:r>
              <w:rPr>
                <w:rFonts w:ascii="Courier New" w:cs="Courier New" w:eastAsia="Courier New" w:hAnsi="Courier New"/>
                <w:sz w:val="15"/>
                <w:szCs w:val="15"/>
                <w:color w:val="auto"/>
              </w:rPr>
              <w:t>LONG-TERM INVESTMENTS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0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DESIGNATED FOR FAB 2 OPERATIONS</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5,071</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4,734</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5,134</w:t>
            </w: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LONG-TERM INVESTMENT</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6,000</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rPr>
                <w:sz w:val="14"/>
                <w:szCs w:val="14"/>
                <w:color w:val="auto"/>
              </w:rPr>
            </w:pP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5,071</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10,734</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5,134</w:t>
            </w:r>
          </w:p>
        </w:tc>
      </w:tr>
      <w:tr>
        <w:trPr>
          <w:trHeight w:val="168"/>
        </w:trPr>
        <w:tc>
          <w:tcPr>
            <w:tcW w:w="7060" w:type="dxa"/>
            <w:vAlign w:val="bottom"/>
          </w:tcPr>
          <w:p>
            <w:pPr>
              <w:spacing w:after="0"/>
              <w:rPr>
                <w:sz w:val="14"/>
                <w:szCs w:val="14"/>
                <w:color w:val="auto"/>
              </w:rPr>
            </w:pP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ind w:left="440"/>
              <w:spacing w:after="0"/>
              <w:rPr>
                <w:sz w:val="20"/>
                <w:szCs w:val="20"/>
                <w:color w:val="auto"/>
              </w:rPr>
            </w:pPr>
            <w:r>
              <w:rPr>
                <w:rFonts w:ascii="Courier New" w:cs="Courier New" w:eastAsia="Courier New" w:hAnsi="Courier New"/>
                <w:sz w:val="15"/>
                <w:szCs w:val="15"/>
                <w:color w:val="auto"/>
              </w:rPr>
              <w:t>PROPERTY AND EQUIPMENT, NET</w:t>
            </w:r>
          </w:p>
        </w:tc>
        <w:tc>
          <w:tcPr>
            <w:tcW w:w="30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587,707</w:t>
            </w:r>
          </w:p>
        </w:tc>
        <w:tc>
          <w:tcPr>
            <w:tcW w:w="300" w:type="dxa"/>
            <w:vAlign w:val="bottom"/>
          </w:tcPr>
          <w:p>
            <w:pPr>
              <w:spacing w:after="0"/>
              <w:rPr>
                <w:sz w:val="24"/>
                <w:szCs w:val="2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566,821</w:t>
            </w:r>
          </w:p>
        </w:tc>
        <w:tc>
          <w:tcPr>
            <w:tcW w:w="34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609,296</w:t>
            </w:r>
          </w:p>
        </w:tc>
      </w:tr>
      <w:tr>
        <w:trPr>
          <w:trHeight w:val="168"/>
        </w:trPr>
        <w:tc>
          <w:tcPr>
            <w:tcW w:w="7060" w:type="dxa"/>
            <w:vAlign w:val="bottom"/>
          </w:tcPr>
          <w:p>
            <w:pPr>
              <w:spacing w:after="0"/>
              <w:rPr>
                <w:sz w:val="14"/>
                <w:szCs w:val="14"/>
                <w:color w:val="auto"/>
              </w:rPr>
            </w:pP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ind w:left="440"/>
              <w:spacing w:after="0"/>
              <w:rPr>
                <w:sz w:val="20"/>
                <w:szCs w:val="20"/>
                <w:color w:val="auto"/>
              </w:rPr>
            </w:pPr>
            <w:r>
              <w:rPr>
                <w:rFonts w:ascii="Courier New" w:cs="Courier New" w:eastAsia="Courier New" w:hAnsi="Courier New"/>
                <w:sz w:val="15"/>
                <w:szCs w:val="15"/>
                <w:color w:val="auto"/>
              </w:rPr>
              <w:t>OTHER ASSETS, NET</w:t>
            </w:r>
          </w:p>
        </w:tc>
        <w:tc>
          <w:tcPr>
            <w:tcW w:w="30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92,478</w:t>
            </w:r>
          </w:p>
        </w:tc>
        <w:tc>
          <w:tcPr>
            <w:tcW w:w="300" w:type="dxa"/>
            <w:vAlign w:val="bottom"/>
          </w:tcPr>
          <w:p>
            <w:pPr>
              <w:spacing w:after="0"/>
              <w:rPr>
                <w:sz w:val="24"/>
                <w:szCs w:val="2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105,397</w:t>
            </w:r>
          </w:p>
        </w:tc>
        <w:tc>
          <w:tcPr>
            <w:tcW w:w="34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93,483</w:t>
            </w:r>
          </w:p>
        </w:tc>
      </w:tr>
      <w:tr>
        <w:trPr>
          <w:trHeight w:val="168"/>
        </w:trPr>
        <w:tc>
          <w:tcPr>
            <w:tcW w:w="7060" w:type="dxa"/>
            <w:vAlign w:val="bottom"/>
          </w:tcPr>
          <w:p>
            <w:pPr>
              <w:spacing w:after="0"/>
              <w:rPr>
                <w:sz w:val="14"/>
                <w:szCs w:val="14"/>
                <w:color w:val="auto"/>
              </w:rPr>
            </w:pP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ind w:left="1400"/>
              <w:spacing w:after="0"/>
              <w:rPr>
                <w:sz w:val="20"/>
                <w:szCs w:val="20"/>
                <w:color w:val="auto"/>
              </w:rPr>
            </w:pPr>
            <w:r>
              <w:rPr>
                <w:rFonts w:ascii="Courier New" w:cs="Courier New" w:eastAsia="Courier New" w:hAnsi="Courier New"/>
                <w:sz w:val="15"/>
                <w:szCs w:val="15"/>
                <w:color w:val="auto"/>
              </w:rPr>
              <w:t>TOTAL ASSETS</w:t>
            </w:r>
          </w:p>
        </w:tc>
        <w:tc>
          <w:tcPr>
            <w:tcW w:w="13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$ 781,433</w:t>
            </w: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$ 829,896</w:t>
            </w:r>
          </w:p>
        </w:tc>
        <w:tc>
          <w:tcPr>
            <w:tcW w:w="1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$ 847,508</w:t>
            </w:r>
          </w:p>
        </w:tc>
      </w:tr>
      <w:tr>
        <w:trPr>
          <w:trHeight w:val="168"/>
        </w:trPr>
        <w:tc>
          <w:tcPr>
            <w:tcW w:w="7060" w:type="dxa"/>
            <w:vAlign w:val="bottom"/>
          </w:tcPr>
          <w:p>
            <w:pPr>
              <w:spacing w:after="0"/>
              <w:rPr>
                <w:sz w:val="14"/>
                <w:szCs w:val="14"/>
                <w:color w:val="auto"/>
              </w:rPr>
            </w:pP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0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7060" w:type="dxa"/>
            <w:vAlign w:val="bottom"/>
          </w:tcPr>
          <w:p>
            <w:pPr>
              <w:ind w:left="440"/>
              <w:spacing w:after="0"/>
              <w:rPr>
                <w:sz w:val="20"/>
                <w:szCs w:val="20"/>
                <w:color w:val="auto"/>
              </w:rPr>
            </w:pPr>
            <w:r>
              <w:rPr>
                <w:rFonts w:ascii="Courier New" w:cs="Courier New" w:eastAsia="Courier New" w:hAnsi="Courier New"/>
                <w:sz w:val="15"/>
                <w:szCs w:val="15"/>
                <w:color w:val="auto"/>
              </w:rPr>
              <w:t>CURRENT LIABILITIES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53,249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45,051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65,326</w:t>
            </w: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CURRENT MATURITIES OF CONVERTIBLE DEBENTURES</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6,575</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9,625</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8,198</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10,678</w:t>
            </w:r>
          </w:p>
        </w:tc>
      </w:tr>
      <w:tr>
        <w:trPr>
          <w:trHeight w:val="168"/>
        </w:trPr>
        <w:tc>
          <w:tcPr>
            <w:tcW w:w="7060" w:type="dxa"/>
            <w:vAlign w:val="bottom"/>
          </w:tcPr>
          <w:p>
            <w:pPr>
              <w:spacing w:after="0"/>
              <w:rPr>
                <w:sz w:val="14"/>
                <w:szCs w:val="14"/>
                <w:color w:val="auto"/>
              </w:rPr>
            </w:pP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69,449</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53,249</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76,004</w:t>
            </w:r>
          </w:p>
        </w:tc>
      </w:tr>
      <w:tr>
        <w:trPr>
          <w:trHeight w:val="336"/>
        </w:trPr>
        <w:tc>
          <w:tcPr>
            <w:tcW w:w="7060" w:type="dxa"/>
            <w:vAlign w:val="bottom"/>
          </w:tcPr>
          <w:p>
            <w:pPr>
              <w:ind w:left="440"/>
              <w:spacing w:after="0"/>
              <w:rPr>
                <w:sz w:val="20"/>
                <w:szCs w:val="20"/>
                <w:color w:val="auto"/>
              </w:rPr>
            </w:pPr>
            <w:r>
              <w:rPr>
                <w:rFonts w:ascii="Courier New" w:cs="Courier New" w:eastAsia="Courier New" w:hAnsi="Courier New"/>
                <w:sz w:val="15"/>
                <w:szCs w:val="15"/>
                <w:color w:val="auto"/>
              </w:rPr>
              <w:t>LONG-TERM DEBT</w:t>
            </w:r>
          </w:p>
        </w:tc>
        <w:tc>
          <w:tcPr>
            <w:tcW w:w="30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497,000</w:t>
            </w:r>
          </w:p>
        </w:tc>
        <w:tc>
          <w:tcPr>
            <w:tcW w:w="300" w:type="dxa"/>
            <w:vAlign w:val="bottom"/>
          </w:tcPr>
          <w:p>
            <w:pPr>
              <w:spacing w:after="0"/>
              <w:rPr>
                <w:sz w:val="24"/>
                <w:szCs w:val="2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431,000</w:t>
            </w:r>
          </w:p>
        </w:tc>
        <w:tc>
          <w:tcPr>
            <w:tcW w:w="34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497,000</w:t>
            </w:r>
          </w:p>
        </w:tc>
      </w:tr>
      <w:tr>
        <w:trPr>
          <w:trHeight w:val="336"/>
        </w:trPr>
        <w:tc>
          <w:tcPr>
            <w:tcW w:w="7060" w:type="dxa"/>
            <w:vAlign w:val="bottom"/>
          </w:tcPr>
          <w:p>
            <w:pPr>
              <w:ind w:left="440"/>
              <w:spacing w:after="0"/>
              <w:rPr>
                <w:sz w:val="20"/>
                <w:szCs w:val="20"/>
                <w:color w:val="auto"/>
              </w:rPr>
            </w:pPr>
            <w:r>
              <w:rPr>
                <w:rFonts w:ascii="Courier New" w:cs="Courier New" w:eastAsia="Courier New" w:hAnsi="Courier New"/>
                <w:sz w:val="15"/>
                <w:szCs w:val="15"/>
                <w:color w:val="auto"/>
              </w:rPr>
              <w:t>CONVERTIBLE DEBENTURES</w:t>
            </w:r>
          </w:p>
        </w:tc>
        <w:tc>
          <w:tcPr>
            <w:tcW w:w="30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19,724</w:t>
            </w:r>
          </w:p>
        </w:tc>
        <w:tc>
          <w:tcPr>
            <w:tcW w:w="300" w:type="dxa"/>
            <w:vAlign w:val="bottom"/>
          </w:tcPr>
          <w:p>
            <w:pPr>
              <w:spacing w:after="0"/>
              <w:rPr>
                <w:sz w:val="24"/>
                <w:szCs w:val="2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24,933</w:t>
            </w:r>
          </w:p>
        </w:tc>
        <w:tc>
          <w:tcPr>
            <w:tcW w:w="34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26,651</w:t>
            </w:r>
          </w:p>
        </w:tc>
      </w:tr>
      <w:tr>
        <w:trPr>
          <w:trHeight w:val="336"/>
        </w:trPr>
        <w:tc>
          <w:tcPr>
            <w:tcW w:w="7060" w:type="dxa"/>
            <w:vAlign w:val="bottom"/>
          </w:tcPr>
          <w:p>
            <w:pPr>
              <w:ind w:left="440"/>
              <w:spacing w:after="0"/>
              <w:rPr>
                <w:sz w:val="20"/>
                <w:szCs w:val="20"/>
                <w:color w:val="auto"/>
              </w:rPr>
            </w:pPr>
            <w:r>
              <w:rPr>
                <w:rFonts w:ascii="Courier New" w:cs="Courier New" w:eastAsia="Courier New" w:hAnsi="Courier New"/>
                <w:sz w:val="15"/>
                <w:szCs w:val="15"/>
                <w:color w:val="auto"/>
              </w:rPr>
              <w:t>LONG-TERM LIABILITY IN RESPECT</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70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63,326</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45,830</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64,428</w:t>
            </w:r>
          </w:p>
        </w:tc>
      </w:tr>
      <w:tr>
        <w:trPr>
          <w:trHeight w:val="336"/>
        </w:trPr>
        <w:tc>
          <w:tcPr>
            <w:tcW w:w="7060" w:type="dxa"/>
            <w:vAlign w:val="bottom"/>
          </w:tcPr>
          <w:p>
            <w:pPr>
              <w:ind w:left="440"/>
              <w:spacing w:after="0"/>
              <w:rPr>
                <w:sz w:val="20"/>
                <w:szCs w:val="20"/>
                <w:color w:val="auto"/>
              </w:rPr>
            </w:pPr>
            <w:r>
              <w:rPr>
                <w:rFonts w:ascii="Courier New" w:cs="Courier New" w:eastAsia="Courier New" w:hAnsi="Courier New"/>
                <w:sz w:val="15"/>
                <w:szCs w:val="15"/>
                <w:color w:val="auto"/>
              </w:rPr>
              <w:t>OTHER LONG-TERM LIABILITIES</w:t>
            </w:r>
          </w:p>
        </w:tc>
        <w:tc>
          <w:tcPr>
            <w:tcW w:w="30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19,274</w:t>
            </w:r>
          </w:p>
        </w:tc>
        <w:tc>
          <w:tcPr>
            <w:tcW w:w="300" w:type="dxa"/>
            <w:vAlign w:val="bottom"/>
          </w:tcPr>
          <w:p>
            <w:pPr>
              <w:spacing w:after="0"/>
              <w:rPr>
                <w:sz w:val="24"/>
                <w:szCs w:val="2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8,167</w:t>
            </w:r>
          </w:p>
        </w:tc>
        <w:tc>
          <w:tcPr>
            <w:tcW w:w="34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15,445</w:t>
            </w:r>
          </w:p>
        </w:tc>
      </w:tr>
      <w:tr>
        <w:trPr>
          <w:trHeight w:val="168"/>
        </w:trPr>
        <w:tc>
          <w:tcPr>
            <w:tcW w:w="7060" w:type="dxa"/>
            <w:vAlign w:val="bottom"/>
          </w:tcPr>
          <w:p>
            <w:pPr>
              <w:spacing w:after="0"/>
              <w:rPr>
                <w:sz w:val="14"/>
                <w:szCs w:val="14"/>
                <w:color w:val="auto"/>
              </w:rPr>
            </w:pP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668,773</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563,179</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679,528</w:t>
            </w:r>
          </w:p>
        </w:tc>
      </w:tr>
      <w:tr>
        <w:trPr>
          <w:trHeight w:val="168"/>
        </w:trPr>
        <w:tc>
          <w:tcPr>
            <w:tcW w:w="7060" w:type="dxa"/>
            <w:vAlign w:val="bottom"/>
          </w:tcPr>
          <w:p>
            <w:pPr>
              <w:spacing w:after="0"/>
              <w:rPr>
                <w:sz w:val="14"/>
                <w:szCs w:val="14"/>
                <w:color w:val="auto"/>
              </w:rPr>
            </w:pP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ind w:left="440"/>
              <w:spacing w:after="0"/>
              <w:rPr>
                <w:sz w:val="20"/>
                <w:szCs w:val="20"/>
                <w:color w:val="auto"/>
              </w:rPr>
            </w:pPr>
            <w:r>
              <w:rPr>
                <w:rFonts w:ascii="Courier New" w:cs="Courier New" w:eastAsia="Courier New" w:hAnsi="Courier New"/>
                <w:sz w:val="15"/>
                <w:szCs w:val="15"/>
                <w:color w:val="auto"/>
              </w:rPr>
              <w:t>SHAREHOLDERS' EQUITY</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ORDINARY SHARES, NIS 1.00 PAR VALUE - AUTHORIZED</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0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250,000,000, 150,000,000 AND 250,000,000 SHARES, RESPECTIVELY;</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0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ISSUED 66,999,796, 66,882,383 AND 66,999,796 SHARES, RESPECTIVELY</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16,274</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16,248</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16,274</w:t>
            </w: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517,476</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516,962</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517,476</w:t>
            </w: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SHAREHOLDER RECEIVABLES</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3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c>
          <w:tcPr>
            <w:tcW w:w="3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(411,992)</w:t>
            </w:r>
          </w:p>
        </w:tc>
        <w:tc>
          <w:tcPr>
            <w:tcW w:w="3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(257,395)</w:t>
            </w:r>
          </w:p>
        </w:tc>
        <w:tc>
          <w:tcPr>
            <w:tcW w:w="3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(356,672)</w:t>
            </w:r>
          </w:p>
        </w:tc>
      </w:tr>
      <w:tr>
        <w:trPr>
          <w:trHeight w:val="168"/>
        </w:trPr>
        <w:tc>
          <w:tcPr>
            <w:tcW w:w="7060" w:type="dxa"/>
            <w:vAlign w:val="bottom"/>
          </w:tcPr>
          <w:p>
            <w:pPr>
              <w:spacing w:after="0"/>
              <w:rPr>
                <w:sz w:val="14"/>
                <w:szCs w:val="14"/>
                <w:color w:val="auto"/>
              </w:rPr>
            </w:pP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121,732</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275,789</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177,052</w:t>
            </w: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TREASURY STOCK, AT COST - 1,300,000 SHARES</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(9,072)</w:t>
            </w:r>
          </w:p>
        </w:tc>
        <w:tc>
          <w:tcPr>
            <w:tcW w:w="3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(9,072)</w:t>
            </w:r>
          </w:p>
        </w:tc>
        <w:tc>
          <w:tcPr>
            <w:tcW w:w="3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7060" w:type="dxa"/>
            <w:vAlign w:val="bottom"/>
          </w:tcPr>
          <w:p>
            <w:pPr>
              <w:spacing w:after="0"/>
              <w:rPr>
                <w:sz w:val="14"/>
                <w:szCs w:val="14"/>
                <w:color w:val="auto"/>
              </w:rPr>
            </w:pP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112,660</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266,717</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167,980</w:t>
            </w:r>
          </w:p>
        </w:tc>
      </w:tr>
      <w:tr>
        <w:trPr>
          <w:trHeight w:val="168"/>
        </w:trPr>
        <w:tc>
          <w:tcPr>
            <w:tcW w:w="7060" w:type="dxa"/>
            <w:vAlign w:val="bottom"/>
          </w:tcPr>
          <w:p>
            <w:pPr>
              <w:spacing w:after="0"/>
              <w:rPr>
                <w:sz w:val="14"/>
                <w:szCs w:val="14"/>
                <w:color w:val="auto"/>
              </w:rPr>
            </w:pP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ind w:left="140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3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$ 781,433</w:t>
            </w: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$ 829,896</w:t>
            </w:r>
          </w:p>
        </w:tc>
        <w:tc>
          <w:tcPr>
            <w:tcW w:w="1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$ 847,508</w:t>
            </w:r>
          </w:p>
        </w:tc>
      </w:tr>
      <w:tr>
        <w:trPr>
          <w:trHeight w:val="168"/>
        </w:trPr>
        <w:tc>
          <w:tcPr>
            <w:tcW w:w="7060" w:type="dxa"/>
            <w:vAlign w:val="bottom"/>
          </w:tcPr>
          <w:p>
            <w:pPr>
              <w:spacing w:after="0"/>
              <w:rPr>
                <w:sz w:val="14"/>
                <w:szCs w:val="14"/>
                <w:color w:val="auto"/>
              </w:rPr>
            </w:pP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860"/>
          </w:cols>
          <w:pgMar w:left="220" w:top="617" w:right="819" w:bottom="349" w:gutter="0" w:footer="0" w:header="0"/>
        </w:sectPr>
      </w:pPr>
    </w:p>
    <w:bookmarkStart w:id="12" w:name="page13"/>
    <w:bookmarkEnd w:id="12"/>
    <w:p>
      <w:pPr>
        <w:jc w:val="center"/>
        <w:ind w:right="3219"/>
        <w:spacing w:after="0" w:line="235" w:lineRule="auto"/>
        <w:rPr>
          <w:sz w:val="20"/>
          <w:szCs w:val="20"/>
          <w:color w:val="auto"/>
        </w:rPr>
      </w:pPr>
      <w:r>
        <w:rPr>
          <w:rFonts w:ascii="Courier New" w:cs="Courier New" w:eastAsia="Courier New" w:hAnsi="Courier New"/>
          <w:sz w:val="15"/>
          <w:szCs w:val="15"/>
          <w:color w:val="auto"/>
        </w:rPr>
        <w:t>TOWER SEMICONDUCTOR LTD. AND SUBSIDIARY CONSOLIDATED STATEMENTS OF OPERATIONS (DOLLARS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THREE MONTHS ENDED</w:t>
            </w:r>
          </w:p>
        </w:tc>
        <w:tc>
          <w:tcPr>
            <w:tcW w:w="122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YEAR ENDED</w:t>
            </w:r>
          </w:p>
        </w:tc>
      </w:tr>
      <w:tr>
        <w:trPr>
          <w:trHeight w:val="168"/>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MARCH 31,</w:t>
            </w:r>
          </w:p>
        </w:tc>
        <w:tc>
          <w:tcPr>
            <w:tcW w:w="880" w:type="dxa"/>
            <w:vAlign w:val="bottom"/>
          </w:tcPr>
          <w:p>
            <w:pPr>
              <w:spacing w:after="0"/>
              <w:rPr>
                <w:sz w:val="14"/>
                <w:szCs w:val="14"/>
                <w:color w:val="auto"/>
              </w:rPr>
            </w:pP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DECEMBER 31,</w:t>
            </w:r>
          </w:p>
        </w:tc>
      </w:tr>
      <w:tr>
        <w:trPr>
          <w:trHeight w:val="168"/>
        </w:trPr>
        <w:tc>
          <w:tcPr>
            <w:tcW w:w="3900" w:type="dxa"/>
            <w:vAlign w:val="bottom"/>
          </w:tcPr>
          <w:p>
            <w:pPr>
              <w:spacing w:after="0"/>
              <w:rPr>
                <w:sz w:val="14"/>
                <w:szCs w:val="14"/>
                <w:color w:val="auto"/>
              </w:rPr>
            </w:pPr>
          </w:p>
        </w:tc>
        <w:tc>
          <w:tcPr>
            <w:tcW w:w="258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2005</w:t>
            </w: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2004</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2004</w:t>
            </w:r>
          </w:p>
        </w:tc>
      </w:tr>
      <w:tr>
        <w:trPr>
          <w:trHeight w:val="168"/>
        </w:trPr>
        <w:tc>
          <w:tcPr>
            <w:tcW w:w="390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258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23,167</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27,247</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$ 126,055</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360" w:type="dxa"/>
            <w:vAlign w:val="bottom"/>
          </w:tcPr>
          <w:p>
            <w:pPr>
              <w:spacing w:after="0"/>
              <w:rPr>
                <w:sz w:val="24"/>
                <w:szCs w:val="24"/>
                <w:color w:val="auto"/>
              </w:rPr>
            </w:pP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61,214</w:t>
            </w:r>
          </w:p>
        </w:tc>
        <w:tc>
          <w:tcPr>
            <w:tcW w:w="38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50,149</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228,410</w:t>
            </w:r>
          </w:p>
        </w:tc>
      </w:tr>
      <w:tr>
        <w:trPr>
          <w:trHeight w:val="168"/>
        </w:trPr>
        <w:tc>
          <w:tcPr>
            <w:tcW w:w="390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ind w:left="700"/>
              <w:spacing w:after="0"/>
              <w:rPr>
                <w:sz w:val="20"/>
                <w:szCs w:val="20"/>
                <w:color w:val="auto"/>
              </w:rPr>
            </w:pPr>
            <w:r>
              <w:rPr>
                <w:rFonts w:ascii="Courier New" w:cs="Courier New" w:eastAsia="Courier New" w:hAnsi="Courier New"/>
                <w:sz w:val="15"/>
                <w:szCs w:val="15"/>
                <w:color w:val="auto"/>
              </w:rPr>
              <w:t>GROSS LOSS</w:t>
            </w:r>
          </w:p>
        </w:tc>
        <w:tc>
          <w:tcPr>
            <w:tcW w:w="360" w:type="dxa"/>
            <w:vAlign w:val="bottom"/>
          </w:tcPr>
          <w:p>
            <w:pPr>
              <w:spacing w:after="0"/>
              <w:rPr>
                <w:sz w:val="24"/>
                <w:szCs w:val="2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(38,047)</w:t>
            </w:r>
          </w:p>
        </w:tc>
        <w:tc>
          <w:tcPr>
            <w:tcW w:w="38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(22,902)</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(102,355)</w:t>
            </w:r>
          </w:p>
        </w:tc>
      </w:tr>
      <w:tr>
        <w:trPr>
          <w:trHeight w:val="168"/>
        </w:trPr>
        <w:tc>
          <w:tcPr>
            <w:tcW w:w="390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6"/>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360" w:type="dxa"/>
            <w:vAlign w:val="bottom"/>
          </w:tcPr>
          <w:p>
            <w:pPr>
              <w:spacing w:after="0"/>
              <w:rPr>
                <w:sz w:val="24"/>
                <w:szCs w:val="24"/>
                <w:color w:val="auto"/>
              </w:rPr>
            </w:pP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4,763</w:t>
            </w:r>
          </w:p>
        </w:tc>
        <w:tc>
          <w:tcPr>
            <w:tcW w:w="38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3,505</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17,053</w:t>
            </w: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3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4,528</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5,591</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21,297</w:t>
            </w:r>
          </w:p>
        </w:tc>
      </w:tr>
      <w:tr>
        <w:trPr>
          <w:trHeight w:val="168"/>
        </w:trPr>
        <w:tc>
          <w:tcPr>
            <w:tcW w:w="390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9,291</w:t>
            </w:r>
          </w:p>
        </w:tc>
        <w:tc>
          <w:tcPr>
            <w:tcW w:w="38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9,096</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38,350</w:t>
            </w:r>
          </w:p>
        </w:tc>
      </w:tr>
      <w:tr>
        <w:trPr>
          <w:trHeight w:val="168"/>
        </w:trPr>
        <w:tc>
          <w:tcPr>
            <w:tcW w:w="390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ind w:left="700"/>
              <w:spacing w:after="0"/>
              <w:rPr>
                <w:sz w:val="20"/>
                <w:szCs w:val="20"/>
                <w:color w:val="auto"/>
              </w:rPr>
            </w:pPr>
            <w:r>
              <w:rPr>
                <w:rFonts w:ascii="Courier New" w:cs="Courier New" w:eastAsia="Courier New" w:hAnsi="Courier New"/>
                <w:sz w:val="15"/>
                <w:szCs w:val="15"/>
                <w:color w:val="auto"/>
              </w:rPr>
              <w:t>OPERATING LOSS</w:t>
            </w:r>
          </w:p>
        </w:tc>
        <w:tc>
          <w:tcPr>
            <w:tcW w:w="360" w:type="dxa"/>
            <w:vAlign w:val="bottom"/>
          </w:tcPr>
          <w:p>
            <w:pPr>
              <w:spacing w:after="0"/>
              <w:rPr>
                <w:sz w:val="24"/>
                <w:szCs w:val="2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(47,338)</w:t>
            </w:r>
          </w:p>
        </w:tc>
        <w:tc>
          <w:tcPr>
            <w:tcW w:w="38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(31,998)</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(140,705)</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FINANCING EXPENSE, NET</w:t>
            </w:r>
          </w:p>
        </w:tc>
        <w:tc>
          <w:tcPr>
            <w:tcW w:w="360" w:type="dxa"/>
            <w:vAlign w:val="bottom"/>
          </w:tcPr>
          <w:p>
            <w:pPr>
              <w:spacing w:after="0"/>
              <w:rPr>
                <w:sz w:val="24"/>
                <w:szCs w:val="2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(8,175)</w:t>
            </w:r>
          </w:p>
        </w:tc>
        <w:tc>
          <w:tcPr>
            <w:tcW w:w="38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(6,531)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(29,745)</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360" w:type="dxa"/>
            <w:vAlign w:val="bottom"/>
          </w:tcPr>
          <w:p>
            <w:pPr>
              <w:spacing w:after="0"/>
              <w:rPr>
                <w:sz w:val="24"/>
                <w:szCs w:val="24"/>
                <w:color w:val="auto"/>
              </w:rPr>
            </w:pP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193</w:t>
            </w:r>
          </w:p>
        </w:tc>
        <w:tc>
          <w:tcPr>
            <w:tcW w:w="38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32,682</w:t>
            </w:r>
          </w:p>
        </w:tc>
      </w:tr>
      <w:tr>
        <w:trPr>
          <w:trHeight w:val="168"/>
        </w:trPr>
        <w:tc>
          <w:tcPr>
            <w:tcW w:w="390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ind w:left="1320"/>
              <w:spacing w:after="0"/>
              <w:rPr>
                <w:sz w:val="20"/>
                <w:szCs w:val="20"/>
                <w:color w:val="auto"/>
              </w:rPr>
            </w:pPr>
            <w:r>
              <w:rPr>
                <w:rFonts w:ascii="Courier New" w:cs="Courier New" w:eastAsia="Courier New" w:hAnsi="Courier New"/>
                <w:sz w:val="15"/>
                <w:szCs w:val="15"/>
                <w:color w:val="auto"/>
              </w:rPr>
              <w:t>LOSS FOR THE PERIOD</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(55,320)</w:t>
            </w:r>
          </w:p>
        </w:tc>
        <w:tc>
          <w:tcPr>
            <w:tcW w:w="12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(38,491)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$(137,768)</w:t>
            </w:r>
          </w:p>
        </w:tc>
      </w:tr>
      <w:tr>
        <w:trPr>
          <w:trHeight w:val="168"/>
        </w:trPr>
        <w:tc>
          <w:tcPr>
            <w:tcW w:w="390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6"/>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LOSS PER SHARE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(0.84)</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(0.61)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(2.13)</w:t>
            </w:r>
          </w:p>
        </w:tc>
      </w:tr>
      <w:tr>
        <w:trPr>
          <w:trHeight w:val="168"/>
        </w:trPr>
        <w:tc>
          <w:tcPr>
            <w:tcW w:w="390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LOSS USED TO COMPUTE</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BASIC LOSS PER SHARE</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(55,320)</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(38,484)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$(137,768)</w:t>
            </w:r>
          </w:p>
        </w:tc>
      </w:tr>
      <w:tr>
        <w:trPr>
          <w:trHeight w:val="168"/>
        </w:trPr>
        <w:tc>
          <w:tcPr>
            <w:tcW w:w="390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NUMBER OF ORDINARY</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9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SHARES OUTSTANDING - IN THOUSANDS</w:t>
            </w:r>
          </w:p>
        </w:tc>
        <w:tc>
          <w:tcPr>
            <w:tcW w:w="36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65,700</w:t>
            </w:r>
          </w:p>
        </w:tc>
        <w:tc>
          <w:tcPr>
            <w:tcW w:w="3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63,026</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64,717</w:t>
            </w:r>
          </w:p>
        </w:tc>
      </w:tr>
      <w:tr>
        <w:trPr>
          <w:trHeight w:val="168"/>
        </w:trPr>
        <w:tc>
          <w:tcPr>
            <w:tcW w:w="3900" w:type="dxa"/>
            <w:vAlign w:val="bottom"/>
          </w:tcPr>
          <w:p>
            <w:pPr>
              <w:spacing w:after="0"/>
              <w:rPr>
                <w:sz w:val="14"/>
                <w:szCs w:val="14"/>
                <w:color w:val="auto"/>
              </w:rPr>
            </w:pPr>
          </w:p>
        </w:tc>
        <w:tc>
          <w:tcPr>
            <w:tcW w:w="13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39"/>
          </w:cols>
          <w:pgMar w:left="220" w:top="624" w:right="1440" w:bottom="1440" w:gutter="0" w:footer="0" w:header="0"/>
        </w:sectPr>
      </w:pPr>
    </w:p>
    <w:bookmarkStart w:id="13" w:name="page14"/>
    <w:bookmarkEnd w:id="13"/>
    <w:p>
      <w:pPr>
        <w:jc w:val="center"/>
        <w:ind w:right="3219"/>
        <w:spacing w:after="0"/>
        <w:rPr>
          <w:sz w:val="20"/>
          <w:szCs w:val="20"/>
          <w:color w:val="auto"/>
        </w:rPr>
      </w:pPr>
      <w:r>
        <w:rPr>
          <w:rFonts w:ascii="Courier New" w:cs="Courier New" w:eastAsia="Courier New" w:hAnsi="Courier New"/>
          <w:sz w:val="15"/>
          <w:szCs w:val="15"/>
          <w:color w:val="auto"/>
        </w:rPr>
        <w:t>TOWER SEMICONDUCTOR LTD.</w:t>
      </w:r>
    </w:p>
    <w:p>
      <w:pPr>
        <w:spacing w:after="0" w:line="5" w:lineRule="exact"/>
        <w:rPr>
          <w:sz w:val="20"/>
          <w:szCs w:val="20"/>
          <w:color w:val="auto"/>
        </w:rPr>
      </w:pPr>
    </w:p>
    <w:p>
      <w:pPr>
        <w:ind w:left="880" w:right="4099" w:firstLine="700"/>
        <w:spacing w:after="0" w:line="261" w:lineRule="auto"/>
        <w:rPr>
          <w:sz w:val="20"/>
          <w:szCs w:val="20"/>
          <w:color w:val="auto"/>
        </w:rPr>
      </w:pPr>
      <w:r>
        <w:rPr>
          <w:rFonts w:ascii="Courier New" w:cs="Courier New" w:eastAsia="Courier New" w:hAnsi="Courier New"/>
          <w:sz w:val="14"/>
          <w:szCs w:val="14"/>
          <w:color w:val="auto"/>
        </w:rPr>
        <w:t>STATEMENTS OF CHANGES IN SHAREHOLDERS' EQUITY (DOLLARS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PROCEEDS</w:t>
            </w:r>
          </w:p>
        </w:tc>
      </w:tr>
      <w:tr>
        <w:trPr>
          <w:trHeight w:val="168"/>
        </w:trPr>
        <w:tc>
          <w:tcPr>
            <w:tcW w:w="4160" w:type="dxa"/>
            <w:vAlign w:val="bottom"/>
          </w:tcPr>
          <w:p>
            <w:pPr>
              <w:spacing w:after="0"/>
              <w:rPr>
                <w:sz w:val="14"/>
                <w:szCs w:val="14"/>
                <w:color w:val="auto"/>
              </w:rPr>
            </w:pPr>
          </w:p>
        </w:tc>
        <w:tc>
          <w:tcPr>
            <w:tcW w:w="2280" w:type="dxa"/>
            <w:vAlign w:val="bottom"/>
            <w:gridSpan w:val="3"/>
          </w:tcPr>
          <w:p>
            <w:pPr>
              <w:jc w:val="right"/>
              <w:ind w:right="507"/>
              <w:spacing w:after="0" w:line="168" w:lineRule="exact"/>
              <w:rPr>
                <w:sz w:val="20"/>
                <w:szCs w:val="20"/>
                <w:color w:val="auto"/>
              </w:rPr>
            </w:pPr>
            <w:r>
              <w:rPr>
                <w:rFonts w:ascii="Courier New" w:cs="Courier New" w:eastAsia="Courier New" w:hAnsi="Courier New"/>
                <w:sz w:val="15"/>
                <w:szCs w:val="15"/>
                <w:color w:val="auto"/>
              </w:rPr>
              <w:t>ORDINARY SHARES</w:t>
            </w:r>
          </w:p>
        </w:tc>
        <w:tc>
          <w:tcPr>
            <w:tcW w:w="11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ADDITIONAL</w:t>
            </w:r>
          </w:p>
        </w:tc>
        <w:tc>
          <w:tcPr>
            <w:tcW w:w="2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ON</w:t>
            </w:r>
          </w:p>
        </w:tc>
      </w:tr>
      <w:tr>
        <w:trPr>
          <w:trHeight w:val="168"/>
        </w:trPr>
        <w:tc>
          <w:tcPr>
            <w:tcW w:w="4160" w:type="dxa"/>
            <w:vAlign w:val="bottom"/>
          </w:tcPr>
          <w:p>
            <w:pPr>
              <w:spacing w:after="0"/>
              <w:rPr>
                <w:sz w:val="14"/>
                <w:szCs w:val="14"/>
                <w:color w:val="auto"/>
              </w:rPr>
            </w:pPr>
          </w:p>
        </w:tc>
        <w:tc>
          <w:tcPr>
            <w:tcW w:w="228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PAID-IN</w:t>
            </w:r>
          </w:p>
        </w:tc>
        <w:tc>
          <w:tcPr>
            <w:tcW w:w="12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ACCOUNT OF</w:t>
            </w:r>
          </w:p>
        </w:tc>
      </w:tr>
      <w:tr>
        <w:trPr>
          <w:trHeight w:val="168"/>
        </w:trPr>
        <w:tc>
          <w:tcPr>
            <w:tcW w:w="416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AMOUNT</w:t>
            </w:r>
          </w:p>
        </w:tc>
        <w:tc>
          <w:tcPr>
            <w:tcW w:w="22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CAPITAL</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SHARE CAPITAL</w:t>
            </w: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ind w:left="800"/>
              <w:spacing w:after="0"/>
              <w:rPr>
                <w:sz w:val="20"/>
                <w:szCs w:val="20"/>
                <w:color w:val="auto"/>
              </w:rPr>
            </w:pPr>
            <w:r>
              <w:rPr>
                <w:rFonts w:ascii="Courier New" w:cs="Courier New" w:eastAsia="Courier New" w:hAnsi="Courier New"/>
                <w:sz w:val="15"/>
                <w:szCs w:val="15"/>
                <w:color w:val="auto"/>
              </w:rPr>
              <w:t>BALANCE - JANUARY 1, 2005</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66,999,796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16,274</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517,476</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CHANGES DURING THREE-MONTH PERIOD (UNAUDITED):</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LOSS FOR THE PERIOD</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BALANCE - MARCH 31, 2005 (UNAUDITED)</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66,999,796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16,274</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517,476</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ind w:left="800"/>
              <w:spacing w:after="0"/>
              <w:rPr>
                <w:sz w:val="20"/>
                <w:szCs w:val="20"/>
                <w:color w:val="auto"/>
              </w:rPr>
            </w:pPr>
            <w:r>
              <w:rPr>
                <w:rFonts w:ascii="Courier New" w:cs="Courier New" w:eastAsia="Courier New" w:hAnsi="Courier New"/>
                <w:sz w:val="15"/>
                <w:szCs w:val="15"/>
                <w:color w:val="auto"/>
              </w:rPr>
              <w:t>BALANCE - JANUARY 1, 2004</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52,996,097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13,150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427,881</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16,428</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CHANGES DURING THREE-MONTH PERIOD (UNAUDITED):</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2,346,786</w:t>
            </w:r>
          </w:p>
        </w:tc>
        <w:tc>
          <w:tcPr>
            <w:tcW w:w="22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527</w:t>
            </w:r>
          </w:p>
        </w:tc>
        <w:tc>
          <w:tcPr>
            <w:tcW w:w="22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15,901</w:t>
            </w:r>
          </w:p>
        </w:tc>
        <w:tc>
          <w:tcPr>
            <w:tcW w:w="26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(16,428)</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 NET OF RELATED COST -</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PUBLIC OFFERING</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11,444,500</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2,550</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72,536</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95,000</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644</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BALANCE - MARCH 31, 2004 (UNAUDITED)</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66,882,383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16,248</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516,962</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ind w:left="800"/>
              <w:spacing w:after="0"/>
              <w:rPr>
                <w:sz w:val="20"/>
                <w:szCs w:val="20"/>
                <w:color w:val="auto"/>
              </w:rPr>
            </w:pPr>
            <w:r>
              <w:rPr>
                <w:rFonts w:ascii="Courier New" w:cs="Courier New" w:eastAsia="Courier New" w:hAnsi="Courier New"/>
                <w:sz w:val="15"/>
                <w:szCs w:val="15"/>
                <w:color w:val="auto"/>
              </w:rPr>
              <w:t>BALANCE - JANUARY 1, 2004</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52,996,097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13,150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427,881</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16,428</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CHANGES DURING 2004:</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2,463,949</w:t>
            </w:r>
          </w:p>
        </w:tc>
        <w:tc>
          <w:tcPr>
            <w:tcW w:w="22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553</w:t>
            </w:r>
          </w:p>
        </w:tc>
        <w:tc>
          <w:tcPr>
            <w:tcW w:w="22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16,414</w:t>
            </w:r>
          </w:p>
        </w:tc>
        <w:tc>
          <w:tcPr>
            <w:tcW w:w="26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(16,428)</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 NET OF RELATED COST -</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PUBLIC OFFERING</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11,444,500</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2,550</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72,536</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95,250</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645</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BALANCE - DECEMBER 31, 2004</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66,999,796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16,274</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517,476</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SHAREHOLDER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RECEIVABLES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AND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UNEARNED</w:t>
            </w:r>
          </w:p>
        </w:tc>
        <w:tc>
          <w:tcPr>
            <w:tcW w:w="124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ACCUMULATED</w:t>
            </w:r>
          </w:p>
        </w:tc>
        <w:tc>
          <w:tcPr>
            <w:tcW w:w="11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TREASURY</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COMPENSATION</w:t>
            </w:r>
          </w:p>
        </w:tc>
        <w:tc>
          <w:tcPr>
            <w:tcW w:w="1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DEFICIT</w:t>
            </w:r>
          </w:p>
        </w:tc>
        <w:tc>
          <w:tcPr>
            <w:tcW w:w="26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STOCK</w:t>
            </w:r>
          </w:p>
        </w:tc>
        <w:tc>
          <w:tcPr>
            <w:tcW w:w="28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040" w:type="dxa"/>
            <w:vAlign w:val="bottom"/>
          </w:tcPr>
          <w:p>
            <w:pPr>
              <w:spacing w:after="0"/>
              <w:rPr>
                <w:sz w:val="14"/>
                <w:szCs w:val="14"/>
                <w:color w:val="auto"/>
              </w:rPr>
            </w:pP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ind w:left="800"/>
              <w:spacing w:after="0"/>
              <w:rPr>
                <w:sz w:val="20"/>
                <w:szCs w:val="20"/>
                <w:color w:val="auto"/>
              </w:rPr>
            </w:pPr>
            <w:r>
              <w:rPr>
                <w:rFonts w:ascii="Courier New" w:cs="Courier New" w:eastAsia="Courier New" w:hAnsi="Courier New"/>
                <w:sz w:val="15"/>
                <w:szCs w:val="15"/>
                <w:color w:val="auto"/>
              </w:rPr>
              <w:t>BALANCE - JANUARY 1, 2005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(356,672)</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(9,072)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167,980</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w w:val="97"/>
              </w:rPr>
              <w:t>CHANGES DURING THREE-MONTH PERIOD (UNAUDITED):</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LOSS FOR THE PERIOD</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(55,320)</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(55,320)</w:t>
            </w:r>
          </w:p>
        </w:tc>
      </w:tr>
      <w:tr>
        <w:trPr>
          <w:trHeight w:val="168"/>
        </w:trPr>
        <w:tc>
          <w:tcPr>
            <w:tcW w:w="4040" w:type="dxa"/>
            <w:vAlign w:val="bottom"/>
          </w:tcPr>
          <w:p>
            <w:pPr>
              <w:spacing w:after="0"/>
              <w:rPr>
                <w:sz w:val="14"/>
                <w:szCs w:val="14"/>
                <w:color w:val="auto"/>
              </w:rPr>
            </w:pP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9"/>
              </w:rPr>
              <w:t>BALANCE - MARCH 31, 2005 (UNAUDITED)</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(411,992)</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(9,072)</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112,660</w:t>
            </w:r>
          </w:p>
        </w:tc>
      </w:tr>
      <w:tr>
        <w:trPr>
          <w:trHeight w:val="168"/>
        </w:trPr>
        <w:tc>
          <w:tcPr>
            <w:tcW w:w="4040" w:type="dxa"/>
            <w:vAlign w:val="bottom"/>
          </w:tcPr>
          <w:p>
            <w:pPr>
              <w:spacing w:after="0"/>
              <w:rPr>
                <w:sz w:val="14"/>
                <w:szCs w:val="14"/>
                <w:color w:val="auto"/>
              </w:rPr>
            </w:pP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ind w:left="800"/>
              <w:spacing w:after="0"/>
              <w:rPr>
                <w:sz w:val="20"/>
                <w:szCs w:val="20"/>
                <w:color w:val="auto"/>
              </w:rPr>
            </w:pPr>
            <w:r>
              <w:rPr>
                <w:rFonts w:ascii="Courier New" w:cs="Courier New" w:eastAsia="Courier New" w:hAnsi="Courier New"/>
                <w:sz w:val="15"/>
                <w:szCs w:val="15"/>
                <w:color w:val="auto"/>
              </w:rPr>
              <w:t>BALANCE - JANUARY 1, 2004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(218,904)</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(9,072)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229,457</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w w:val="97"/>
              </w:rPr>
              <w:t>CHANGES DURING THREE-MONTH PERIOD (UNAUDITED):</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 NET OF RELATED COST -</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PUBLIC OFFERING</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75,086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(38,491)</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(38,491)</w:t>
            </w:r>
          </w:p>
        </w:tc>
      </w:tr>
      <w:tr>
        <w:trPr>
          <w:trHeight w:val="168"/>
        </w:trPr>
        <w:tc>
          <w:tcPr>
            <w:tcW w:w="4040" w:type="dxa"/>
            <w:vAlign w:val="bottom"/>
          </w:tcPr>
          <w:p>
            <w:pPr>
              <w:spacing w:after="0"/>
              <w:rPr>
                <w:sz w:val="14"/>
                <w:szCs w:val="14"/>
                <w:color w:val="auto"/>
              </w:rPr>
            </w:pP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9"/>
              </w:rPr>
              <w:t>BALANCE - MARCH 31, 2004 (UNAUDITED)</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(257,395)</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(9,072)</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266,717</w:t>
            </w:r>
          </w:p>
        </w:tc>
      </w:tr>
      <w:tr>
        <w:trPr>
          <w:trHeight w:val="168"/>
        </w:trPr>
        <w:tc>
          <w:tcPr>
            <w:tcW w:w="4040" w:type="dxa"/>
            <w:vAlign w:val="bottom"/>
          </w:tcPr>
          <w:p>
            <w:pPr>
              <w:spacing w:after="0"/>
              <w:rPr>
                <w:sz w:val="14"/>
                <w:szCs w:val="14"/>
                <w:color w:val="auto"/>
              </w:rPr>
            </w:pP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ind w:left="800"/>
              <w:spacing w:after="0"/>
              <w:rPr>
                <w:sz w:val="20"/>
                <w:szCs w:val="20"/>
                <w:color w:val="auto"/>
              </w:rPr>
            </w:pPr>
            <w:r>
              <w:rPr>
                <w:rFonts w:ascii="Courier New" w:cs="Courier New" w:eastAsia="Courier New" w:hAnsi="Courier New"/>
                <w:sz w:val="15"/>
                <w:szCs w:val="15"/>
                <w:color w:val="auto"/>
              </w:rPr>
              <w:t>BALANCE - JANUARY 1, 2004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(218,904)</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(9,072)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229,457</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CHANGES DURING 2004:</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539</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 NET OF RELATED COST -</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PUBLIC OFFERING</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75,086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(137,768)</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(137,768)</w:t>
            </w:r>
          </w:p>
        </w:tc>
      </w:tr>
      <w:tr>
        <w:trPr>
          <w:trHeight w:val="168"/>
        </w:trPr>
        <w:tc>
          <w:tcPr>
            <w:tcW w:w="4040" w:type="dxa"/>
            <w:vAlign w:val="bottom"/>
          </w:tcPr>
          <w:p>
            <w:pPr>
              <w:spacing w:after="0"/>
              <w:rPr>
                <w:sz w:val="14"/>
                <w:szCs w:val="14"/>
                <w:color w:val="auto"/>
              </w:rPr>
            </w:pP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617" w:right="1440" w:bottom="0" w:gutter="0" w:footer="0" w:header="0"/>
        </w:sectPr>
      </w:pPr>
    </w:p>
    <w:bookmarkStart w:id="14" w:name="page15"/>
    <w:bookmarkEnd w:id="14"/>
    <w:p>
      <w:pPr>
        <w:ind w:left="800"/>
        <w:spacing w:after="0"/>
        <w:rPr>
          <w:sz w:val="20"/>
          <w:szCs w:val="20"/>
          <w:color w:val="auto"/>
        </w:rPr>
      </w:pPr>
      <w:r>
        <w:rPr>
          <w:rFonts w:ascii="Courier New" w:cs="Courier New" w:eastAsia="Courier New" w:hAnsi="Courier New"/>
          <w:sz w:val="14"/>
          <w:szCs w:val="14"/>
          <w:color w:val="auto"/>
        </w:rPr>
        <w:t>BALANCE - DECEMBER 31, 2004</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(26)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(356,672)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(9,072)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167,980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4" w:lineRule="exact"/>
        <w:rPr>
          <w:sz w:val="20"/>
          <w:szCs w:val="20"/>
          <w:color w:val="auto"/>
        </w:rPr>
      </w:pPr>
    </w:p>
    <w:p>
      <w:pPr>
        <w:sectPr>
          <w:pgSz w:w="11900" w:h="16838" w:orient="portrait"/>
          <w:cols w:equalWidth="0" w:num="5">
            <w:col w:w="3580" w:space="720"/>
            <w:col w:w="600" w:space="280"/>
            <w:col w:w="1040" w:space="260"/>
            <w:col w:w="880" w:space="260"/>
            <w:col w:w="2619"/>
          </w:cols>
          <w:pgMar w:left="220" w:top="141" w:right="1440" w:bottom="1440" w:gutter="0" w:footer="0" w:header="0"/>
        </w:sect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condensed interim consolidated financial statements.</w:t>
      </w:r>
    </w:p>
    <w:p>
      <w:pPr>
        <w:spacing w:after="0" w:line="3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39"/>
          </w:cols>
          <w:pgMar w:left="220" w:top="141" w:right="1440" w:bottom="1440" w:gutter="0" w:footer="0" w:header="0"/>
          <w:type w:val="continuous"/>
        </w:sectPr>
      </w:pPr>
    </w:p>
    <w:bookmarkStart w:id="15" w:name="page16"/>
    <w:bookmarkEnd w:id="15"/>
    <w:p>
      <w:pPr>
        <w:jc w:val="center"/>
        <w:ind w:right="444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4440"/>
        <w:spacing w:after="0" w:line="237" w:lineRule="auto"/>
        <w:rPr>
          <w:sz w:val="20"/>
          <w:szCs w:val="20"/>
          <w:color w:val="auto"/>
        </w:rPr>
      </w:pPr>
      <w:r>
        <w:rPr>
          <w:rFonts w:ascii="Courier New" w:cs="Courier New" w:eastAsia="Courier New" w:hAnsi="Courier New"/>
          <w:sz w:val="15"/>
          <w:szCs w:val="15"/>
          <w:color w:val="auto"/>
        </w:rPr>
        <w:t>CONSOLIDATED STATEMENTS OF CASH FLOWS</w:t>
      </w:r>
    </w:p>
    <w:p>
      <w:pPr>
        <w:jc w:val="center"/>
        <w:ind w:right="452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8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THREE MONTHS ENDED</w:t>
            </w:r>
          </w:p>
        </w:tc>
        <w:tc>
          <w:tcPr>
            <w:tcW w:w="13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7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MARCH 31,</w:t>
            </w:r>
          </w:p>
        </w:tc>
        <w:tc>
          <w:tcPr>
            <w:tcW w:w="1000" w:type="dxa"/>
            <w:vAlign w:val="bottom"/>
          </w:tcPr>
          <w:p>
            <w:pPr>
              <w:spacing w:after="0"/>
              <w:rPr>
                <w:sz w:val="14"/>
                <w:szCs w:val="14"/>
                <w:color w:val="auto"/>
              </w:rPr>
            </w:pPr>
          </w:p>
        </w:tc>
        <w:tc>
          <w:tcPr>
            <w:tcW w:w="13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7320" w:type="dxa"/>
            <w:vAlign w:val="bottom"/>
          </w:tcPr>
          <w:p>
            <w:pPr>
              <w:spacing w:after="0"/>
              <w:rPr>
                <w:sz w:val="14"/>
                <w:szCs w:val="14"/>
                <w:color w:val="auto"/>
              </w:rPr>
            </w:pPr>
          </w:p>
        </w:tc>
        <w:tc>
          <w:tcPr>
            <w:tcW w:w="2920" w:type="dxa"/>
            <w:vAlign w:val="bottom"/>
            <w:gridSpan w:val="4"/>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2005</w:t>
            </w:r>
          </w:p>
        </w:tc>
        <w:tc>
          <w:tcPr>
            <w:tcW w:w="440" w:type="dxa"/>
            <w:vAlign w:val="bottom"/>
          </w:tcPr>
          <w:p>
            <w:pPr>
              <w:spacing w:after="0"/>
              <w:rPr>
                <w:sz w:val="14"/>
                <w:szCs w:val="14"/>
                <w:color w:val="auto"/>
              </w:rPr>
            </w:pPr>
          </w:p>
        </w:tc>
        <w:tc>
          <w:tcPr>
            <w:tcW w:w="1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2004</w:t>
            </w:r>
          </w:p>
        </w:tc>
        <w:tc>
          <w:tcPr>
            <w:tcW w:w="44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7320" w:type="dxa"/>
            <w:vAlign w:val="bottom"/>
          </w:tcPr>
          <w:p>
            <w:pPr>
              <w:spacing w:after="0"/>
              <w:rPr>
                <w:sz w:val="14"/>
                <w:szCs w:val="14"/>
                <w:color w:val="auto"/>
              </w:rPr>
            </w:pP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320" w:type="dxa"/>
            <w:vAlign w:val="bottom"/>
          </w:tcPr>
          <w:p>
            <w:pPr>
              <w:spacing w:after="0"/>
              <w:rPr>
                <w:sz w:val="14"/>
                <w:szCs w:val="14"/>
                <w:color w:val="auto"/>
              </w:rPr>
            </w:pPr>
          </w:p>
        </w:tc>
        <w:tc>
          <w:tcPr>
            <w:tcW w:w="2920" w:type="dxa"/>
            <w:vAlign w:val="bottom"/>
            <w:gridSpan w:val="4"/>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7320" w:type="dxa"/>
            <w:vAlign w:val="bottom"/>
          </w:tcPr>
          <w:p>
            <w:pPr>
              <w:spacing w:after="0"/>
              <w:rPr>
                <w:sz w:val="20"/>
                <w:szCs w:val="20"/>
                <w:color w:val="auto"/>
              </w:rPr>
            </w:pPr>
            <w:r>
              <w:rPr>
                <w:rFonts w:ascii="Courier New" w:cs="Courier New" w:eastAsia="Courier New" w:hAnsi="Courier New"/>
                <w:sz w:val="15"/>
                <w:szCs w:val="15"/>
                <w:color w:val="auto"/>
              </w:rPr>
              <w:t>CASH FLOWS - OPERATING ACTIVITIES</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7320" w:type="dxa"/>
            <w:vAlign w:val="bottom"/>
          </w:tcPr>
          <w:p>
            <w:pPr>
              <w:ind w:left="440"/>
              <w:spacing w:after="0"/>
              <w:rPr>
                <w:sz w:val="20"/>
                <w:szCs w:val="20"/>
                <w:color w:val="auto"/>
              </w:rPr>
            </w:pPr>
            <w:r>
              <w:rPr>
                <w:rFonts w:ascii="Courier New" w:cs="Courier New" w:eastAsia="Courier New" w:hAnsi="Courier New"/>
                <w:sz w:val="15"/>
                <w:szCs w:val="15"/>
                <w:color w:val="auto"/>
              </w:rPr>
              <w:t>LOSS FOR THE PERIOD</w:t>
            </w: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(55,320)</w:t>
            </w:r>
          </w:p>
        </w:tc>
        <w:tc>
          <w:tcPr>
            <w:tcW w:w="1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(38,491)</w:t>
            </w: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$(137,768)</w:t>
            </w:r>
          </w:p>
        </w:tc>
      </w:tr>
      <w:tr>
        <w:trPr>
          <w:trHeight w:val="168"/>
        </w:trPr>
        <w:tc>
          <w:tcPr>
            <w:tcW w:w="7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ADJUSTMENTS TO RECONCILE LOSS FOR THE PERIOD</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 NET CASH USED IN OPERATING ACTIVITIES:</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3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INCOME AND EXPENSE ITEMS NOT INVOLVING CASH FLOWS:</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32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34,594</w:t>
            </w:r>
          </w:p>
        </w:tc>
        <w:tc>
          <w:tcPr>
            <w:tcW w:w="44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26,929</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121,067</w:t>
            </w:r>
          </w:p>
        </w:tc>
      </w:tr>
      <w:tr>
        <w:trPr>
          <w:trHeight w:val="168"/>
        </w:trPr>
        <w:tc>
          <w:tcPr>
            <w:tcW w:w="732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EFFECT OF INDEXATION AND TRANSLATION ON</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320" w:type="dxa"/>
            <w:vAlign w:val="bottom"/>
          </w:tcPr>
          <w:p>
            <w:pPr>
              <w:ind w:left="1680"/>
              <w:spacing w:after="0" w:line="168" w:lineRule="exact"/>
              <w:rPr>
                <w:sz w:val="20"/>
                <w:szCs w:val="20"/>
                <w:color w:val="auto"/>
              </w:rPr>
            </w:pPr>
            <w:r>
              <w:rPr>
                <w:rFonts w:ascii="Courier New" w:cs="Courier New" w:eastAsia="Courier New" w:hAnsi="Courier New"/>
                <w:sz w:val="15"/>
                <w:szCs w:val="15"/>
                <w:color w:val="auto"/>
              </w:rPr>
              <w:t>CONVERTIBLE DEBENTURES</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(403)</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(900)</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676</w:t>
            </w:r>
          </w:p>
        </w:tc>
      </w:tr>
      <w:tr>
        <w:trPr>
          <w:trHeight w:val="168"/>
        </w:trPr>
        <w:tc>
          <w:tcPr>
            <w:tcW w:w="732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OTHER INCOME, NET</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(193)</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w:t>
            </w:r>
          </w:p>
        </w:tc>
        <w:tc>
          <w:tcPr>
            <w:tcW w:w="4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(32,682)</w:t>
            </w:r>
          </w:p>
        </w:tc>
      </w:tr>
      <w:tr>
        <w:trPr>
          <w:trHeight w:val="168"/>
        </w:trPr>
        <w:tc>
          <w:tcPr>
            <w:tcW w:w="73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32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DECREASE (INCREASE) IN TRADE ACCOUNTS RECEIVABLE</w:t>
            </w:r>
          </w:p>
        </w:tc>
        <w:tc>
          <w:tcPr>
            <w:tcW w:w="4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7,145</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(3,924)</w:t>
            </w:r>
          </w:p>
        </w:tc>
        <w:tc>
          <w:tcPr>
            <w:tcW w:w="4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(7,655)</w:t>
            </w:r>
          </w:p>
        </w:tc>
      </w:tr>
      <w:tr>
        <w:trPr>
          <w:trHeight w:val="168"/>
        </w:trPr>
        <w:tc>
          <w:tcPr>
            <w:tcW w:w="732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DECREASE (INCREASE) IN OTHER RECEIVABLES AND OTHER CURRENT ASSETS</w:t>
            </w:r>
          </w:p>
        </w:tc>
        <w:tc>
          <w:tcPr>
            <w:tcW w:w="4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2,036</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(1,748)</w:t>
            </w:r>
          </w:p>
        </w:tc>
        <w:tc>
          <w:tcPr>
            <w:tcW w:w="4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(413)</w:t>
            </w:r>
          </w:p>
        </w:tc>
      </w:tr>
      <w:tr>
        <w:trPr>
          <w:trHeight w:val="168"/>
        </w:trPr>
        <w:tc>
          <w:tcPr>
            <w:tcW w:w="732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DECREASE (INCREASE) IN INVENTORIES</w:t>
            </w:r>
          </w:p>
        </w:tc>
        <w:tc>
          <w:tcPr>
            <w:tcW w:w="4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4,045</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(2,202)</w:t>
            </w:r>
          </w:p>
        </w:tc>
        <w:tc>
          <w:tcPr>
            <w:tcW w:w="4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(6,287)</w:t>
            </w:r>
          </w:p>
        </w:tc>
      </w:tr>
      <w:tr>
        <w:trPr>
          <w:trHeight w:val="168"/>
        </w:trPr>
        <w:tc>
          <w:tcPr>
            <w:tcW w:w="732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INCREASE (DECREASE) IN TRADE ACCOUNTS PAYABLE</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(1,051)</w:t>
            </w:r>
          </w:p>
        </w:tc>
        <w:tc>
          <w:tcPr>
            <w:tcW w:w="44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3,309</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404</w:t>
            </w:r>
          </w:p>
        </w:tc>
      </w:tr>
      <w:tr>
        <w:trPr>
          <w:trHeight w:val="168"/>
        </w:trPr>
        <w:tc>
          <w:tcPr>
            <w:tcW w:w="732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DECREASE IN OTHER CURRENT LIABILITIES</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(1,263)</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(1,366)</w:t>
            </w:r>
          </w:p>
        </w:tc>
        <w:tc>
          <w:tcPr>
            <w:tcW w:w="4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(970)</w:t>
            </w:r>
          </w:p>
        </w:tc>
      </w:tr>
      <w:tr>
        <w:trPr>
          <w:trHeight w:val="168"/>
        </w:trPr>
        <w:tc>
          <w:tcPr>
            <w:tcW w:w="732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INCREASE (DECREASE) IN OTHER LONG-TERM LIABILITIES</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(567)</w:t>
            </w:r>
          </w:p>
        </w:tc>
        <w:tc>
          <w:tcPr>
            <w:tcW w:w="44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2,232</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9,344</w:t>
            </w:r>
          </w:p>
        </w:tc>
      </w:tr>
      <w:tr>
        <w:trPr>
          <w:trHeight w:val="168"/>
        </w:trPr>
        <w:tc>
          <w:tcPr>
            <w:tcW w:w="7320" w:type="dxa"/>
            <w:vAlign w:val="bottom"/>
          </w:tcPr>
          <w:p>
            <w:pPr>
              <w:spacing w:after="0"/>
              <w:rPr>
                <w:sz w:val="14"/>
                <w:szCs w:val="14"/>
                <w:color w:val="auto"/>
              </w:rPr>
            </w:pP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(10,977)</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(16,199)</w:t>
            </w:r>
          </w:p>
        </w:tc>
        <w:tc>
          <w:tcPr>
            <w:tcW w:w="4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(54,284)</w:t>
            </w:r>
          </w:p>
        </w:tc>
      </w:tr>
      <w:tr>
        <w:trPr>
          <w:trHeight w:val="168"/>
        </w:trPr>
        <w:tc>
          <w:tcPr>
            <w:tcW w:w="732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INCREASE (DECREASE) IN LONG-TERM LIABILITY</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320" w:type="dxa"/>
            <w:vAlign w:val="bottom"/>
          </w:tcPr>
          <w:p>
            <w:pPr>
              <w:ind w:left="1680"/>
              <w:spacing w:after="0" w:line="168" w:lineRule="exact"/>
              <w:rPr>
                <w:sz w:val="20"/>
                <w:szCs w:val="20"/>
                <w:color w:val="auto"/>
              </w:rPr>
            </w:pPr>
            <w:r>
              <w:rPr>
                <w:rFonts w:ascii="Courier New" w:cs="Courier New" w:eastAsia="Courier New" w:hAnsi="Courier New"/>
                <w:sz w:val="15"/>
                <w:szCs w:val="15"/>
                <w:color w:val="auto"/>
              </w:rPr>
              <w:t>IN RESPECT OF CUSTOMERS' ADVANCES, NET</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(106)</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(517)</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19,384</w:t>
            </w:r>
          </w:p>
        </w:tc>
      </w:tr>
      <w:tr>
        <w:trPr>
          <w:trHeight w:val="168"/>
        </w:trPr>
        <w:tc>
          <w:tcPr>
            <w:tcW w:w="7320" w:type="dxa"/>
            <w:vAlign w:val="bottom"/>
          </w:tcPr>
          <w:p>
            <w:pPr>
              <w:spacing w:after="0"/>
              <w:rPr>
                <w:sz w:val="14"/>
                <w:szCs w:val="14"/>
                <w:color w:val="auto"/>
              </w:rPr>
            </w:pP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tcPr>
          <w:p>
            <w:pPr>
              <w:ind w:left="1680"/>
              <w:spacing w:after="0" w:line="168" w:lineRule="exact"/>
              <w:rPr>
                <w:sz w:val="20"/>
                <w:szCs w:val="20"/>
                <w:color w:val="auto"/>
              </w:rPr>
            </w:pPr>
            <w:r>
              <w:rPr>
                <w:rFonts w:ascii="Courier New" w:cs="Courier New" w:eastAsia="Courier New" w:hAnsi="Courier New"/>
                <w:sz w:val="15"/>
                <w:szCs w:val="15"/>
                <w:color w:val="auto"/>
              </w:rPr>
              <w:t>NET CASH USED IN OPERATING ACTIVITIES</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(11,083)</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(16,716)</w:t>
            </w:r>
          </w:p>
        </w:tc>
        <w:tc>
          <w:tcPr>
            <w:tcW w:w="4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(34,900)</w:t>
            </w:r>
          </w:p>
        </w:tc>
      </w:tr>
      <w:tr>
        <w:trPr>
          <w:trHeight w:val="168"/>
        </w:trPr>
        <w:tc>
          <w:tcPr>
            <w:tcW w:w="7320" w:type="dxa"/>
            <w:vAlign w:val="bottom"/>
          </w:tcPr>
          <w:p>
            <w:pPr>
              <w:spacing w:after="0"/>
              <w:rPr>
                <w:sz w:val="14"/>
                <w:szCs w:val="14"/>
                <w:color w:val="auto"/>
              </w:rPr>
            </w:pP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320" w:type="dxa"/>
            <w:vAlign w:val="bottom"/>
          </w:tcPr>
          <w:p>
            <w:pPr>
              <w:spacing w:after="0"/>
              <w:rPr>
                <w:sz w:val="20"/>
                <w:szCs w:val="20"/>
                <w:color w:val="auto"/>
              </w:rPr>
            </w:pPr>
            <w:r>
              <w:rPr>
                <w:rFonts w:ascii="Courier New" w:cs="Courier New" w:eastAsia="Courier New" w:hAnsi="Courier New"/>
                <w:sz w:val="15"/>
                <w:szCs w:val="15"/>
                <w:color w:val="auto"/>
              </w:rPr>
              <w:t>CASH FLOWS - INVESTING ACTIVITIES</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7320" w:type="dxa"/>
            <w:vAlign w:val="bottom"/>
          </w:tcPr>
          <w:p>
            <w:pPr>
              <w:ind w:left="440"/>
              <w:spacing w:after="0"/>
              <w:rPr>
                <w:sz w:val="20"/>
                <w:szCs w:val="20"/>
                <w:color w:val="auto"/>
              </w:rPr>
            </w:pPr>
            <w:r>
              <w:rPr>
                <w:rFonts w:ascii="Courier New" w:cs="Courier New" w:eastAsia="Courier New" w:hAnsi="Courier New"/>
                <w:sz w:val="15"/>
                <w:szCs w:val="15"/>
                <w:color w:val="auto"/>
              </w:rPr>
              <w:t>DECREASE (INCREASE) IN DESIGNATED CASH, SHORT-TERM AND LONG-TERM</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7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INTEREST-BEARING DEPOSITS, NET</w:t>
            </w:r>
          </w:p>
        </w:tc>
        <w:tc>
          <w:tcPr>
            <w:tcW w:w="4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36,242</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(34,109)</w:t>
            </w:r>
          </w:p>
        </w:tc>
        <w:tc>
          <w:tcPr>
            <w:tcW w:w="4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(10,037)</w:t>
            </w:r>
          </w:p>
        </w:tc>
      </w:tr>
      <w:tr>
        <w:trPr>
          <w:trHeight w:val="168"/>
        </w:trPr>
        <w:tc>
          <w:tcPr>
            <w:tcW w:w="7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INVESTMENTS IN PROPERTY AND EQUIPMENT</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(19,650)</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(25,254)</w:t>
            </w:r>
          </w:p>
        </w:tc>
        <w:tc>
          <w:tcPr>
            <w:tcW w:w="4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(154,975)</w:t>
            </w:r>
          </w:p>
        </w:tc>
      </w:tr>
      <w:tr>
        <w:trPr>
          <w:trHeight w:val="168"/>
        </w:trPr>
        <w:tc>
          <w:tcPr>
            <w:tcW w:w="7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 GRANTS RECEIVED</w:t>
            </w:r>
          </w:p>
        </w:tc>
        <w:tc>
          <w:tcPr>
            <w:tcW w:w="4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3,488</w:t>
            </w:r>
          </w:p>
        </w:tc>
        <w:tc>
          <w:tcPr>
            <w:tcW w:w="44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2,511</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32,636</w:t>
            </w:r>
          </w:p>
        </w:tc>
      </w:tr>
      <w:tr>
        <w:trPr>
          <w:trHeight w:val="168"/>
        </w:trPr>
        <w:tc>
          <w:tcPr>
            <w:tcW w:w="7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RELATED TO SALE AND DISPOSAL OF PROPERTY AND EQUIPMENT</w:t>
            </w:r>
          </w:p>
        </w:tc>
        <w:tc>
          <w:tcPr>
            <w:tcW w:w="4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346</w:t>
            </w:r>
          </w:p>
        </w:tc>
        <w:tc>
          <w:tcPr>
            <w:tcW w:w="44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2,626</w:t>
            </w:r>
          </w:p>
        </w:tc>
      </w:tr>
      <w:tr>
        <w:trPr>
          <w:trHeight w:val="168"/>
        </w:trPr>
        <w:tc>
          <w:tcPr>
            <w:tcW w:w="7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INVESTMENTS IN OTHER ASSETS</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(2,500)</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(702)</w:t>
            </w:r>
          </w:p>
        </w:tc>
        <w:tc>
          <w:tcPr>
            <w:tcW w:w="4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(702)</w:t>
            </w:r>
          </w:p>
        </w:tc>
      </w:tr>
      <w:tr>
        <w:trPr>
          <w:trHeight w:val="168"/>
        </w:trPr>
        <w:tc>
          <w:tcPr>
            <w:tcW w:w="7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 DEPOSITS, NET</w:t>
            </w:r>
          </w:p>
        </w:tc>
        <w:tc>
          <w:tcPr>
            <w:tcW w:w="4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SALE OF  LONG-TERM INVESTMENT</w:t>
            </w:r>
          </w:p>
        </w:tc>
        <w:tc>
          <w:tcPr>
            <w:tcW w:w="4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38,677</w:t>
            </w:r>
          </w:p>
        </w:tc>
      </w:tr>
      <w:tr>
        <w:trPr>
          <w:trHeight w:val="168"/>
        </w:trPr>
        <w:tc>
          <w:tcPr>
            <w:tcW w:w="7320" w:type="dxa"/>
            <w:vAlign w:val="bottom"/>
          </w:tcPr>
          <w:p>
            <w:pPr>
              <w:spacing w:after="0"/>
              <w:rPr>
                <w:sz w:val="14"/>
                <w:szCs w:val="14"/>
                <w:color w:val="auto"/>
              </w:rPr>
            </w:pP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tcPr>
          <w:p>
            <w:pPr>
              <w:ind w:left="1680"/>
              <w:spacing w:after="0" w:line="168" w:lineRule="exact"/>
              <w:rPr>
                <w:sz w:val="20"/>
                <w:szCs w:val="20"/>
                <w:color w:val="auto"/>
              </w:rPr>
            </w:pPr>
            <w:r>
              <w:rPr>
                <w:rFonts w:ascii="Courier New" w:cs="Courier New" w:eastAsia="Courier New" w:hAnsi="Courier New"/>
                <w:sz w:val="15"/>
                <w:szCs w:val="15"/>
                <w:color w:val="auto"/>
              </w:rPr>
              <w:t>NET CASH PROVIDED BY (USED IN) INVESTING ACTIVITIES</w:t>
            </w:r>
          </w:p>
        </w:tc>
        <w:tc>
          <w:tcPr>
            <w:tcW w:w="4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17,926</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(60,516)</w:t>
            </w:r>
          </w:p>
        </w:tc>
        <w:tc>
          <w:tcPr>
            <w:tcW w:w="4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(91,775)</w:t>
            </w:r>
          </w:p>
        </w:tc>
      </w:tr>
      <w:tr>
        <w:trPr>
          <w:trHeight w:val="168"/>
        </w:trPr>
        <w:tc>
          <w:tcPr>
            <w:tcW w:w="7320" w:type="dxa"/>
            <w:vAlign w:val="bottom"/>
          </w:tcPr>
          <w:p>
            <w:pPr>
              <w:spacing w:after="0"/>
              <w:rPr>
                <w:sz w:val="14"/>
                <w:szCs w:val="14"/>
                <w:color w:val="auto"/>
              </w:rPr>
            </w:pP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320" w:type="dxa"/>
            <w:vAlign w:val="bottom"/>
          </w:tcPr>
          <w:p>
            <w:pPr>
              <w:spacing w:after="0"/>
              <w:rPr>
                <w:sz w:val="20"/>
                <w:szCs w:val="20"/>
                <w:color w:val="auto"/>
              </w:rPr>
            </w:pPr>
            <w:r>
              <w:rPr>
                <w:rFonts w:ascii="Courier New" w:cs="Courier New" w:eastAsia="Courier New" w:hAnsi="Courier New"/>
                <w:sz w:val="15"/>
                <w:szCs w:val="15"/>
                <w:color w:val="auto"/>
              </w:rPr>
              <w:t>CASH FLOWS - FINANCING ACTIVITIES</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732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SHARES, NET</w:t>
            </w:r>
          </w:p>
        </w:tc>
        <w:tc>
          <w:tcPr>
            <w:tcW w:w="440" w:type="dxa"/>
            <w:vAlign w:val="bottom"/>
          </w:tcPr>
          <w:p>
            <w:pPr>
              <w:spacing w:after="0"/>
              <w:rPr>
                <w:sz w:val="24"/>
                <w:szCs w:val="24"/>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75,465</w:t>
            </w:r>
          </w:p>
        </w:tc>
        <w:tc>
          <w:tcPr>
            <w:tcW w:w="4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75,225</w:t>
            </w:r>
          </w:p>
        </w:tc>
      </w:tr>
      <w:tr>
        <w:trPr>
          <w:trHeight w:val="168"/>
        </w:trPr>
        <w:tc>
          <w:tcPr>
            <w:tcW w:w="7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LONG-TERM DEBT</w:t>
            </w:r>
          </w:p>
        </w:tc>
        <w:tc>
          <w:tcPr>
            <w:tcW w:w="4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66,000</w:t>
            </w:r>
          </w:p>
        </w:tc>
      </w:tr>
      <w:tr>
        <w:trPr>
          <w:trHeight w:val="168"/>
        </w:trPr>
        <w:tc>
          <w:tcPr>
            <w:tcW w:w="7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EXERCISE OF SHARE OPTIONS</w:t>
            </w:r>
          </w:p>
        </w:tc>
        <w:tc>
          <w:tcPr>
            <w:tcW w:w="4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665</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666</w:t>
            </w:r>
          </w:p>
        </w:tc>
      </w:tr>
      <w:tr>
        <w:trPr>
          <w:trHeight w:val="168"/>
        </w:trPr>
        <w:tc>
          <w:tcPr>
            <w:tcW w:w="7320" w:type="dxa"/>
            <w:vAlign w:val="bottom"/>
          </w:tcPr>
          <w:p>
            <w:pPr>
              <w:spacing w:after="0"/>
              <w:rPr>
                <w:sz w:val="14"/>
                <w:szCs w:val="14"/>
                <w:color w:val="auto"/>
              </w:rPr>
            </w:pP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tcPr>
          <w:p>
            <w:pPr>
              <w:ind w:left="168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4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76,130</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141,891</w:t>
            </w:r>
          </w:p>
        </w:tc>
      </w:tr>
      <w:tr>
        <w:trPr>
          <w:trHeight w:val="168"/>
        </w:trPr>
        <w:tc>
          <w:tcPr>
            <w:tcW w:w="7320" w:type="dxa"/>
            <w:vAlign w:val="bottom"/>
          </w:tcPr>
          <w:p>
            <w:pPr>
              <w:spacing w:after="0"/>
              <w:rPr>
                <w:sz w:val="14"/>
                <w:szCs w:val="14"/>
                <w:color w:val="auto"/>
              </w:rPr>
            </w:pP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320" w:type="dxa"/>
            <w:vAlign w:val="bottom"/>
          </w:tcPr>
          <w:p>
            <w:pPr>
              <w:ind w:left="1060"/>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440" w:type="dxa"/>
            <w:vAlign w:val="bottom"/>
          </w:tcPr>
          <w:p>
            <w:pPr>
              <w:spacing w:after="0"/>
              <w:rPr>
                <w:sz w:val="24"/>
                <w:szCs w:val="24"/>
                <w:color w:val="auto"/>
              </w:rPr>
            </w:pP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6,843</w:t>
            </w:r>
          </w:p>
        </w:tc>
        <w:tc>
          <w:tcPr>
            <w:tcW w:w="440" w:type="dxa"/>
            <w:vAlign w:val="bottom"/>
          </w:tcPr>
          <w:p>
            <w:pPr>
              <w:spacing w:after="0"/>
              <w:rPr>
                <w:sz w:val="24"/>
                <w:szCs w:val="2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(1,102)</w:t>
            </w:r>
          </w:p>
        </w:tc>
        <w:tc>
          <w:tcPr>
            <w:tcW w:w="4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15,216</w:t>
            </w:r>
          </w:p>
        </w:tc>
      </w:tr>
      <w:tr>
        <w:trPr>
          <w:trHeight w:val="168"/>
        </w:trPr>
        <w:tc>
          <w:tcPr>
            <w:tcW w:w="73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 BEGINNING OF PERIOD</w:t>
            </w:r>
          </w:p>
        </w:tc>
        <w:tc>
          <w:tcPr>
            <w:tcW w:w="44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27,664</w:t>
            </w:r>
          </w:p>
        </w:tc>
        <w:tc>
          <w:tcPr>
            <w:tcW w:w="44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12,448</w:t>
            </w:r>
          </w:p>
        </w:tc>
        <w:tc>
          <w:tcPr>
            <w:tcW w:w="4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12,448</w:t>
            </w:r>
          </w:p>
        </w:tc>
      </w:tr>
      <w:tr>
        <w:trPr>
          <w:trHeight w:val="168"/>
        </w:trPr>
        <w:tc>
          <w:tcPr>
            <w:tcW w:w="7320" w:type="dxa"/>
            <w:vAlign w:val="bottom"/>
          </w:tcPr>
          <w:p>
            <w:pPr>
              <w:spacing w:after="0"/>
              <w:rPr>
                <w:sz w:val="14"/>
                <w:szCs w:val="14"/>
                <w:color w:val="auto"/>
              </w:rPr>
            </w:pP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320" w:type="dxa"/>
            <w:vAlign w:val="bottom"/>
          </w:tcPr>
          <w:p>
            <w:pPr>
              <w:ind w:left="1060"/>
              <w:spacing w:after="0"/>
              <w:rPr>
                <w:sz w:val="20"/>
                <w:szCs w:val="20"/>
                <w:color w:val="auto"/>
              </w:rPr>
            </w:pPr>
            <w:r>
              <w:rPr>
                <w:rFonts w:ascii="Courier New" w:cs="Courier New" w:eastAsia="Courier New" w:hAnsi="Courier New"/>
                <w:sz w:val="15"/>
                <w:szCs w:val="15"/>
                <w:color w:val="auto"/>
              </w:rPr>
              <w:t>CASH AND CASH EQUIVALENTS - END OF PERIOD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34,507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11,346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27,664</w:t>
            </w:r>
          </w:p>
        </w:tc>
      </w:tr>
      <w:tr>
        <w:trPr>
          <w:trHeight w:val="168"/>
        </w:trPr>
        <w:tc>
          <w:tcPr>
            <w:tcW w:w="7320" w:type="dxa"/>
            <w:vAlign w:val="bottom"/>
          </w:tcPr>
          <w:p>
            <w:pPr>
              <w:spacing w:after="0"/>
              <w:rPr>
                <w:sz w:val="14"/>
                <w:szCs w:val="14"/>
                <w:color w:val="auto"/>
              </w:rPr>
            </w:pP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320" w:type="dxa"/>
            <w:vAlign w:val="bottom"/>
          </w:tcPr>
          <w:p>
            <w:pPr>
              <w:spacing w:after="0"/>
              <w:rPr>
                <w:sz w:val="20"/>
                <w:szCs w:val="20"/>
                <w:color w:val="auto"/>
              </w:rPr>
            </w:pPr>
            <w:r>
              <w:rPr>
                <w:rFonts w:ascii="Courier New" w:cs="Courier New" w:eastAsia="Courier New" w:hAnsi="Courier New"/>
                <w:sz w:val="15"/>
                <w:szCs w:val="15"/>
                <w:color w:val="auto"/>
              </w:rPr>
              <w:t>NON-CASH ACTIVITIES</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7320" w:type="dxa"/>
            <w:vAlign w:val="bottom"/>
          </w:tcPr>
          <w:p>
            <w:pPr>
              <w:ind w:left="440"/>
              <w:spacing w:after="0"/>
              <w:rPr>
                <w:sz w:val="20"/>
                <w:szCs w:val="20"/>
                <w:color w:val="auto"/>
              </w:rPr>
            </w:pPr>
            <w:r>
              <w:rPr>
                <w:rFonts w:ascii="Courier New" w:cs="Courier New" w:eastAsia="Courier New" w:hAnsi="Courier New"/>
                <w:sz w:val="15"/>
                <w:szCs w:val="15"/>
                <w:color w:val="auto"/>
              </w:rPr>
              <w:t>INVESTMENTS IN PROPERTY AND EQUIPMENT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9,205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16,259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47,675</w:t>
            </w:r>
          </w:p>
        </w:tc>
      </w:tr>
      <w:tr>
        <w:trPr>
          <w:trHeight w:val="168"/>
        </w:trPr>
        <w:tc>
          <w:tcPr>
            <w:tcW w:w="7320" w:type="dxa"/>
            <w:vAlign w:val="bottom"/>
          </w:tcPr>
          <w:p>
            <w:pPr>
              <w:spacing w:after="0"/>
              <w:rPr>
                <w:sz w:val="14"/>
                <w:szCs w:val="14"/>
                <w:color w:val="auto"/>
              </w:rPr>
            </w:pP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INVESTMENTS IN OTHER ASSETS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1,283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320" w:type="dxa"/>
            <w:vAlign w:val="bottom"/>
          </w:tcPr>
          <w:p>
            <w:pPr>
              <w:spacing w:after="0"/>
              <w:rPr>
                <w:sz w:val="14"/>
                <w:szCs w:val="14"/>
                <w:color w:val="auto"/>
              </w:rPr>
            </w:pP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732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7320" w:type="dxa"/>
            <w:vAlign w:val="bottom"/>
          </w:tcPr>
          <w:p>
            <w:pPr>
              <w:ind w:left="440"/>
              <w:spacing w:after="0"/>
              <w:rPr>
                <w:sz w:val="20"/>
                <w:szCs w:val="20"/>
                <w:color w:val="auto"/>
              </w:rPr>
            </w:pPr>
            <w:r>
              <w:rPr>
                <w:rFonts w:ascii="Courier New" w:cs="Courier New" w:eastAsia="Courier New" w:hAnsi="Courier New"/>
                <w:sz w:val="15"/>
                <w:szCs w:val="15"/>
                <w:color w:val="auto"/>
              </w:rPr>
              <w:t>CASH PAID DURING THE PERIOD FOR INTEREST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8,316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6,531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25,205</w:t>
            </w:r>
          </w:p>
        </w:tc>
      </w:tr>
      <w:tr>
        <w:trPr>
          <w:trHeight w:val="168"/>
        </w:trPr>
        <w:tc>
          <w:tcPr>
            <w:tcW w:w="7320" w:type="dxa"/>
            <w:vAlign w:val="bottom"/>
          </w:tcPr>
          <w:p>
            <w:pPr>
              <w:spacing w:after="0"/>
              <w:rPr>
                <w:sz w:val="14"/>
                <w:szCs w:val="14"/>
                <w:color w:val="auto"/>
              </w:rPr>
            </w:pP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PAID DURING THE PERIOD FOR INCOME TAXES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7320" w:type="dxa"/>
            <w:vAlign w:val="bottom"/>
          </w:tcPr>
          <w:p>
            <w:pPr>
              <w:spacing w:after="0"/>
              <w:rPr>
                <w:sz w:val="14"/>
                <w:szCs w:val="14"/>
                <w:color w:val="auto"/>
              </w:rPr>
            </w:pP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1540"/>
          </w:cols>
          <w:pgMar w:left="220" w:top="617" w:right="139" w:bottom="349" w:gutter="0" w:footer="0" w:header="0"/>
        </w:sectPr>
      </w:pPr>
    </w:p>
    <w:bookmarkStart w:id="16" w:name="page17"/>
    <w:bookmarkEnd w:id="16"/>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99" w:firstLine="875"/>
        <w:spacing w:after="0" w:line="261" w:lineRule="auto"/>
        <w:rPr>
          <w:sz w:val="20"/>
          <w:szCs w:val="20"/>
          <w:color w:val="auto"/>
        </w:rPr>
      </w:pPr>
      <w:r>
        <w:rPr>
          <w:rFonts w:ascii="Courier New" w:cs="Courier New" w:eastAsia="Courier New" w:hAnsi="Courier New"/>
          <w:sz w:val="14"/>
          <w:szCs w:val="14"/>
          <w:color w:val="auto"/>
        </w:rPr>
        <w:t>FINANCIAL STATEMENTS AS OF MARCH 31, 2005 (dollars in thousands, except share data and per share data)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GENERAL</w:t>
      </w:r>
    </w:p>
    <w:p>
      <w:pPr>
        <w:spacing w:after="0" w:line="166" w:lineRule="exact"/>
        <w:rPr>
          <w:sz w:val="20"/>
          <w:szCs w:val="20"/>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FOR PRESENTATION</w:t>
      </w:r>
    </w:p>
    <w:p>
      <w:pPr>
        <w:spacing w:after="0" w:line="172" w:lineRule="exact"/>
        <w:rPr>
          <w:rFonts w:ascii="Courier New" w:cs="Courier New" w:eastAsia="Courier New" w:hAnsi="Courier New"/>
          <w:sz w:val="15"/>
          <w:szCs w:val="15"/>
          <w:color w:val="auto"/>
        </w:rPr>
      </w:pPr>
    </w:p>
    <w:p>
      <w:pPr>
        <w:ind w:left="1320" w:right="3239" w:hanging="436"/>
        <w:spacing w:after="0" w:line="255" w:lineRule="auto"/>
        <w:tabs>
          <w:tab w:leader="none" w:pos="132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condensed interim consolidated financial statements as of March 31, 2005 and for the three months then ended ("interim financial statements") of Tower Semiconductor Ltd. and subsidiary ("the Company") should be read in conjunction with the audited consolidated financial statements of the Company as of December 31, 2004 and for the year then ended, including the notes thereto. In the opinion of management, the interim financial statements include all adjustments necessary for a fair presentation of the financial position and results of operations as of the date and for the interim period presented. The results of operations for the interim period are not necessarily indicative of the results to be expected on a full-year basis.</w:t>
      </w:r>
    </w:p>
    <w:p>
      <w:pPr>
        <w:spacing w:after="0" w:line="164" w:lineRule="exact"/>
        <w:rPr>
          <w:rFonts w:ascii="Courier New" w:cs="Courier New" w:eastAsia="Courier New" w:hAnsi="Courier New"/>
          <w:sz w:val="14"/>
          <w:szCs w:val="14"/>
          <w:color w:val="auto"/>
        </w:rPr>
      </w:pPr>
    </w:p>
    <w:p>
      <w:pPr>
        <w:ind w:left="1320" w:right="3239" w:hanging="436"/>
        <w:spacing w:after="0" w:line="236" w:lineRule="auto"/>
        <w:tabs>
          <w:tab w:leader="none" w:pos="132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interim financial statements have been prepared in conformity with generally accepted accounting principles ("GAAP") in Israel ("Israeli GAAP"), which, as applicable to these interim financial statements, differ in certain respects from GAAP in the United States of America ("U.S. GAAP"), as indicated in Note 5. The accounting principles applied in the preparation of these interim financial statements are consistent with those principles applied in the preparation of the most recent annual audited financial statements, except for the accounting principles detailed in (3) below.</w:t>
      </w:r>
    </w:p>
    <w:p>
      <w:pPr>
        <w:spacing w:after="0" w:line="179" w:lineRule="exact"/>
        <w:rPr>
          <w:rFonts w:ascii="Courier New" w:cs="Courier New" w:eastAsia="Courier New" w:hAnsi="Courier New"/>
          <w:sz w:val="15"/>
          <w:szCs w:val="15"/>
          <w:color w:val="auto"/>
        </w:rPr>
      </w:pPr>
    </w:p>
    <w:p>
      <w:pPr>
        <w:ind w:left="1320" w:right="3939" w:hanging="436"/>
        <w:spacing w:after="0" w:line="234" w:lineRule="auto"/>
        <w:tabs>
          <w:tab w:leader="none" w:pos="132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 BY THE ISRAELI ACCOUNTING STANDARDS BOARD</w:t>
      </w:r>
    </w:p>
    <w:p>
      <w:pPr>
        <w:spacing w:after="0" w:line="173"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STANDARD NO. 19 "TAXES ON INCOME" - In July 2004, the Israeli Accounting Standards Board published Accounting Standard No. 19 "INCOME TAXES" (the "Standard"). The Standard established the guideline for recognizing, measuring, presenting and disclosing taxes on income taxes in the financial statements. The Standard is effective for financial statements relating to reporting periods commencing on, or after, January 1, 2005. The initial adoption of the Standard is accounted for by the cumulative effect of change in accounting method, for the beginning of the period in which the Standard is initially adopted. The implementation of the Standard did not affect the Company's financial position, results of operations and cash flows.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AND OPERATIONS OF NEW FABRICATION FACILITY (FAB 2)</w:t>
      </w:r>
    </w:p>
    <w:p>
      <w:pPr>
        <w:spacing w:after="0" w:line="172" w:lineRule="exact"/>
        <w:rPr>
          <w:rFonts w:ascii="Courier New" w:cs="Courier New" w:eastAsia="Courier New" w:hAnsi="Courier New"/>
          <w:sz w:val="15"/>
          <w:szCs w:val="15"/>
          <w:color w:val="auto"/>
        </w:rPr>
      </w:pPr>
    </w:p>
    <w:p>
      <w:pPr>
        <w:ind w:left="88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2001, the Company's Board of Directors approved the establishment of a new wafer fabrication facility in Israel ("Fab 2"). Fab 2 is designated to manufacture semiconductor integrated circuits on silicon wafers in geometries of 0.18 micron and below on</w:t>
      </w:r>
    </w:p>
    <w:p>
      <w:pPr>
        <w:spacing w:after="0" w:line="1"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200-millimeter wafers. The Company has entered into several related agreements and other arrangements and has completed public and private financing deals, which, as of the approval date of the interim financial statements, have provided an aggregate of $1,269,000 of financing for Fab 2.</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w:t>
      </w:r>
    </w:p>
    <w:p>
      <w:pPr>
        <w:sectPr>
          <w:pgSz w:w="11900" w:h="16838" w:orient="portrait"/>
          <w:cols w:equalWidth="0" w:num="1">
            <w:col w:w="10239"/>
          </w:cols>
          <w:pgMar w:left="220" w:top="785" w:right="1440" w:bottom="1440" w:gutter="0" w:footer="0" w:header="0"/>
        </w:sectPr>
      </w:pPr>
    </w:p>
    <w:bookmarkStart w:id="17" w:name="page18"/>
    <w:bookmarkEnd w:id="17"/>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99" w:firstLine="875"/>
        <w:spacing w:after="0" w:line="261" w:lineRule="auto"/>
        <w:rPr>
          <w:sz w:val="20"/>
          <w:szCs w:val="20"/>
          <w:color w:val="auto"/>
        </w:rPr>
      </w:pPr>
      <w:r>
        <w:rPr>
          <w:rFonts w:ascii="Courier New" w:cs="Courier New" w:eastAsia="Courier New" w:hAnsi="Courier New"/>
          <w:sz w:val="14"/>
          <w:szCs w:val="14"/>
          <w:color w:val="auto"/>
        </w:rPr>
        <w:t>FINANCIAL STATEMENTS AS OF MARCH 31, 2005 (dollars in thousands, except share data and per share data)</w:t>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GENERAL (cont.)</w:t>
      </w:r>
    </w:p>
    <w:p>
      <w:pPr>
        <w:spacing w:after="0" w:line="173" w:lineRule="exact"/>
        <w:rPr>
          <w:sz w:val="20"/>
          <w:szCs w:val="20"/>
          <w:color w:val="auto"/>
        </w:rPr>
      </w:pPr>
    </w:p>
    <w:p>
      <w:pPr>
        <w:ind w:left="880" w:right="3759" w:hanging="433"/>
        <w:spacing w:after="0" w:line="234"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AND OPERATIONS OF NEW FABRICATION FACILITY (FAB 2) (cont.)</w:t>
      </w:r>
    </w:p>
    <w:p>
      <w:pPr>
        <w:spacing w:after="0" w:line="173"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Fab 2 project is a complex undertaking, which entails substantial risks and uncertainties. For further details concerning the Fab 2 project and related agreements, some of which were amended several times, risks and uncertainties, see Note 12A to the 2004 audited consolidated financial statements.</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OF THE COMPANY'S ONGOING OPERATIONS</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the first quarter of 2005 and in recent years, the Company has experienced significant recurring losses from operations and recurring negative cash flows from operating activities and an increasing accumulated deficit. According to the Company's recently approved short-term working plan and based on the current prevailing semiconductor market conditions, assuming no funds are raised based on the Letter of Intent ("LOI") described below or otherwise, the Company foresees to be in a cash shortage. In addition, for details concerning management's current estimation that the Company may not comply with certain of the financial ratios and covenants for the third quarter of 2005 and thereafter contemplated in a letter agreement signed between the Company and the Banks in January 2005, see Note 3B below and Note 12A(6) to the 2004 audited consolidated financial statements.</w:t>
      </w:r>
    </w:p>
    <w:p>
      <w:pPr>
        <w:spacing w:after="0" w:line="164" w:lineRule="exact"/>
        <w:rPr>
          <w:rFonts w:ascii="Courier New" w:cs="Courier New" w:eastAsia="Courier New" w:hAnsi="Courier New"/>
          <w:sz w:val="15"/>
          <w:szCs w:val="15"/>
          <w:color w:val="auto"/>
        </w:rPr>
      </w:pPr>
    </w:p>
    <w:p>
      <w:pPr>
        <w:ind w:left="8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light of the above described, the Company has been taking comprehensive measures to obtain the needed funds for its ongoing operations in the near future, as well as measures to reduce its short-term liabilities. The Company has also implemented cost reduction measures, including measures to reduce expenses, cost structure and cash burn, and in March 2005, the Company completed a workforce cutback, as part of an across-the-board savings plan focused on operational efficiencies. In this regard, the Company, certain of its Equity Investors, Wafer Partners, and its Banks are holding discussions for additional funding for the Company in the amount of approximately $60,000. Accordingly, in May 2005, an LOI was signed between the Company and its Banks which states that financing in the amount of up to $30,000 will be provided by the Banks to the Company, subject to a similar amount being raised by the Company from investors. As of the approval date of the interim financial statements, certain of the Company's Equity Investors and Wafer Partners have informed the Company of their willingness to invest $23,500 towards such funding by investors. The LOI is further subject to reaching a definitive amendment to the Facility Agreement. The execution of a definitive amendment to the Facility Agreement is subject, among other matters, to all required internal approvals by the Banks, including the approval of their boards of directors. The Company's management estimates that it is probable that the LOI will materialize into a definitive amendment to the Facility Agreement and that the Equity Investors and Wafer Partners will invest the funds as described above.</w:t>
      </w:r>
    </w:p>
    <w:p>
      <w:pPr>
        <w:spacing w:after="0" w:line="340"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7 -</w:t>
      </w:r>
    </w:p>
    <w:p>
      <w:pPr>
        <w:sectPr>
          <w:pgSz w:w="11900" w:h="16838" w:orient="portrait"/>
          <w:cols w:equalWidth="0" w:num="1">
            <w:col w:w="10239"/>
          </w:cols>
          <w:pgMar w:left="220" w:top="617" w:right="1440" w:bottom="1440" w:gutter="0" w:footer="0" w:header="0"/>
        </w:sectPr>
      </w:pPr>
    </w:p>
    <w:bookmarkStart w:id="18" w:name="page19"/>
    <w:bookmarkEnd w:id="18"/>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99" w:firstLine="875"/>
        <w:spacing w:after="0" w:line="261" w:lineRule="auto"/>
        <w:rPr>
          <w:sz w:val="20"/>
          <w:szCs w:val="20"/>
          <w:color w:val="auto"/>
        </w:rPr>
      </w:pPr>
      <w:r>
        <w:rPr>
          <w:rFonts w:ascii="Courier New" w:cs="Courier New" w:eastAsia="Courier New" w:hAnsi="Courier New"/>
          <w:sz w:val="14"/>
          <w:szCs w:val="14"/>
          <w:color w:val="auto"/>
        </w:rPr>
        <w:t>FINANCIAL STATEMENTS AS OF MARCH 31, 2005 (dollars in thousands, except share data and per share data)</w:t>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MAJOR CUSTOMERS</w:t>
      </w:r>
    </w:p>
    <w:p>
      <w:pPr>
        <w:spacing w:after="0" w:line="173" w:lineRule="exact"/>
        <w:rPr>
          <w:sz w:val="20"/>
          <w:szCs w:val="20"/>
          <w:color w:val="auto"/>
        </w:rPr>
      </w:pPr>
    </w:p>
    <w:p>
      <w:pPr>
        <w:ind w:left="880" w:right="3839"/>
        <w:spacing w:after="0" w:line="234" w:lineRule="auto"/>
        <w:rPr>
          <w:sz w:val="20"/>
          <w:szCs w:val="20"/>
          <w:color w:val="auto"/>
        </w:rPr>
      </w:pPr>
      <w:r>
        <w:rPr>
          <w:rFonts w:ascii="Courier New" w:cs="Courier New" w:eastAsia="Courier New" w:hAnsi="Courier New"/>
          <w:sz w:val="15"/>
          <w:szCs w:val="15"/>
          <w:color w:val="auto"/>
        </w:rPr>
        <w:t>Sales to major customers as a percentage of total sales were as follows:</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Three Months Ended</w:t>
      </w:r>
    </w:p>
    <w:p>
      <w:pPr>
        <w:ind w:left="3340"/>
        <w:spacing w:after="0" w:line="237" w:lineRule="auto"/>
        <w:rPr>
          <w:sz w:val="20"/>
          <w:szCs w:val="20"/>
          <w:color w:val="auto"/>
        </w:rPr>
      </w:pPr>
      <w:r>
        <w:rPr>
          <w:rFonts w:ascii="Courier New" w:cs="Courier New" w:eastAsia="Courier New" w:hAnsi="Courier New"/>
          <w:sz w:val="15"/>
          <w:szCs w:val="15"/>
          <w:color w:val="auto"/>
        </w:rPr>
        <w:t>March 31,</w:t>
      </w:r>
    </w:p>
    <w:p>
      <w:pPr>
        <w:ind w:left="3340"/>
        <w:spacing w:after="0" w:line="238" w:lineRule="auto"/>
        <w:rPr>
          <w:sz w:val="20"/>
          <w:szCs w:val="20"/>
          <w:color w:val="auto"/>
        </w:rPr>
      </w:pPr>
      <w:r>
        <w:rPr>
          <w:rFonts w:ascii="Courier New" w:cs="Courier New" w:eastAsia="Courier New" w:hAnsi="Courier New"/>
          <w:sz w:val="15"/>
          <w:szCs w:val="15"/>
          <w:color w:val="auto"/>
        </w:rPr>
        <w:t>---------</w:t>
      </w:r>
    </w:p>
    <w:p>
      <w:pPr>
        <w:ind w:left="3080"/>
        <w:spacing w:after="0" w:line="237" w:lineRule="auto"/>
        <w:tabs>
          <w:tab w:leader="none" w:pos="3920" w:val="left"/>
        </w:tabs>
        <w:rPr>
          <w:sz w:val="20"/>
          <w:szCs w:val="20"/>
          <w:color w:val="auto"/>
        </w:rPr>
      </w:pPr>
      <w:r>
        <w:rPr>
          <w:rFonts w:ascii="Courier New" w:cs="Courier New" w:eastAsia="Courier New" w:hAnsi="Courier New"/>
          <w:sz w:val="15"/>
          <w:szCs w:val="15"/>
          <w:color w:val="auto"/>
        </w:rPr>
        <w:t>2005</w:t>
      </w:r>
      <w:r>
        <w:rPr>
          <w:sz w:val="20"/>
          <w:szCs w:val="20"/>
          <w:color w:val="auto"/>
        </w:rPr>
        <w:tab/>
      </w:r>
      <w:r>
        <w:rPr>
          <w:rFonts w:ascii="Courier New" w:cs="Courier New" w:eastAsia="Courier New" w:hAnsi="Courier New"/>
          <w:sz w:val="15"/>
          <w:szCs w:val="15"/>
          <w:color w:val="auto"/>
        </w:rPr>
        <w:t>2004</w:t>
      </w:r>
    </w:p>
    <w:p>
      <w:pPr>
        <w:ind w:left="3080"/>
        <w:spacing w:after="0" w:line="238" w:lineRule="auto"/>
        <w:tabs>
          <w:tab w:leader="none" w:pos="3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3240"/>
        <w:spacing w:after="0" w:line="237" w:lineRule="auto"/>
        <w:rPr>
          <w:sz w:val="20"/>
          <w:szCs w:val="20"/>
          <w:color w:val="auto"/>
        </w:rPr>
      </w:pPr>
      <w:r>
        <w:rPr>
          <w:rFonts w:ascii="Courier New" w:cs="Courier New" w:eastAsia="Courier New" w:hAnsi="Courier New"/>
          <w:sz w:val="15"/>
          <w:szCs w:val="15"/>
          <w:color w:val="auto"/>
        </w:rPr>
        <w:t>(Unaudited)</w:t>
      </w:r>
    </w:p>
    <w:p>
      <w:pPr>
        <w:sectPr>
          <w:pgSz w:w="11900" w:h="16838" w:orient="portrait"/>
          <w:cols w:equalWidth="0" w:num="1">
            <w:col w:w="10239"/>
          </w:cols>
          <w:pgMar w:left="220" w:top="617" w:right="1440" w:bottom="1440" w:gutter="0" w:footer="0" w:header="0"/>
        </w:sectPr>
      </w:pP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Customer A</w:t>
      </w:r>
    </w:p>
    <w:p>
      <w:pPr>
        <w:ind w:left="880"/>
        <w:spacing w:after="0" w:line="237" w:lineRule="auto"/>
        <w:rPr>
          <w:sz w:val="20"/>
          <w:szCs w:val="20"/>
          <w:color w:val="auto"/>
        </w:rPr>
      </w:pPr>
      <w:r>
        <w:rPr>
          <w:rFonts w:ascii="Courier New" w:cs="Courier New" w:eastAsia="Courier New" w:hAnsi="Courier New"/>
          <w:sz w:val="15"/>
          <w:szCs w:val="15"/>
          <w:color w:val="auto"/>
        </w:rPr>
        <w:t>Customer B</w:t>
      </w:r>
    </w:p>
    <w:p>
      <w:pPr>
        <w:ind w:left="880"/>
        <w:spacing w:after="0" w:line="238" w:lineRule="auto"/>
        <w:rPr>
          <w:sz w:val="20"/>
          <w:szCs w:val="20"/>
          <w:color w:val="auto"/>
        </w:rPr>
      </w:pPr>
      <w:r>
        <w:rPr>
          <w:rFonts w:ascii="Courier New" w:cs="Courier New" w:eastAsia="Courier New" w:hAnsi="Courier New"/>
          <w:sz w:val="15"/>
          <w:szCs w:val="15"/>
          <w:color w:val="auto"/>
        </w:rPr>
        <w:t>Customer C</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Other customers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w:t>
      </w:r>
    </w:p>
    <w:p>
      <w:pPr>
        <w:ind w:left="80"/>
        <w:spacing w:after="0" w:line="237" w:lineRule="auto"/>
        <w:rPr>
          <w:sz w:val="20"/>
          <w:szCs w:val="20"/>
          <w:color w:val="auto"/>
        </w:rPr>
      </w:pPr>
      <w:r>
        <w:rPr>
          <w:rFonts w:ascii="Courier New" w:cs="Courier New" w:eastAsia="Courier New" w:hAnsi="Courier New"/>
          <w:sz w:val="15"/>
          <w:szCs w:val="15"/>
          <w:color w:val="auto"/>
        </w:rPr>
        <w:t>1</w:t>
      </w:r>
    </w:p>
    <w:p>
      <w:pPr>
        <w:spacing w:after="0" w:line="238" w:lineRule="auto"/>
        <w:rPr>
          <w:sz w:val="20"/>
          <w:szCs w:val="20"/>
          <w:color w:val="auto"/>
        </w:rPr>
      </w:pPr>
      <w:r>
        <w:rPr>
          <w:rFonts w:ascii="Courier New" w:cs="Courier New" w:eastAsia="Courier New" w:hAnsi="Courier New"/>
          <w:sz w:val="15"/>
          <w:szCs w:val="15"/>
          <w:color w:val="auto"/>
        </w:rPr>
        <w:t>18</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5939"/>
        <w:spacing w:after="0"/>
        <w:rPr>
          <w:sz w:val="20"/>
          <w:szCs w:val="20"/>
          <w:color w:val="auto"/>
        </w:rPr>
      </w:pPr>
      <w:r>
        <w:rPr>
          <w:rFonts w:ascii="Courier New" w:cs="Courier New" w:eastAsia="Courier New" w:hAnsi="Courier New"/>
          <w:sz w:val="14"/>
          <w:szCs w:val="14"/>
          <w:color w:val="auto"/>
        </w:rPr>
        <w:t>29%</w:t>
      </w:r>
    </w:p>
    <w:p>
      <w:pPr>
        <w:spacing w:after="0" w:line="3" w:lineRule="exact"/>
        <w:rPr>
          <w:sz w:val="20"/>
          <w:szCs w:val="20"/>
          <w:color w:val="auto"/>
        </w:rPr>
      </w:pPr>
    </w:p>
    <w:p>
      <w:pPr>
        <w:jc w:val="center"/>
        <w:ind w:right="5939"/>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jc w:val="center"/>
        <w:ind w:right="6039"/>
        <w:spacing w:after="0"/>
        <w:rPr>
          <w:sz w:val="20"/>
          <w:szCs w:val="20"/>
          <w:color w:val="auto"/>
        </w:rPr>
      </w:pPr>
      <w:r>
        <w:rPr>
          <w:rFonts w:ascii="Courier New" w:cs="Courier New" w:eastAsia="Courier New" w:hAnsi="Courier New"/>
          <w:sz w:val="12"/>
          <w:szCs w:val="12"/>
          <w:color w:val="auto"/>
        </w:rPr>
        <w:t>18</w:t>
      </w:r>
    </w:p>
    <w:p>
      <w:pPr>
        <w:spacing w:after="0" w:line="32" w:lineRule="exact"/>
        <w:rPr>
          <w:sz w:val="20"/>
          <w:szCs w:val="20"/>
          <w:color w:val="auto"/>
        </w:rPr>
      </w:pPr>
    </w:p>
    <w:p>
      <w:pPr>
        <w:jc w:val="center"/>
        <w:ind w:right="6039"/>
        <w:spacing w:after="0"/>
        <w:rPr>
          <w:sz w:val="20"/>
          <w:szCs w:val="20"/>
          <w:color w:val="auto"/>
        </w:rPr>
      </w:pPr>
      <w:r>
        <w:rPr>
          <w:rFonts w:ascii="Courier New" w:cs="Courier New" w:eastAsia="Courier New" w:hAnsi="Courier New"/>
          <w:sz w:val="12"/>
          <w:szCs w:val="12"/>
          <w:color w:val="auto"/>
        </w:rPr>
        <w:t>30</w:t>
      </w:r>
    </w:p>
    <w:p>
      <w:pPr>
        <w:spacing w:after="0" w:line="200" w:lineRule="exact"/>
        <w:rPr>
          <w:sz w:val="20"/>
          <w:szCs w:val="20"/>
          <w:color w:val="auto"/>
        </w:rPr>
      </w:pPr>
    </w:p>
    <w:p>
      <w:pPr>
        <w:sectPr>
          <w:pgSz w:w="11900" w:h="16838" w:orient="portrait"/>
          <w:cols w:equalWidth="0" w:num="3">
            <w:col w:w="2540" w:space="620"/>
            <w:col w:w="260" w:space="620"/>
            <w:col w:w="6199"/>
          </w:cols>
          <w:pgMar w:left="220" w:top="617" w:right="1440" w:bottom="1440" w:gutter="0" w:footer="0" w:header="0"/>
          <w:type w:val="continuous"/>
        </w:sectPr>
      </w:pPr>
    </w:p>
    <w:p>
      <w:pPr>
        <w:ind w:left="1320" w:right="3319" w:hanging="436"/>
        <w:spacing w:after="0" w:line="236" w:lineRule="auto"/>
        <w:tabs>
          <w:tab w:leader="none" w:pos="13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sales to five different customers each of whom accounted for between 1% and 7% of sales during the three months ended March 31, 2005, and to five different customers (each of whom accounted for between 5% and 8%) during the three months ended March 31, 2004.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RECENT DEVELOPMENTS RELATING TO FAB 2</w:t>
      </w:r>
    </w:p>
    <w:p>
      <w:pPr>
        <w:spacing w:after="0" w:line="166" w:lineRule="exact"/>
        <w:rPr>
          <w:sz w:val="20"/>
          <w:szCs w:val="20"/>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w:t>
      </w:r>
    </w:p>
    <w:p>
      <w:pPr>
        <w:spacing w:after="0" w:line="172" w:lineRule="exact"/>
        <w:rPr>
          <w:rFonts w:ascii="Courier New" w:cs="Courier New" w:eastAsia="Courier New" w:hAnsi="Courier New"/>
          <w:sz w:val="15"/>
          <w:szCs w:val="15"/>
          <w:color w:val="auto"/>
        </w:rPr>
      </w:pPr>
    </w:p>
    <w:p>
      <w:pPr>
        <w:ind w:left="880" w:right="36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terms of the approved enterprise program for Fab 2, the Company is eligible to receive grants of 20% of up to $1,250,000 invested in Fab 2 plant and equipment, or an aggregate of up to $250,000, of which as of the balance sheet date, an aggregate of $154,135 has been already received from the Investment Center.</w:t>
      </w:r>
    </w:p>
    <w:p>
      <w:pPr>
        <w:spacing w:after="0" w:line="163"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terms of the program, investments in respect of Fab 2 may be completed by December 31, 2005, five years from the date the approval certificate was obtained. Due to the later than planned commencement of construction of Fab 2, prevailing market conditions and slower than planned ramp-up, as of March 31, 2005, the Company completed approximately 70% of the investments under the approved enterprise program. Currently, the Company does not expect to complete Fab 2 investments by the end of 2005. Accordingly, and as a result of the Company's actual investments lagging behind the original terms of the program, the Company notified the Investment Center of its revised investment schedule contemplated in an updated plan for the construction and equipping Fab 2. Such plan reflects, among other things, a reduced rate of annual investments and lower Fab 2 sales than originally planned. In July 2004, the Company received from the Investment Center an approval to the revised investment schedule.</w:t>
      </w:r>
    </w:p>
    <w:p>
      <w:pPr>
        <w:spacing w:after="0" w:line="32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w:t>
      </w:r>
    </w:p>
    <w:p>
      <w:pPr>
        <w:sectPr>
          <w:pgSz w:w="11900" w:h="16838" w:orient="portrait"/>
          <w:cols w:equalWidth="0" w:num="1">
            <w:col w:w="10239"/>
          </w:cols>
          <w:pgMar w:left="220" w:top="617" w:right="1440" w:bottom="1440" w:gutter="0" w:footer="0" w:header="0"/>
          <w:type w:val="continuous"/>
        </w:sectPr>
      </w:pPr>
    </w:p>
    <w:bookmarkStart w:id="19" w:name="page20"/>
    <w:bookmarkEnd w:id="19"/>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99" w:firstLine="875"/>
        <w:spacing w:after="0" w:line="261" w:lineRule="auto"/>
        <w:rPr>
          <w:sz w:val="20"/>
          <w:szCs w:val="20"/>
          <w:color w:val="auto"/>
        </w:rPr>
      </w:pPr>
      <w:r>
        <w:rPr>
          <w:rFonts w:ascii="Courier New" w:cs="Courier New" w:eastAsia="Courier New" w:hAnsi="Courier New"/>
          <w:sz w:val="14"/>
          <w:szCs w:val="14"/>
          <w:color w:val="auto"/>
        </w:rPr>
        <w:t>FINANCIAL STATEMENTS AS OF MARCH 31, 2005 (dollars in thousands, except share data and per share data)</w:t>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RECENT DEVELOPMENTS RELATING TO FAB 2 (cont.)</w:t>
      </w:r>
    </w:p>
    <w:p>
      <w:pPr>
        <w:spacing w:after="0" w:line="166" w:lineRule="exact"/>
        <w:rPr>
          <w:sz w:val="20"/>
          <w:szCs w:val="20"/>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 (cont.)</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Since the approved investment period of five years ends on December 31, 2005, the Company has been holding discussions with the Investment Center to achieve satisfactory arrangements to allow for the extension of the approved investment period beyond December 31, 2005, or to approve a new expansion program that shall commence on January 1, 2006. During 2005, the Company received letters from the Israeli Minister of Industry, Trade and Employment and from the General Manager of the Investment Center stating that they will act under Israeli law to support such extension or expansion. In April 2005, at the Investment Center's request, the Company submitted a revised business plan to the Investment Center for the period commencing on January 1, 2006. As of the approval date of the interim financial statements, the process of reviewing the revised business plan is in its early stages, and the Company's management cannot estimate the outcome of the Company's efforts to obtain approval of an extension of the Fab 2 approved enterprise program or of a new expansion program.</w:t>
      </w:r>
    </w:p>
    <w:p>
      <w:pPr>
        <w:spacing w:after="0" w:line="163"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AGREEMENT - FINANCIAL RATIOS AND COVENANTS AND ADDITIONAL FUNDING</w:t>
      </w:r>
    </w:p>
    <w:p>
      <w:pPr>
        <w:spacing w:after="0" w:line="173" w:lineRule="exact"/>
        <w:rPr>
          <w:rFonts w:ascii="Courier New" w:cs="Courier New" w:eastAsia="Courier New" w:hAnsi="Courier New"/>
          <w:sz w:val="15"/>
          <w:szCs w:val="15"/>
          <w:color w:val="auto"/>
        </w:rPr>
      </w:pPr>
    </w:p>
    <w:p>
      <w:pPr>
        <w:ind w:left="88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2005, the Company and its Banks signed a waiver letter agreement according to which the Banks waived the Company's non-compliance with certain financial ratios and covenants for the fourth quarter of 2004. The agreement signed also amended certain of the financial ratios and covenants the Company is to comply with during 2005.</w:t>
      </w:r>
    </w:p>
    <w:p>
      <w:pPr>
        <w:spacing w:after="0" w:line="174"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of the balance sheet date, the Company was in full compliance with all of the financial ratios and covenants under the amended Facility Agreement. Management currently estimates that the Company may not comply with certain of the financial ratios and covenants for the third quarter of 2005 and thereafter. However, management estimates that following the signing of the Letter of Intent described in note 1C above, it is probable that satisfactory arrangements with the Banks concerning the financial ratios and covenants for these periods will be achieved. According to the Facility Agreement, satisfying the financial ratios and covenants is a material provision. Achieving arrangements with the Banks is material for the continuation of equipping, operating and construction of Fab 2.</w:t>
      </w:r>
    </w:p>
    <w:p>
      <w:pPr>
        <w:spacing w:after="0" w:line="164"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Agreement provides that if, as a result of any default, the Banks were to accelerate the Company's obligations, the Company would be obligated, among other matters, to immediately repay all loans made by the Banks (which as of the balance sheet date amounted to $497,000) plus penalties, and the Banks would be entitled to exercise the remedies available to them under the Facility Agreement, including enforcement of their lien against all of the Company's assets.</w:t>
      </w:r>
    </w:p>
    <w:p>
      <w:pPr>
        <w:spacing w:after="0" w:line="170"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a LOI signed with the Banks, see Note 1C above.</w:t>
      </w:r>
    </w:p>
    <w:p>
      <w:pPr>
        <w:spacing w:after="0" w:line="334"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9 -</w:t>
      </w:r>
    </w:p>
    <w:p>
      <w:pPr>
        <w:sectPr>
          <w:pgSz w:w="11900" w:h="16838" w:orient="portrait"/>
          <w:cols w:equalWidth="0" w:num="1">
            <w:col w:w="10239"/>
          </w:cols>
          <w:pgMar w:left="220" w:top="617" w:right="1440" w:bottom="1440" w:gutter="0" w:footer="0" w:header="0"/>
        </w:sectPr>
      </w:pPr>
    </w:p>
    <w:bookmarkStart w:id="20" w:name="page21"/>
    <w:bookmarkEnd w:id="20"/>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99" w:firstLine="875"/>
        <w:spacing w:after="0" w:line="261" w:lineRule="auto"/>
        <w:rPr>
          <w:sz w:val="20"/>
          <w:szCs w:val="20"/>
          <w:color w:val="auto"/>
        </w:rPr>
      </w:pPr>
      <w:r>
        <w:rPr>
          <w:rFonts w:ascii="Courier New" w:cs="Courier New" w:eastAsia="Courier New" w:hAnsi="Courier New"/>
          <w:sz w:val="14"/>
          <w:szCs w:val="14"/>
          <w:color w:val="auto"/>
        </w:rPr>
        <w:t>FINANCIAL STATEMENTS AS OF MARCH 31, 2005 (dollars in thousands, except share data and per share data)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OTHER RECENT DEVELOPMENTS</w:t>
      </w:r>
    </w:p>
    <w:p>
      <w:pPr>
        <w:spacing w:after="0" w:line="166" w:lineRule="exact"/>
        <w:rPr>
          <w:sz w:val="20"/>
          <w:szCs w:val="20"/>
          <w:color w:val="auto"/>
        </w:rPr>
      </w:pPr>
    </w:p>
    <w:p>
      <w:pPr>
        <w:ind w:left="880" w:hanging="433"/>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ACTION</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August 2004, the United States District Court dismissed the class action filed in July 2003 by certain of the Company's shareholders in the United States against the Company and certain of its directors, Wafer Partners and Equity Investors ("the Defendants"). The plaintiffs had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In December 2004, one of the lead plaintiffs filed an appeal of the decision dismissing the complaint. The Company believes that the complaint is without merit and is vigorously contesting it.</w:t>
      </w:r>
    </w:p>
    <w:p>
      <w:pPr>
        <w:spacing w:after="0" w:line="32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w:t>
      </w:r>
    </w:p>
    <w:p>
      <w:pPr>
        <w:spacing w:after="0" w:line="172"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TO DIRECTORS - In accordance with the Company's share option plan for directors, 80,000 options were granted in February 2005 to two newly appointed directors to the Company's Board of Directors (40,000 options each) at an exercise price of $1.87, which equals the market price of the Company's shares on the grant date. As of the approval date of the interim financial statements, 240,000 options were outstanding under the plan, with a weighted average exercise price of $6.08.</w:t>
      </w:r>
    </w:p>
    <w:p>
      <w:pPr>
        <w:spacing w:after="0" w:line="177"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OPTIONS GRANTED TO THE COMPANY'S FORMER CHAIRMAN OF THE BOARD OF DIRECTORS AND CHIEF EXECUTIVE OFFICER - Due to the resignation of the Company's former Chairman of the Board of Directors and Chief Executive Officer, all of the 1,043,000 options which were granted to him are fully forfeited as of May 2005.</w:t>
      </w:r>
    </w:p>
    <w:p>
      <w:pPr>
        <w:spacing w:after="0" w:line="174"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TO THE COMPANY'S NEW CHIEF EXECUTIVE OFFICER AND DIRECTOR</w:t>
      </w:r>
    </w:p>
    <w:p>
      <w:pPr>
        <w:spacing w:after="0" w:line="9" w:lineRule="exact"/>
        <w:rPr>
          <w:rFonts w:ascii="Courier New" w:cs="Courier New" w:eastAsia="Courier New" w:hAnsi="Courier New"/>
          <w:sz w:val="14"/>
          <w:szCs w:val="14"/>
          <w:color w:val="auto"/>
        </w:rPr>
      </w:pPr>
    </w:p>
    <w:p>
      <w:pPr>
        <w:ind w:left="1320" w:right="3239" w:firstLine="2"/>
        <w:spacing w:after="0" w:line="254" w:lineRule="auto"/>
        <w:tabs>
          <w:tab w:leader="none" w:pos="1495" w:val="left"/>
        </w:tabs>
        <w:numPr>
          <w:ilvl w:val="2"/>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April 2005, the Company's Board of Directors approved the grant of options to purchase up to 1,325,724 Ordinary Shares to the Company's new appointed Chief Executive Officer ("CEO"), who was also appointed as a director. These options are exercisable at an exercise price of $1.56, the opening market price of the Company's shares on the date of the board approval of the grant. Granted options will vest over a four-year period, 25% over each year of employment. The options granted are exercisable for a period of ten years from the date of grant. If as a result of future equity financings (excluding the exercise or conversion of currently existing warrants, options or other rights to acquire the Company's securities), the CEO's total number of options granted to him through April 30, 2007 would represent less than 1.2% of the total number of issued and outstanding shares of the Company as of such date, additional options will be granted to the CEO to result in a 1.2% holding of the total number of issued and outstanding shares of the Company as of April 30, 2007. The grant of the options is subject to the approval of the Company's shareholders.</w:t>
      </w:r>
    </w:p>
    <w:p>
      <w:pPr>
        <w:spacing w:after="0" w:line="200" w:lineRule="exact"/>
        <w:rPr>
          <w:rFonts w:ascii="Courier New" w:cs="Courier New" w:eastAsia="Courier New" w:hAnsi="Courier New"/>
          <w:sz w:val="14"/>
          <w:szCs w:val="14"/>
          <w:color w:val="auto"/>
        </w:rPr>
      </w:pPr>
    </w:p>
    <w:p>
      <w:pPr>
        <w:spacing w:after="0" w:line="304" w:lineRule="exact"/>
        <w:rPr>
          <w:rFonts w:ascii="Courier New" w:cs="Courier New" w:eastAsia="Courier New" w:hAnsi="Courier New"/>
          <w:sz w:val="14"/>
          <w:szCs w:val="14"/>
          <w:color w:val="auto"/>
        </w:rPr>
      </w:pPr>
    </w:p>
    <w:p>
      <w:pPr>
        <w:ind w:left="3420" w:hanging="174"/>
        <w:spacing w:after="0"/>
        <w:tabs>
          <w:tab w:leader="none" w:pos="3420" w:val="left"/>
        </w:tabs>
        <w:numPr>
          <w:ilvl w:val="3"/>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w:t>
      </w:r>
    </w:p>
    <w:p>
      <w:pPr>
        <w:sectPr>
          <w:pgSz w:w="11900" w:h="16838" w:orient="portrait"/>
          <w:cols w:equalWidth="0" w:num="1">
            <w:col w:w="10239"/>
          </w:cols>
          <w:pgMar w:left="220" w:top="785" w:right="1440" w:bottom="1440" w:gutter="0" w:footer="0" w:header="0"/>
        </w:sectPr>
      </w:pPr>
    </w:p>
    <w:bookmarkStart w:id="21" w:name="page22"/>
    <w:bookmarkEnd w:id="21"/>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99" w:firstLine="875"/>
        <w:spacing w:after="0" w:line="261" w:lineRule="auto"/>
        <w:rPr>
          <w:sz w:val="20"/>
          <w:szCs w:val="20"/>
          <w:color w:val="auto"/>
        </w:rPr>
      </w:pPr>
      <w:r>
        <w:rPr>
          <w:rFonts w:ascii="Courier New" w:cs="Courier New" w:eastAsia="Courier New" w:hAnsi="Courier New"/>
          <w:sz w:val="14"/>
          <w:szCs w:val="14"/>
          <w:color w:val="auto"/>
        </w:rPr>
        <w:t>FINANCIAL STATEMENTS AS OF MARCH 31, 2005 (dollars in thousands, except share data and per share data)</w:t>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OTHER RECENT DEVELOPMENTS (cont.)</w:t>
      </w:r>
    </w:p>
    <w:p>
      <w:pPr>
        <w:spacing w:after="0" w:line="166" w:lineRule="exact"/>
        <w:rPr>
          <w:sz w:val="20"/>
          <w:szCs w:val="20"/>
          <w:color w:val="auto"/>
        </w:rPr>
      </w:pPr>
    </w:p>
    <w:p>
      <w:pPr>
        <w:ind w:left="880" w:hanging="433"/>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72"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TO EMPLOYEES - In May 2005, the Company's Board of Directors approved the grant of 2,900,000 options to the Company's employees at an exercise price equal to the Company's share market price as of the date of grant. The options granted will vest over a four-year period from the date of grant and will expire ten years from such date.</w:t>
      </w:r>
    </w:p>
    <w:p>
      <w:pPr>
        <w:spacing w:after="0" w:line="33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A JOINT DEVELOPMENT AGREEMENT</w:t>
      </w:r>
    </w:p>
    <w:p>
      <w:pPr>
        <w:spacing w:after="0" w:line="172" w:lineRule="exact"/>
        <w:rPr>
          <w:rFonts w:ascii="Courier New" w:cs="Courier New" w:eastAsia="Courier New" w:hAnsi="Courier New"/>
          <w:sz w:val="15"/>
          <w:szCs w:val="15"/>
          <w:color w:val="auto"/>
        </w:rPr>
      </w:pPr>
    </w:p>
    <w:p>
      <w:pPr>
        <w:ind w:left="8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2005, a Japanese semiconductor manufacturer corporation has elected, and the Company has agreed, to cease the joint development of certain technology and to terminate the agreement entered into between the parties in May 2002 described in Note 12B(3) to the 2004 audited consolidated financial statements ("the Original Agreement"). According to the terms of the termination agreement, the Japanese manufacturer paid an amount of $2,500 in April 2005. In addition, each party expressly released the other party from any obligations or liabilities of any nature in connection with the Original Agreement. The license rights granted to the parties continue pursuant to the terms of the Original Agreement. As a result, during the second quarter of 2005, the Company expects to recognize revenues in the aggregate amount of $8,000, of which $5,500 is presented as deferred revenues and included as a long-term liability as of the balance sheet date.</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w:t>
      </w:r>
    </w:p>
    <w:p>
      <w:pPr>
        <w:sectPr>
          <w:pgSz w:w="11900" w:h="16838" w:orient="portrait"/>
          <w:cols w:equalWidth="0" w:num="1">
            <w:col w:w="10239"/>
          </w:cols>
          <w:pgMar w:left="220" w:top="617" w:right="1440" w:bottom="1440" w:gutter="0" w:footer="0" w:header="0"/>
        </w:sectPr>
      </w:pPr>
    </w:p>
    <w:bookmarkStart w:id="22" w:name="page23"/>
    <w:bookmarkEnd w:id="22"/>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99" w:firstLine="875"/>
        <w:spacing w:after="0" w:line="261" w:lineRule="auto"/>
        <w:rPr>
          <w:sz w:val="20"/>
          <w:szCs w:val="20"/>
          <w:color w:val="auto"/>
        </w:rPr>
      </w:pPr>
      <w:r>
        <w:rPr>
          <w:rFonts w:ascii="Courier New" w:cs="Courier New" w:eastAsia="Courier New" w:hAnsi="Courier New"/>
          <w:sz w:val="14"/>
          <w:szCs w:val="14"/>
          <w:color w:val="auto"/>
        </w:rPr>
        <w:t>FINANCIAL STATEMENTS AS OF MARCH 31, 2005 (dollars in thousands, except share data and per share data)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MATERIAL DIFFERENCES BETWEEN ISRAELI AND U.S. GAAP</w:t>
      </w:r>
    </w:p>
    <w:p>
      <w:pPr>
        <w:spacing w:after="0" w:line="173" w:lineRule="exact"/>
        <w:rPr>
          <w:sz w:val="20"/>
          <w:szCs w:val="20"/>
          <w:color w:val="auto"/>
        </w:rPr>
      </w:pPr>
    </w:p>
    <w:p>
      <w:pPr>
        <w:ind w:left="880" w:right="3319"/>
        <w:spacing w:after="0" w:line="236" w:lineRule="auto"/>
        <w:rPr>
          <w:sz w:val="20"/>
          <w:szCs w:val="20"/>
          <w:color w:val="auto"/>
        </w:rPr>
      </w:pPr>
      <w:r>
        <w:rPr>
          <w:rFonts w:ascii="Courier New" w:cs="Courier New" w:eastAsia="Courier New" w:hAnsi="Courier New"/>
          <w:sz w:val="15"/>
          <w:szCs w:val="15"/>
          <w:color w:val="auto"/>
        </w:rPr>
        <w:t>With regard to the Company's interim financial statements, the material differences between GAAP in Israel and in the U.S. relate to the following. See F below for the presentation of the Company's unaudited balance sheet as of March 31, 2005 in accordance with U.S. GAAP.</w:t>
      </w:r>
    </w:p>
    <w:p>
      <w:pPr>
        <w:spacing w:after="0" w:line="174" w:lineRule="exact"/>
        <w:rPr>
          <w:sz w:val="20"/>
          <w:szCs w:val="20"/>
          <w:color w:val="auto"/>
        </w:rPr>
      </w:pPr>
    </w:p>
    <w:p>
      <w:pPr>
        <w:ind w:left="1320" w:right="3679" w:hanging="436"/>
        <w:spacing w:after="0" w:line="234" w:lineRule="auto"/>
        <w:tabs>
          <w:tab w:leader="none" w:pos="13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DESIGNATED CASH AND SHORT-TERM AND LONG-TERM INTEREST-BEARING DEPOSITS</w:t>
      </w:r>
    </w:p>
    <w:p>
      <w:pPr>
        <w:spacing w:after="0" w:line="173" w:lineRule="exact"/>
        <w:rPr>
          <w:rFonts w:ascii="Courier New" w:cs="Courier New" w:eastAsia="Courier New" w:hAnsi="Courier New"/>
          <w:sz w:val="15"/>
          <w:szCs w:val="15"/>
          <w:color w:val="auto"/>
        </w:rPr>
      </w:pPr>
    </w:p>
    <w:p>
      <w:pPr>
        <w:ind w:left="132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U.S. GAAP, the Company's designated cash, short-term and long-term interest-bearing deposits should be excluded from current assets and long-term investments and presented separately as a non-current asset. Accordingly, as of March 31, 2005, $17,614 and $5,071 were reclassified, respectively, from current assets and long-term investments to a long-term asset (as of December 31, 2004 - $53,793 and $5,134, respectively).</w:t>
      </w:r>
    </w:p>
    <w:p>
      <w:pPr>
        <w:spacing w:after="0" w:line="177"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PRESENTATION OF NET LONG-TERM LIABILITIES IN RESPECT OF EMPLOYEES</w:t>
      </w:r>
    </w:p>
    <w:p>
      <w:pPr>
        <w:spacing w:after="0" w:line="177" w:lineRule="exact"/>
        <w:rPr>
          <w:rFonts w:ascii="Courier New" w:cs="Courier New" w:eastAsia="Courier New" w:hAnsi="Courier New"/>
          <w:sz w:val="14"/>
          <w:szCs w:val="14"/>
          <w:color w:val="auto"/>
        </w:rPr>
      </w:pPr>
    </w:p>
    <w:p>
      <w:pPr>
        <w:ind w:left="1320"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Under U.S. GAAP, assets and liabilities relating to severance arrangements are to be presented separately and are not to be offset, while according to Israeli GAAP such an offset is required. Accordingly, as of March 31, 2005 an amount of $16,055 was reclassified from other long-term liabilities to long-term investments (as of December 31, 2004 - $16,350).</w:t>
      </w:r>
    </w:p>
    <w:p>
      <w:pPr>
        <w:spacing w:after="0" w:line="168" w:lineRule="exact"/>
        <w:rPr>
          <w:rFonts w:ascii="Courier New" w:cs="Courier New" w:eastAsia="Courier New" w:hAnsi="Courier New"/>
          <w:sz w:val="14"/>
          <w:szCs w:val="14"/>
          <w:color w:val="auto"/>
        </w:rPr>
      </w:pPr>
    </w:p>
    <w:p>
      <w:pPr>
        <w:ind w:left="1320" w:hanging="436"/>
        <w:spacing w:after="0"/>
        <w:tabs>
          <w:tab w:leader="none" w:pos="13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IN ACCORDANCE WITH U.S. GAAP (SFAS 133)</w:t>
      </w:r>
    </w:p>
    <w:p>
      <w:pPr>
        <w:spacing w:after="0" w:line="172" w:lineRule="exact"/>
        <w:rPr>
          <w:rFonts w:ascii="Courier New" w:cs="Courier New" w:eastAsia="Courier New" w:hAnsi="Courier New"/>
          <w:sz w:val="15"/>
          <w:szCs w:val="15"/>
          <w:color w:val="auto"/>
        </w:rPr>
      </w:pPr>
    </w:p>
    <w:p>
      <w:pPr>
        <w:ind w:left="132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Complying with SFAS 133 and SFAS 138 and the related interpretations thereon with respect to the Company's hedging transactions as of March 31, 2005 would have resulted in: an increase in other long-term investments in the amount of $1,555; an increase in other long-term liabilities in the amount of $1,124; a decrease in other comprehensive loss for the three months ended March 31, 2005 in the net amount of $3,169; an accumulated other comprehensive loss component of equity balance as of March 31, 2005 in the amount of $3,886; and in a decrease of $4,287 in property and equipment, net as of March 31, 2005.</w:t>
      </w:r>
    </w:p>
    <w:p>
      <w:pPr>
        <w:spacing w:after="0" w:line="32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w:t>
      </w:r>
    </w:p>
    <w:p>
      <w:pPr>
        <w:sectPr>
          <w:pgSz w:w="11900" w:h="16838" w:orient="portrait"/>
          <w:cols w:equalWidth="0" w:num="1">
            <w:col w:w="10239"/>
          </w:cols>
          <w:pgMar w:left="220" w:top="785" w:right="1440" w:bottom="1440" w:gutter="0" w:footer="0" w:header="0"/>
        </w:sectPr>
      </w:pPr>
    </w:p>
    <w:bookmarkStart w:id="23" w:name="page24"/>
    <w:bookmarkEnd w:id="23"/>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99" w:firstLine="875"/>
        <w:spacing w:after="0" w:line="261" w:lineRule="auto"/>
        <w:rPr>
          <w:sz w:val="20"/>
          <w:szCs w:val="20"/>
          <w:color w:val="auto"/>
        </w:rPr>
      </w:pPr>
      <w:r>
        <w:rPr>
          <w:rFonts w:ascii="Courier New" w:cs="Courier New" w:eastAsia="Courier New" w:hAnsi="Courier New"/>
          <w:sz w:val="14"/>
          <w:szCs w:val="14"/>
          <w:color w:val="auto"/>
        </w:rPr>
        <w:t>FINANCIAL STATEMENTS AS OF MARCH 31, 2005 (dollars in thousands, except share data and per share data)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MATERIAL DIFFERENCES BETWEEN ISRAELI AND U.S. GAAP (cont.)</w:t>
      </w:r>
    </w:p>
    <w:p>
      <w:pPr>
        <w:spacing w:after="0" w:line="166" w:lineRule="exact"/>
        <w:rPr>
          <w:sz w:val="20"/>
          <w:szCs w:val="20"/>
          <w:color w:val="auto"/>
        </w:rPr>
      </w:pPr>
    </w:p>
    <w:p>
      <w:pPr>
        <w:ind w:left="880" w:hanging="433"/>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OF SFAS 123 AND SFAS 148</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Had compensation cost for the Company's share option plans been determined based on fair value at the grant dates for awards made through March 31, 2005 in accordance with SFAS 123, as amended by SFAS 148, the Company's pro forma loss and loss per share would have been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3120" w:type="dxa"/>
            <w:vAlign w:val="bottom"/>
          </w:tcPr>
          <w:p>
            <w:pPr>
              <w:spacing w:after="0"/>
              <w:rPr>
                <w:sz w:val="14"/>
                <w:szCs w:val="14"/>
                <w:color w:val="auto"/>
              </w:rPr>
            </w:pPr>
          </w:p>
        </w:tc>
        <w:tc>
          <w:tcPr>
            <w:tcW w:w="24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March 31,</w:t>
            </w:r>
          </w:p>
        </w:tc>
        <w:tc>
          <w:tcPr>
            <w:tcW w:w="600" w:type="dxa"/>
            <w:vAlign w:val="bottom"/>
          </w:tcPr>
          <w:p>
            <w:pPr>
              <w:spacing w:after="0"/>
              <w:rPr>
                <w:sz w:val="14"/>
                <w:szCs w:val="14"/>
                <w:color w:val="auto"/>
              </w:rPr>
            </w:pPr>
          </w:p>
        </w:tc>
      </w:tr>
      <w:tr>
        <w:trPr>
          <w:trHeight w:val="168"/>
        </w:trPr>
        <w:tc>
          <w:tcPr>
            <w:tcW w:w="3120" w:type="dxa"/>
            <w:vAlign w:val="bottom"/>
          </w:tcPr>
          <w:p>
            <w:pPr>
              <w:spacing w:after="0"/>
              <w:rPr>
                <w:sz w:val="14"/>
                <w:szCs w:val="14"/>
                <w:color w:val="auto"/>
              </w:rPr>
            </w:pPr>
          </w:p>
        </w:tc>
        <w:tc>
          <w:tcPr>
            <w:tcW w:w="24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9"/>
              </w:rPr>
              <w:t>2005</w:t>
            </w:r>
          </w:p>
        </w:tc>
        <w:tc>
          <w:tcPr>
            <w:tcW w:w="48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2004</w:t>
            </w:r>
          </w:p>
        </w:tc>
      </w:tr>
      <w:tr>
        <w:trPr>
          <w:trHeight w:val="168"/>
        </w:trPr>
        <w:tc>
          <w:tcPr>
            <w:tcW w:w="312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600" w:type="dxa"/>
            <w:vAlign w:val="bottom"/>
          </w:tcPr>
          <w:p>
            <w:pPr>
              <w:spacing w:after="0"/>
              <w:rPr>
                <w:sz w:val="14"/>
                <w:szCs w:val="14"/>
                <w:color w:val="auto"/>
              </w:rPr>
            </w:pP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PRO FORMA LOSS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 as reported</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according to U.S. GAAP</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(see G below)</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$(55,320)</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$(38,491)</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Add - stock-based compensation</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determined under SFAS 123</w:t>
            </w:r>
          </w:p>
        </w:tc>
        <w:tc>
          <w:tcPr>
            <w:tcW w:w="44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(1,092)</w:t>
            </w:r>
          </w:p>
        </w:tc>
        <w:tc>
          <w:tcPr>
            <w:tcW w:w="4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(1,331)</w:t>
            </w:r>
          </w:p>
        </w:tc>
      </w:tr>
      <w:tr>
        <w:trPr>
          <w:trHeight w:val="168"/>
        </w:trPr>
        <w:tc>
          <w:tcPr>
            <w:tcW w:w="312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loss</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$(56,412)</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$(39,822)</w:t>
            </w:r>
          </w:p>
        </w:tc>
      </w:tr>
      <w:tr>
        <w:trPr>
          <w:trHeight w:val="168"/>
        </w:trPr>
        <w:tc>
          <w:tcPr>
            <w:tcW w:w="312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BASIC LOSS PER SHARE</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As reported according to U.S.</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GAAP (see H below)</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(0.84)</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(0.62)</w:t>
            </w:r>
          </w:p>
        </w:tc>
      </w:tr>
      <w:tr>
        <w:trPr>
          <w:trHeight w:val="168"/>
        </w:trPr>
        <w:tc>
          <w:tcPr>
            <w:tcW w:w="312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(0.86)</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(0.65)</w:t>
            </w:r>
          </w:p>
        </w:tc>
      </w:tr>
      <w:tr>
        <w:trPr>
          <w:trHeight w:val="168"/>
        </w:trPr>
        <w:tc>
          <w:tcPr>
            <w:tcW w:w="312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880" w:hanging="433"/>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SECURITIES</w:t>
      </w:r>
    </w:p>
    <w:p>
      <w:pPr>
        <w:spacing w:after="0" w:line="172" w:lineRule="exact"/>
        <w:rPr>
          <w:rFonts w:ascii="Courier New" w:cs="Courier New" w:eastAsia="Courier New" w:hAnsi="Courier New"/>
          <w:sz w:val="15"/>
          <w:szCs w:val="15"/>
          <w:color w:val="auto"/>
        </w:rPr>
      </w:pPr>
    </w:p>
    <w:p>
      <w:pPr>
        <w:ind w:left="8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Accounting Principles Board Opinion No. 14 ("APB 14"), the proceeds from the sale of the securities in January 2002 are to be allocated to each of the securities issued based on their relative fair value, while according to Israeli GAAP such treatment is not required. Complying with APB 14, based on the average market value of each of the securities issued in the first three days following their issuance (in January 2002), would have resulted in an increase in shareholders' equity as of March 31, 2005 and December 31, 2004 in the amount of $2,363 (net of $196 related issuance expenses), and a decrease in convertible debentures as of such dates in the amount of $2,559. The effect of amortization of the discount on the convertible debentures under U.S.GAAP for the periods ended at such dates would have been immaterial.</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w:t>
      </w:r>
    </w:p>
    <w:p>
      <w:pPr>
        <w:sectPr>
          <w:pgSz w:w="11900" w:h="16838" w:orient="portrait"/>
          <w:cols w:equalWidth="0" w:num="1">
            <w:col w:w="10239"/>
          </w:cols>
          <w:pgMar w:left="220" w:top="617" w:right="1440" w:bottom="1440" w:gutter="0" w:footer="0" w:header="0"/>
        </w:sectPr>
      </w:pPr>
    </w:p>
    <w:bookmarkStart w:id="24" w:name="page25"/>
    <w:bookmarkEnd w:id="24"/>
    <w:p>
      <w:pPr>
        <w:jc w:val="center"/>
        <w:ind w:right="410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41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MARCH 31, 2005</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MATERIAL DIFFERENCES BETWEEN ISRAELI AND U.S. GAAP (cont.)</w:t>
      </w:r>
    </w:p>
    <w:p>
      <w:pPr>
        <w:spacing w:after="0" w:line="166"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F.</w:t>
        <w:tab/>
        <w:t>BALANCE SHEETS IN ACCORDANCE WITH U.S. GAAP</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AS OF MARCH 31, 2005</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60" w:type="dxa"/>
            <w:vAlign w:val="bottom"/>
            <w:gridSpan w:val="5"/>
          </w:tcPr>
          <w:p>
            <w:pPr>
              <w:jc w:val="right"/>
              <w:ind w:right="447"/>
              <w:spacing w:after="0"/>
              <w:rPr>
                <w:sz w:val="20"/>
                <w:szCs w:val="20"/>
                <w:color w:val="auto"/>
              </w:rPr>
            </w:pPr>
            <w:r>
              <w:rPr>
                <w:rFonts w:ascii="Courier New" w:cs="Courier New" w:eastAsia="Courier New" w:hAnsi="Courier New"/>
                <w:sz w:val="15"/>
                <w:szCs w:val="15"/>
                <w:color w:val="auto"/>
              </w:rPr>
              <w:t>AS OF DECEMBER 31, 2004</w:t>
            </w:r>
          </w:p>
        </w:tc>
      </w:tr>
      <w:tr>
        <w:trPr>
          <w:trHeight w:val="168"/>
        </w:trPr>
        <w:tc>
          <w:tcPr>
            <w:tcW w:w="3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Courier New" w:cs="Courier New" w:eastAsia="Courier New" w:hAnsi="Courier New"/>
                <w:sz w:val="6"/>
                <w:szCs w:val="6"/>
                <w:color w:val="auto"/>
                <w:w w:val="79"/>
              </w:rPr>
              <w: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8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U.S.</w:t>
            </w:r>
          </w:p>
        </w:tc>
        <w:tc>
          <w:tcPr>
            <w:tcW w:w="2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AS PER</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AS PER</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AS PER</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AS PER</w:t>
            </w:r>
          </w:p>
        </w:tc>
      </w:tr>
      <w:tr>
        <w:trPr>
          <w:trHeight w:val="168"/>
        </w:trPr>
        <w:tc>
          <w:tcPr>
            <w:tcW w:w="3860" w:type="dxa"/>
            <w:vAlign w:val="bottom"/>
          </w:tcPr>
          <w:p>
            <w:pPr>
              <w:spacing w:after="0"/>
              <w:rPr>
                <w:sz w:val="14"/>
                <w:szCs w:val="14"/>
                <w:color w:val="auto"/>
              </w:rPr>
            </w:pPr>
          </w:p>
        </w:tc>
        <w:tc>
          <w:tcPr>
            <w:tcW w:w="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GAAP</w:t>
            </w:r>
          </w:p>
        </w:tc>
        <w:tc>
          <w:tcPr>
            <w:tcW w:w="2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ISRAELI</w:t>
            </w:r>
          </w:p>
        </w:tc>
        <w:tc>
          <w:tcPr>
            <w:tcW w:w="20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w:t>
            </w:r>
          </w:p>
        </w:tc>
        <w:tc>
          <w:tcPr>
            <w:tcW w:w="22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U.S.</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ISRAELI</w:t>
            </w:r>
          </w:p>
        </w:tc>
        <w:tc>
          <w:tcPr>
            <w:tcW w:w="2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ADJUST-</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U.S.</w:t>
            </w:r>
          </w:p>
        </w:tc>
      </w:tr>
      <w:tr>
        <w:trPr>
          <w:trHeight w:val="168"/>
        </w:trPr>
        <w:tc>
          <w:tcPr>
            <w:tcW w:w="386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REMARK</w:t>
            </w:r>
          </w:p>
        </w:tc>
        <w:tc>
          <w:tcPr>
            <w:tcW w:w="2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GAAP</w:t>
            </w:r>
          </w:p>
        </w:tc>
        <w:tc>
          <w:tcPr>
            <w:tcW w:w="20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MENTS</w:t>
            </w:r>
          </w:p>
        </w:tc>
        <w:tc>
          <w:tcPr>
            <w:tcW w:w="2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GAAP</w:t>
            </w:r>
          </w:p>
        </w:tc>
        <w:tc>
          <w:tcPr>
            <w:tcW w:w="2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GAAP</w:t>
            </w:r>
          </w:p>
        </w:tc>
        <w:tc>
          <w:tcPr>
            <w:tcW w:w="2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MENTS</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GAAP</w:t>
            </w:r>
          </w:p>
        </w:tc>
      </w:tr>
      <w:tr>
        <w:trPr>
          <w:trHeight w:val="168"/>
        </w:trPr>
        <w:tc>
          <w:tcPr>
            <w:tcW w:w="4520" w:type="dxa"/>
            <w:vAlign w:val="bottom"/>
            <w:gridSpan w:val="2"/>
          </w:tcPr>
          <w:p>
            <w:pPr>
              <w:ind w:left="36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3860" w:type="dxa"/>
            <w:vAlign w:val="bottom"/>
          </w:tcPr>
          <w:p>
            <w:pPr>
              <w:ind w:left="360"/>
              <w:spacing w:after="0"/>
              <w:rPr>
                <w:sz w:val="20"/>
                <w:szCs w:val="20"/>
                <w:color w:val="auto"/>
              </w:rPr>
            </w:pPr>
            <w:r>
              <w:rPr>
                <w:rFonts w:ascii="Courier New" w:cs="Courier New" w:eastAsia="Courier New" w:hAnsi="Courier New"/>
                <w:sz w:val="15"/>
                <w:szCs w:val="15"/>
                <w:color w:val="auto"/>
              </w:rPr>
              <w:t>CURRENT ASSETS</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66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34,507</w:t>
            </w:r>
          </w:p>
        </w:tc>
        <w:tc>
          <w:tcPr>
            <w:tcW w:w="20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34,507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27,664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27,664</w:t>
            </w:r>
          </w:p>
        </w:tc>
      </w:tr>
      <w:tr>
        <w:trPr>
          <w:trHeight w:val="168"/>
        </w:trPr>
        <w:tc>
          <w:tcPr>
            <w:tcW w:w="3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DESIGNATED CASH AND SHORT-TERM</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INTEREST-BEARING DEPOSITS</w:t>
            </w:r>
          </w:p>
        </w:tc>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17,614</w:t>
            </w:r>
          </w:p>
        </w:tc>
        <w:tc>
          <w:tcPr>
            <w:tcW w:w="2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(17,614)</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53,793</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(53,793)</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RECEIVABLE</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12,141</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12,141</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19,286</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19,286</w:t>
            </w:r>
          </w:p>
        </w:tc>
      </w:tr>
      <w:tr>
        <w:trPr>
          <w:trHeight w:val="168"/>
        </w:trPr>
        <w:tc>
          <w:tcPr>
            <w:tcW w:w="3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9,430</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9,430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11,365</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11,365</w:t>
            </w:r>
          </w:p>
        </w:tc>
      </w:tr>
      <w:tr>
        <w:trPr>
          <w:trHeight w:val="168"/>
        </w:trPr>
        <w:tc>
          <w:tcPr>
            <w:tcW w:w="3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INVENTORIES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21,624</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21,624</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25,669</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25,669</w:t>
            </w:r>
          </w:p>
        </w:tc>
      </w:tr>
      <w:tr>
        <w:trPr>
          <w:trHeight w:val="168"/>
        </w:trPr>
        <w:tc>
          <w:tcPr>
            <w:tcW w:w="3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861</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861</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1,818</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1,818</w:t>
            </w:r>
          </w:p>
        </w:tc>
      </w:tr>
      <w:tr>
        <w:trPr>
          <w:trHeight w:val="168"/>
        </w:trPr>
        <w:tc>
          <w:tcPr>
            <w:tcW w:w="3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96,177</w:t>
            </w:r>
          </w:p>
        </w:tc>
        <w:tc>
          <w:tcPr>
            <w:tcW w:w="2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(17,614)</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78,563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139,595</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(53,793)</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85,802</w:t>
            </w:r>
          </w:p>
        </w:tc>
      </w:tr>
      <w:tr>
        <w:trPr>
          <w:trHeight w:val="168"/>
        </w:trPr>
        <w:tc>
          <w:tcPr>
            <w:tcW w:w="3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ind w:left="360"/>
              <w:spacing w:after="0"/>
              <w:rPr>
                <w:sz w:val="20"/>
                <w:szCs w:val="20"/>
                <w:color w:val="auto"/>
              </w:rPr>
            </w:pPr>
            <w:r>
              <w:rPr>
                <w:rFonts w:ascii="Courier New" w:cs="Courier New" w:eastAsia="Courier New" w:hAnsi="Courier New"/>
                <w:sz w:val="15"/>
                <w:szCs w:val="15"/>
                <w:color w:val="auto"/>
              </w:rPr>
              <w:t>LONG-TERM INVESTMENTS</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DESIGNATED FOR FAB 2 OPERATIONS</w:t>
            </w:r>
          </w:p>
        </w:tc>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5,071</w:t>
            </w:r>
          </w:p>
        </w:tc>
        <w:tc>
          <w:tcPr>
            <w:tcW w:w="2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(5,071)</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5,134</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(5,134)</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LONG-TERM INVESTMENTS</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 C</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17,610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17,610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16,350</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16,350</w:t>
            </w:r>
          </w:p>
        </w:tc>
      </w:tr>
      <w:tr>
        <w:trPr>
          <w:trHeight w:val="168"/>
        </w:trPr>
        <w:tc>
          <w:tcPr>
            <w:tcW w:w="3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5,071</w:t>
            </w:r>
          </w:p>
        </w:tc>
        <w:tc>
          <w:tcPr>
            <w:tcW w:w="2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12,539</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17,610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5,134</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11,216</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16,350</w:t>
            </w:r>
          </w:p>
        </w:tc>
      </w:tr>
      <w:tr>
        <w:trPr>
          <w:trHeight w:val="168"/>
        </w:trPr>
        <w:tc>
          <w:tcPr>
            <w:tcW w:w="3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ind w:left="360"/>
              <w:spacing w:after="0"/>
              <w:rPr>
                <w:sz w:val="20"/>
                <w:szCs w:val="20"/>
                <w:color w:val="auto"/>
              </w:rPr>
            </w:pPr>
            <w:r>
              <w:rPr>
                <w:rFonts w:ascii="Courier New" w:cs="Courier New" w:eastAsia="Courier New" w:hAnsi="Courier New"/>
                <w:sz w:val="15"/>
                <w:szCs w:val="15"/>
                <w:color w:val="auto"/>
              </w:rPr>
              <w:t>PROPERTY AND EQUIPMENT, NET</w:t>
            </w:r>
          </w:p>
        </w:tc>
        <w:tc>
          <w:tcPr>
            <w:tcW w:w="660" w:type="dxa"/>
            <w:vAlign w:val="bottom"/>
          </w:tcPr>
          <w:p>
            <w:pPr>
              <w:ind w:left="260"/>
              <w:spacing w:after="0"/>
              <w:rPr>
                <w:sz w:val="20"/>
                <w:szCs w:val="20"/>
                <w:color w:val="auto"/>
              </w:rPr>
            </w:pPr>
            <w:r>
              <w:rPr>
                <w:rFonts w:ascii="Courier New" w:cs="Courier New" w:eastAsia="Courier New" w:hAnsi="Courier New"/>
                <w:sz w:val="15"/>
                <w:szCs w:val="15"/>
                <w:color w:val="auto"/>
              </w:rPr>
              <w:t>C</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587,707</w:t>
            </w:r>
          </w:p>
        </w:tc>
        <w:tc>
          <w:tcPr>
            <w:tcW w:w="200" w:type="dxa"/>
            <w:vAlign w:val="bottom"/>
          </w:tcPr>
          <w:p>
            <w:pPr>
              <w:spacing w:after="0"/>
              <w:rPr>
                <w:sz w:val="24"/>
                <w:szCs w:val="2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(4,287)</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583,420</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609,296</w:t>
            </w:r>
          </w:p>
        </w:tc>
        <w:tc>
          <w:tcPr>
            <w:tcW w:w="22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(4,619)</w:t>
            </w:r>
          </w:p>
        </w:tc>
        <w:tc>
          <w:tcPr>
            <w:tcW w:w="1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604,677</w:t>
            </w:r>
          </w:p>
        </w:tc>
      </w:tr>
      <w:tr>
        <w:trPr>
          <w:trHeight w:val="168"/>
        </w:trPr>
        <w:tc>
          <w:tcPr>
            <w:tcW w:w="3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ind w:left="360"/>
              <w:spacing w:after="0"/>
              <w:rPr>
                <w:sz w:val="20"/>
                <w:szCs w:val="20"/>
                <w:color w:val="auto"/>
              </w:rPr>
            </w:pPr>
            <w:r>
              <w:rPr>
                <w:rFonts w:ascii="Courier New" w:cs="Courier New" w:eastAsia="Courier New" w:hAnsi="Courier New"/>
                <w:sz w:val="15"/>
                <w:szCs w:val="15"/>
                <w:color w:val="auto"/>
              </w:rPr>
              <w:t>DESIGNATED CASH AND SHORT-TERM AND</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22,685</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22,685</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58,927</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58,927</w:t>
            </w:r>
          </w:p>
        </w:tc>
      </w:tr>
      <w:tr>
        <w:trPr>
          <w:trHeight w:val="168"/>
        </w:trPr>
        <w:tc>
          <w:tcPr>
            <w:tcW w:w="3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ind w:left="360"/>
              <w:spacing w:after="0"/>
              <w:rPr>
                <w:sz w:val="20"/>
                <w:szCs w:val="20"/>
                <w:color w:val="auto"/>
              </w:rPr>
            </w:pPr>
            <w:r>
              <w:rPr>
                <w:rFonts w:ascii="Courier New" w:cs="Courier New" w:eastAsia="Courier New" w:hAnsi="Courier New"/>
                <w:sz w:val="15"/>
                <w:szCs w:val="15"/>
                <w:color w:val="auto"/>
              </w:rPr>
              <w:t>OTHER ASSETS, NET</w:t>
            </w:r>
          </w:p>
        </w:tc>
        <w:tc>
          <w:tcPr>
            <w:tcW w:w="660" w:type="dxa"/>
            <w:vAlign w:val="bottom"/>
          </w:tcPr>
          <w:p>
            <w:pPr>
              <w:ind w:left="260"/>
              <w:spacing w:after="0"/>
              <w:rPr>
                <w:sz w:val="20"/>
                <w:szCs w:val="20"/>
                <w:color w:val="auto"/>
              </w:rPr>
            </w:pPr>
            <w:r>
              <w:rPr>
                <w:rFonts w:ascii="Courier New" w:cs="Courier New" w:eastAsia="Courier New" w:hAnsi="Courier New"/>
                <w:sz w:val="15"/>
                <w:szCs w:val="15"/>
                <w:color w:val="auto"/>
              </w:rPr>
              <w:t>E</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92,478</w:t>
            </w:r>
          </w:p>
        </w:tc>
        <w:tc>
          <w:tcPr>
            <w:tcW w:w="200" w:type="dxa"/>
            <w:vAlign w:val="bottom"/>
          </w:tcPr>
          <w:p>
            <w:pPr>
              <w:spacing w:after="0"/>
              <w:rPr>
                <w:sz w:val="24"/>
                <w:szCs w:val="2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(196)</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92,282</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93,483</w:t>
            </w:r>
          </w:p>
        </w:tc>
        <w:tc>
          <w:tcPr>
            <w:tcW w:w="22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(196)</w:t>
            </w:r>
          </w:p>
        </w:tc>
        <w:tc>
          <w:tcPr>
            <w:tcW w:w="1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93,287</w:t>
            </w:r>
          </w:p>
        </w:tc>
      </w:tr>
      <w:tr>
        <w:trPr>
          <w:trHeight w:val="168"/>
        </w:trPr>
        <w:tc>
          <w:tcPr>
            <w:tcW w:w="3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860" w:type="dxa"/>
            <w:vAlign w:val="bottom"/>
          </w:tcPr>
          <w:p>
            <w:pPr>
              <w:ind w:left="1140"/>
              <w:spacing w:after="0"/>
              <w:rPr>
                <w:sz w:val="20"/>
                <w:szCs w:val="20"/>
                <w:color w:val="auto"/>
              </w:rPr>
            </w:pPr>
            <w:r>
              <w:rPr>
                <w:rFonts w:ascii="Courier New" w:cs="Courier New" w:eastAsia="Courier New" w:hAnsi="Courier New"/>
                <w:sz w:val="15"/>
                <w:szCs w:val="15"/>
                <w:color w:val="auto"/>
              </w:rPr>
              <w:t>TOTAL ASSETS</w:t>
            </w:r>
          </w:p>
        </w:tc>
        <w:tc>
          <w:tcPr>
            <w:tcW w:w="660" w:type="dxa"/>
            <w:vAlign w:val="bottom"/>
          </w:tcPr>
          <w:p>
            <w:pPr>
              <w:spacing w:after="0"/>
              <w:rPr>
                <w:sz w:val="24"/>
                <w:szCs w:val="2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$ 781,433</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13,127</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$ 794,560</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$ 847,508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11,535</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$ 859,043</w:t>
            </w:r>
          </w:p>
        </w:tc>
      </w:tr>
      <w:tr>
        <w:trPr>
          <w:trHeight w:val="168"/>
        </w:trPr>
        <w:tc>
          <w:tcPr>
            <w:tcW w:w="3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3860" w:type="dxa"/>
            <w:vAlign w:val="bottom"/>
          </w:tcPr>
          <w:p>
            <w:pPr>
              <w:ind w:left="360"/>
              <w:spacing w:after="0"/>
              <w:rPr>
                <w:sz w:val="20"/>
                <w:szCs w:val="20"/>
                <w:color w:val="auto"/>
              </w:rPr>
            </w:pPr>
            <w:r>
              <w:rPr>
                <w:rFonts w:ascii="Courier New" w:cs="Courier New" w:eastAsia="Courier New" w:hAnsi="Courier New"/>
                <w:sz w:val="15"/>
                <w:szCs w:val="15"/>
                <w:color w:val="auto"/>
              </w:rPr>
              <w:t>CURRENT LIABILITIES</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66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53,249</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53,249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65,326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65,326</w:t>
            </w:r>
          </w:p>
        </w:tc>
      </w:tr>
      <w:tr>
        <w:trPr>
          <w:trHeight w:val="168"/>
        </w:trPr>
        <w:tc>
          <w:tcPr>
            <w:tcW w:w="3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CURRENT MATURITIES OF CONVERTIBLE</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DEBENTURES</w:t>
            </w:r>
          </w:p>
        </w:tc>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6,575</w:t>
            </w:r>
          </w:p>
        </w:tc>
        <w:tc>
          <w:tcPr>
            <w:tcW w:w="2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5,935</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9,625</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9,625</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10,678</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10,678</w:t>
            </w:r>
          </w:p>
        </w:tc>
      </w:tr>
      <w:tr>
        <w:trPr>
          <w:trHeight w:val="168"/>
        </w:trPr>
        <w:tc>
          <w:tcPr>
            <w:tcW w:w="3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69,449</w:t>
            </w:r>
          </w:p>
        </w:tc>
        <w:tc>
          <w:tcPr>
            <w:tcW w:w="2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68,809</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76,004</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76,004</w:t>
            </w:r>
          </w:p>
        </w:tc>
      </w:tr>
      <w:tr>
        <w:trPr>
          <w:trHeight w:val="336"/>
        </w:trPr>
        <w:tc>
          <w:tcPr>
            <w:tcW w:w="3860" w:type="dxa"/>
            <w:vAlign w:val="bottom"/>
          </w:tcPr>
          <w:p>
            <w:pPr>
              <w:ind w:left="360"/>
              <w:spacing w:after="0"/>
              <w:rPr>
                <w:sz w:val="20"/>
                <w:szCs w:val="20"/>
                <w:color w:val="auto"/>
              </w:rPr>
            </w:pPr>
            <w:r>
              <w:rPr>
                <w:rFonts w:ascii="Courier New" w:cs="Courier New" w:eastAsia="Courier New" w:hAnsi="Courier New"/>
                <w:sz w:val="15"/>
                <w:szCs w:val="15"/>
                <w:color w:val="auto"/>
              </w:rPr>
              <w:t>LONG-TERM DEBT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497,000</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497,000</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497,000</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497,000</w:t>
            </w:r>
          </w:p>
        </w:tc>
      </w:tr>
      <w:tr>
        <w:trPr>
          <w:trHeight w:val="336"/>
        </w:trPr>
        <w:tc>
          <w:tcPr>
            <w:tcW w:w="3860" w:type="dxa"/>
            <w:vAlign w:val="bottom"/>
          </w:tcPr>
          <w:p>
            <w:pPr>
              <w:ind w:left="360"/>
              <w:spacing w:after="0"/>
              <w:rPr>
                <w:sz w:val="20"/>
                <w:szCs w:val="20"/>
                <w:color w:val="auto"/>
              </w:rPr>
            </w:pPr>
            <w:r>
              <w:rPr>
                <w:rFonts w:ascii="Courier New" w:cs="Courier New" w:eastAsia="Courier New" w:hAnsi="Courier New"/>
                <w:sz w:val="15"/>
                <w:szCs w:val="15"/>
                <w:color w:val="auto"/>
              </w:rPr>
              <w:t>CONVERTIBLE DEBENTURES</w:t>
            </w:r>
          </w:p>
        </w:tc>
        <w:tc>
          <w:tcPr>
            <w:tcW w:w="660" w:type="dxa"/>
            <w:vAlign w:val="bottom"/>
          </w:tcPr>
          <w:p>
            <w:pPr>
              <w:ind w:left="260"/>
              <w:spacing w:after="0"/>
              <w:rPr>
                <w:sz w:val="20"/>
                <w:szCs w:val="20"/>
                <w:color w:val="auto"/>
              </w:rPr>
            </w:pPr>
            <w:r>
              <w:rPr>
                <w:rFonts w:ascii="Courier New" w:cs="Courier New" w:eastAsia="Courier New" w:hAnsi="Courier New"/>
                <w:sz w:val="15"/>
                <w:szCs w:val="15"/>
                <w:color w:val="auto"/>
              </w:rPr>
              <w:t>E</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19,724</w:t>
            </w:r>
          </w:p>
        </w:tc>
        <w:tc>
          <w:tcPr>
            <w:tcW w:w="200" w:type="dxa"/>
            <w:vAlign w:val="bottom"/>
          </w:tcPr>
          <w:p>
            <w:pPr>
              <w:spacing w:after="0"/>
              <w:rPr>
                <w:sz w:val="24"/>
                <w:szCs w:val="2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(1,919)</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17,805</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26,651</w:t>
            </w:r>
          </w:p>
        </w:tc>
        <w:tc>
          <w:tcPr>
            <w:tcW w:w="22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(2,559)</w:t>
            </w:r>
          </w:p>
        </w:tc>
        <w:tc>
          <w:tcPr>
            <w:tcW w:w="1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24,092</w:t>
            </w:r>
          </w:p>
        </w:tc>
      </w:tr>
      <w:tr>
        <w:trPr>
          <w:trHeight w:val="336"/>
        </w:trPr>
        <w:tc>
          <w:tcPr>
            <w:tcW w:w="3860" w:type="dxa"/>
            <w:vAlign w:val="bottom"/>
          </w:tcPr>
          <w:p>
            <w:pPr>
              <w:ind w:left="360"/>
              <w:spacing w:after="0"/>
              <w:rPr>
                <w:sz w:val="20"/>
                <w:szCs w:val="20"/>
                <w:color w:val="auto"/>
              </w:rPr>
            </w:pPr>
            <w:r>
              <w:rPr>
                <w:rFonts w:ascii="Courier New" w:cs="Courier New" w:eastAsia="Courier New" w:hAnsi="Courier New"/>
                <w:sz w:val="15"/>
                <w:szCs w:val="15"/>
                <w:color w:val="auto"/>
              </w:rPr>
              <w:t>LONG-TERM LIABILITY IN RESPECT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63,326</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63,326</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64,428</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64,428</w:t>
            </w:r>
          </w:p>
        </w:tc>
      </w:tr>
      <w:tr>
        <w:trPr>
          <w:trHeight w:val="336"/>
        </w:trPr>
        <w:tc>
          <w:tcPr>
            <w:tcW w:w="3860" w:type="dxa"/>
            <w:vAlign w:val="bottom"/>
          </w:tcPr>
          <w:p>
            <w:pPr>
              <w:ind w:left="360"/>
              <w:spacing w:after="0"/>
              <w:rPr>
                <w:sz w:val="20"/>
                <w:szCs w:val="20"/>
                <w:color w:val="auto"/>
              </w:rPr>
            </w:pPr>
            <w:r>
              <w:rPr>
                <w:rFonts w:ascii="Courier New" w:cs="Courier New" w:eastAsia="Courier New" w:hAnsi="Courier New"/>
                <w:sz w:val="15"/>
                <w:szCs w:val="15"/>
                <w:color w:val="auto"/>
              </w:rPr>
              <w:t>OTHER LONG-TERM LIABILITIES</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 C</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19,274</w:t>
            </w:r>
          </w:p>
        </w:tc>
        <w:tc>
          <w:tcPr>
            <w:tcW w:w="20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17,179</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36,453</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15,445</w:t>
            </w:r>
          </w:p>
        </w:tc>
        <w:tc>
          <w:tcPr>
            <w:tcW w:w="22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18,756</w:t>
            </w:r>
          </w:p>
        </w:tc>
        <w:tc>
          <w:tcPr>
            <w:tcW w:w="1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34,201</w:t>
            </w:r>
          </w:p>
        </w:tc>
      </w:tr>
      <w:tr>
        <w:trPr>
          <w:trHeight w:val="168"/>
        </w:trPr>
        <w:tc>
          <w:tcPr>
            <w:tcW w:w="3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668,773</w:t>
            </w:r>
          </w:p>
        </w:tc>
        <w:tc>
          <w:tcPr>
            <w:tcW w:w="2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14,620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683,393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679,528</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16,197</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695,725</w:t>
            </w:r>
          </w:p>
        </w:tc>
      </w:tr>
      <w:tr>
        <w:trPr>
          <w:trHeight w:val="168"/>
        </w:trPr>
        <w:tc>
          <w:tcPr>
            <w:tcW w:w="3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ind w:left="360"/>
              <w:spacing w:after="0"/>
              <w:rPr>
                <w:sz w:val="20"/>
                <w:szCs w:val="20"/>
                <w:color w:val="auto"/>
              </w:rPr>
            </w:pPr>
            <w:r>
              <w:rPr>
                <w:rFonts w:ascii="Courier New" w:cs="Courier New" w:eastAsia="Courier New" w:hAnsi="Courier New"/>
                <w:sz w:val="15"/>
                <w:szCs w:val="15"/>
                <w:color w:val="auto"/>
              </w:rPr>
              <w:t>SHAREHOLDERS' EQUITY</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ORDINARY SHARES, NIS 1.00 PAR</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VALUE - AUTHORIZED 250,000,000</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SHARES; ISSUED 66,999,796 SHARES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16,274</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16,274</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16,274</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16,274</w:t>
            </w:r>
          </w:p>
        </w:tc>
      </w:tr>
      <w:tr>
        <w:trPr>
          <w:trHeight w:val="168"/>
        </w:trPr>
        <w:tc>
          <w:tcPr>
            <w:tcW w:w="3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517,476</w:t>
            </w:r>
          </w:p>
        </w:tc>
        <w:tc>
          <w:tcPr>
            <w:tcW w:w="2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519,839</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517,476</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2,363</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519,839</w:t>
            </w:r>
          </w:p>
        </w:tc>
      </w:tr>
      <w:tr>
        <w:trPr>
          <w:trHeight w:val="168"/>
        </w:trPr>
        <w:tc>
          <w:tcPr>
            <w:tcW w:w="3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SHAREHOLDER RECEIVABLES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3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ACCUMULATED OTHER COMPREHENSIVE LOSS</w:t>
            </w:r>
          </w:p>
        </w:tc>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(3,886)</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(3,886)</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(7,055)</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(7,055)</w:t>
            </w:r>
          </w:p>
        </w:tc>
      </w:tr>
      <w:tr>
        <w:trPr>
          <w:trHeight w:val="168"/>
        </w:trPr>
        <w:tc>
          <w:tcPr>
            <w:tcW w:w="3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(411,992)</w:t>
            </w:r>
          </w:p>
        </w:tc>
        <w:tc>
          <w:tcPr>
            <w:tcW w:w="2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(411,962)</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(356,672)</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(356,642)</w:t>
            </w:r>
          </w:p>
        </w:tc>
      </w:tr>
      <w:tr>
        <w:trPr>
          <w:trHeight w:val="168"/>
        </w:trPr>
        <w:tc>
          <w:tcPr>
            <w:tcW w:w="3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121,732</w:t>
            </w:r>
          </w:p>
        </w:tc>
        <w:tc>
          <w:tcPr>
            <w:tcW w:w="2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(1,493)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120,239</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177,052</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(4,662)</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172,390</w:t>
            </w:r>
          </w:p>
        </w:tc>
      </w:tr>
      <w:tr>
        <w:trPr>
          <w:trHeight w:val="168"/>
        </w:trPr>
        <w:tc>
          <w:tcPr>
            <w:tcW w:w="38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TREASURY STOCK, AT COST - 1,300,000</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SHARES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(9,072)</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(9,072)</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(9,072)</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3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112,660</w:t>
            </w:r>
          </w:p>
        </w:tc>
        <w:tc>
          <w:tcPr>
            <w:tcW w:w="2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(1,493)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111,167</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167,980</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(4,662)</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163,318</w:t>
            </w:r>
          </w:p>
        </w:tc>
      </w:tr>
      <w:tr>
        <w:trPr>
          <w:trHeight w:val="168"/>
        </w:trPr>
        <w:tc>
          <w:tcPr>
            <w:tcW w:w="3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LIABILITIES AND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86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66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$ 781,433</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13,127</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$ 794,560</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$ 847,508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11,535</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$ 859,043</w:t>
            </w:r>
          </w:p>
        </w:tc>
      </w:tr>
      <w:tr>
        <w:trPr>
          <w:trHeight w:val="168"/>
        </w:trPr>
        <w:tc>
          <w:tcPr>
            <w:tcW w:w="3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200"/>
          </w:cols>
          <w:pgMar w:left="220" w:top="785" w:right="479" w:bottom="0" w:gutter="0" w:footer="0" w:header="0"/>
        </w:sectPr>
      </w:pPr>
    </w:p>
    <w:bookmarkStart w:id="25" w:name="page26"/>
    <w:bookmarkEnd w:id="25"/>
    <w:p>
      <w:pPr>
        <w:ind w:left="2020"/>
        <w:spacing w:after="0"/>
        <w:rPr>
          <w:sz w:val="20"/>
          <w:szCs w:val="20"/>
          <w:color w:val="auto"/>
        </w:rPr>
      </w:pPr>
      <w:r>
        <w:rPr>
          <w:rFonts w:ascii="Courier New" w:cs="Courier New" w:eastAsia="Courier New" w:hAnsi="Courier New"/>
          <w:sz w:val="14"/>
          <w:szCs w:val="14"/>
          <w:color w:val="auto"/>
        </w:rPr>
        <w:t>- 14 -</w:t>
      </w:r>
    </w:p>
    <w:p>
      <w:pPr>
        <w:sectPr>
          <w:pgSz w:w="11900" w:h="16838" w:orient="portrait"/>
          <w:cols w:equalWidth="0" w:num="1">
            <w:col w:w="9019"/>
          </w:cols>
          <w:pgMar w:left="1440" w:top="982" w:right="1440" w:bottom="1440" w:gutter="0" w:footer="0" w:header="0"/>
        </w:sectPr>
      </w:pPr>
    </w:p>
    <w:bookmarkStart w:id="26" w:name="page27"/>
    <w:bookmarkEnd w:id="26"/>
    <w:p>
      <w:pPr>
        <w:jc w:val="center"/>
        <w:ind w:right="3119"/>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119"/>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spacing w:after="0" w:line="5" w:lineRule="exact"/>
        <w:rPr>
          <w:sz w:val="20"/>
          <w:szCs w:val="20"/>
          <w:color w:val="auto"/>
        </w:rPr>
      </w:pPr>
    </w:p>
    <w:p>
      <w:pPr>
        <w:ind w:left="880" w:right="4099" w:firstLine="875"/>
        <w:spacing w:after="0" w:line="261" w:lineRule="auto"/>
        <w:rPr>
          <w:sz w:val="20"/>
          <w:szCs w:val="20"/>
          <w:color w:val="auto"/>
        </w:rPr>
      </w:pPr>
      <w:r>
        <w:rPr>
          <w:rFonts w:ascii="Courier New" w:cs="Courier New" w:eastAsia="Courier New" w:hAnsi="Courier New"/>
          <w:sz w:val="14"/>
          <w:szCs w:val="14"/>
          <w:color w:val="auto"/>
        </w:rPr>
        <w:t>FINANCIAL STATEMENTS AS OF MARCH 31, 2005 (dollars in thousands, except share data and per share data)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MATERIAL DIFFERENCES BETWEEN ISRAELI AND U.S. GAAP (cont.)</w:t>
      </w:r>
    </w:p>
    <w:p>
      <w:pPr>
        <w:spacing w:after="0" w:line="166" w:lineRule="exact"/>
        <w:rPr>
          <w:sz w:val="20"/>
          <w:szCs w:val="20"/>
          <w:color w:val="auto"/>
        </w:rPr>
      </w:pPr>
    </w:p>
    <w:p>
      <w:pPr>
        <w:ind w:left="880" w:hanging="433"/>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IN ACCORDANCE WITH U.S. GAAP</w:t>
      </w:r>
    </w:p>
    <w:p>
      <w:pPr>
        <w:spacing w:after="0" w:line="172" w:lineRule="exact"/>
        <w:rPr>
          <w:rFonts w:ascii="Courier New" w:cs="Courier New" w:eastAsia="Courier New" w:hAnsi="Courier New"/>
          <w:sz w:val="15"/>
          <w:szCs w:val="15"/>
          <w:color w:val="auto"/>
        </w:rPr>
      </w:pPr>
    </w:p>
    <w:p>
      <w:pPr>
        <w:ind w:left="880"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Complying with SFAS 133 and SFAS 138 (C above) and APB 14 (E above) would not have materially affected the results of operations for the three-month periods ended March 31, 2005 and 2004.</w:t>
      </w:r>
    </w:p>
    <w:p>
      <w:pPr>
        <w:spacing w:after="0" w:line="154"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IN ACCORDANCE WITH U.S. GAAP (SFAS 128)</w:t>
      </w:r>
    </w:p>
    <w:p>
      <w:pPr>
        <w:spacing w:after="0" w:line="172" w:lineRule="exact"/>
        <w:rPr>
          <w:rFonts w:ascii="Courier New" w:cs="Courier New" w:eastAsia="Courier New" w:hAnsi="Courier New"/>
          <w:sz w:val="15"/>
          <w:szCs w:val="15"/>
          <w:color w:val="auto"/>
        </w:rPr>
      </w:pPr>
    </w:p>
    <w:p>
      <w:pPr>
        <w:ind w:left="880" w:right="33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accordance with U.S. GAAP (SFAS 128, including the implementation of SFAS 133 and SFAS 138, and APB 14 as described in G above), the basic and diluted loss per share for the three-month periods ended March 31, 2005 and 2004 would be $0.84 and $0.62, respectively.</w:t>
      </w:r>
    </w:p>
    <w:p>
      <w:pPr>
        <w:spacing w:after="0" w:line="32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w:t>
      </w:r>
    </w:p>
    <w:sectPr>
      <w:pgSz w:w="11900" w:h="16838" w:orient="portrait"/>
      <w:cols w:equalWidth="0" w:num="1">
        <w:col w:w="10239"/>
      </w:cols>
      <w:pgMar w:left="22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2"/>
    </w:lvl>
  </w:abstractNum>
  <w:abstractNum w:abstractNumId="2">
    <w:nsid w:val="4DB127F8"/>
    <w:multiLevelType w:val="hybridMultilevel"/>
    <w:lvl w:ilvl="0">
      <w:lvlJc w:val="left"/>
      <w:lvlText w:val="%1."/>
      <w:numFmt w:val="decimal"/>
      <w:start w:val="4"/>
    </w:lvl>
  </w:abstractNum>
  <w:abstractNum w:abstractNumId="3">
    <w:nsid w:val="216231B"/>
    <w:multiLevelType w:val="hybridMultilevel"/>
    <w:lvl w:ilvl="0">
      <w:lvlJc w:val="left"/>
      <w:lvlText w:val="%1."/>
      <w:numFmt w:val="decimal"/>
      <w:start w:val="5"/>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7">
    <w:nsid w:val="140E0F76"/>
    <w:multiLevelType w:val="hybridMultilevel"/>
    <w:lvl w:ilvl="0">
      <w:lvlJc w:val="left"/>
      <w:lvlText w:val="%1."/>
      <w:numFmt w:val="upperLetter"/>
      <w:start w:val="2"/>
    </w:lvl>
    <w:lvl w:ilvl="1">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upperLetter"/>
      <w:start w:val="1"/>
    </w:lvl>
    <w:lvl w:ilvl="1">
      <w:lvlJc w:val="left"/>
      <w:lvlText w:val="-"/>
      <w:numFmt w:val="bullet"/>
      <w:start w:val="1"/>
    </w:lvl>
  </w:abstractNum>
  <w:abstractNum w:abstractNumId="10">
    <w:nsid w:val="DED7263"/>
    <w:multiLevelType w:val="hybridMultilevel"/>
    <w:lvl w:ilvl="0">
      <w:lvlJc w:val="left"/>
      <w:lvlText w:val="%1."/>
      <w:numFmt w:val="upperLetter"/>
      <w:start w:val="1"/>
    </w:lvl>
    <w:lvl w:ilvl="1">
      <w:lvlJc w:val="left"/>
      <w:lvlText w:val="-"/>
      <w:numFmt w:val="bullet"/>
      <w:start w:val="1"/>
    </w:lvl>
  </w:abstractNum>
  <w:abstractNum w:abstractNumId="11">
    <w:nsid w:val="7FDCC233"/>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12">
    <w:nsid w:val="1BEFD79F"/>
    <w:multiLevelType w:val="hybridMultilevel"/>
    <w:lvl w:ilvl="0">
      <w:lvlJc w:val="left"/>
      <w:lvlText w:val="%1."/>
      <w:numFmt w:val="upperLetter"/>
      <w:start w:val="2"/>
    </w:lvl>
    <w:lvl w:ilvl="1">
      <w:lvlJc w:val="left"/>
      <w:lvlText w:val="(%2)"/>
      <w:numFmt w:val="decimal"/>
      <w:start w:val="4"/>
    </w:lvl>
    <w:lvl w:ilvl="2">
      <w:lvlJc w:val="left"/>
      <w:lvlText w:val="-"/>
      <w:numFmt w:val="bullet"/>
      <w:start w:val="1"/>
    </w:lvl>
  </w:abstractNum>
  <w:abstractNum w:abstractNumId="13">
    <w:nsid w:val="41A7C4C9"/>
    <w:multiLevelType w:val="hybridMultilevel"/>
    <w:lvl w:ilvl="0">
      <w:lvlJc w:val="left"/>
      <w:lvlText w:val="%1."/>
      <w:numFmt w:val="upperLetter"/>
      <w:start w:val="1"/>
    </w:lvl>
    <w:lvl w:ilvl="1">
      <w:lvlJc w:val="left"/>
      <w:lvlText w:val="-"/>
      <w:numFmt w:val="bullet"/>
      <w:start w:val="1"/>
    </w:lvl>
  </w:abstractNum>
  <w:abstractNum w:abstractNumId="14">
    <w:nsid w:val="6B68079A"/>
    <w:multiLevelType w:val="hybridMultilevel"/>
    <w:lvl w:ilvl="0">
      <w:lvlJc w:val="left"/>
      <w:lvlText w:val="%1."/>
      <w:numFmt w:val="upperLetter"/>
      <w:start w:val="4"/>
    </w:lvl>
  </w:abstractNum>
  <w:abstractNum w:abstractNumId="15">
    <w:nsid w:val="4E6AFB66"/>
    <w:multiLevelType w:val="hybridMultilevel"/>
    <w:lvl w:ilvl="0">
      <w:lvlJc w:val="left"/>
      <w:lvlText w:val="%1."/>
      <w:numFmt w:val="upperLetter"/>
      <w:start w:val="5"/>
    </w:lvl>
    <w:lvl w:ilvl="1">
      <w:lvlJc w:val="left"/>
      <w:lvlText w:val="-"/>
      <w:numFmt w:val="bullet"/>
      <w:start w:val="1"/>
    </w:lvl>
  </w:abstractNum>
  <w:abstractNum w:abstractNumId="16">
    <w:nsid w:val="25E45D32"/>
    <w:multiLevelType w:val="hybridMultilevel"/>
    <w:lvl w:ilvl="0">
      <w:lvlJc w:val="left"/>
      <w:lvlText w:val="%1."/>
      <w:numFmt w:val="upperLetter"/>
      <w:start w:val="7"/>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2019-12-14T03:29:32Z</dcterms:created>
  <dcterms:modified xsi:type="dcterms:W3CDTF">2019-12-14T03:29:32Z</dcterms:modified>
</cp:coreProperties>
</file>