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6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49465"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268605</wp:posOffset>
            </wp:positionV>
            <wp:extent cx="714946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17145"/>
                    </a:xfrm>
                    <a:prstGeom prst="rect">
                      <a:avLst/>
                    </a:prstGeom>
                    <a:noFill/>
                  </pic:spPr>
                </pic:pic>
              </a:graphicData>
            </a:graphic>
          </wp:anchor>
        </w:drawing>
        <w:t>FORM 6-K</w:t>
      </w:r>
    </w:p>
    <w:p>
      <w:pPr>
        <w:spacing w:after="0" w:line="172" w:lineRule="exact"/>
        <w:rPr>
          <w:sz w:val="24"/>
          <w:szCs w:val="24"/>
          <w:color w:val="auto"/>
        </w:rPr>
      </w:pPr>
    </w:p>
    <w:p>
      <w:pPr>
        <w:jc w:val="center"/>
        <w:ind w:right="-460"/>
        <w:spacing w:after="0"/>
        <w:rPr>
          <w:sz w:val="20"/>
          <w:szCs w:val="20"/>
          <w:color w:val="auto"/>
        </w:rPr>
      </w:pPr>
      <w:r>
        <w:rPr>
          <w:rFonts w:ascii="Arial" w:cs="Arial" w:eastAsia="Arial" w:hAnsi="Arial"/>
          <w:sz w:val="25"/>
          <w:szCs w:val="25"/>
          <w:b w:val="1"/>
          <w:bCs w:val="1"/>
          <w:color w:val="auto"/>
        </w:rPr>
        <w:t>SECURITIES AND EXCHANGE COMMISSION</w:t>
      </w:r>
    </w:p>
    <w:p>
      <w:pPr>
        <w:spacing w:after="0" w:line="234" w:lineRule="exact"/>
        <w:rPr>
          <w:sz w:val="24"/>
          <w:szCs w:val="24"/>
          <w:color w:val="auto"/>
        </w:rPr>
      </w:pPr>
    </w:p>
    <w:p>
      <w:pPr>
        <w:jc w:val="center"/>
        <w:ind w:right="-460"/>
        <w:spacing w:after="0"/>
        <w:rPr>
          <w:sz w:val="20"/>
          <w:szCs w:val="20"/>
          <w:color w:val="auto"/>
        </w:rPr>
      </w:pPr>
      <w:r>
        <w:rPr>
          <w:rFonts w:ascii="Arial" w:cs="Arial" w:eastAsia="Arial" w:hAnsi="Arial"/>
          <w:sz w:val="18"/>
          <w:szCs w:val="18"/>
          <w:color w:val="auto"/>
        </w:rPr>
        <w:t>Washington, D.C. 20549</w:t>
      </w:r>
    </w:p>
    <w:p>
      <w:pPr>
        <w:spacing w:after="0" w:line="225" w:lineRule="exact"/>
        <w:rPr>
          <w:sz w:val="24"/>
          <w:szCs w:val="24"/>
          <w:color w:val="auto"/>
        </w:rPr>
      </w:pPr>
    </w:p>
    <w:p>
      <w:pPr>
        <w:jc w:val="center"/>
        <w:ind w:right="-460"/>
        <w:spacing w:after="0"/>
        <w:rPr>
          <w:sz w:val="20"/>
          <w:szCs w:val="20"/>
          <w:color w:val="auto"/>
        </w:rPr>
      </w:pPr>
      <w:r>
        <w:rPr>
          <w:rFonts w:ascii="Arial" w:cs="Arial" w:eastAsia="Arial" w:hAnsi="Arial"/>
          <w:sz w:val="18"/>
          <w:szCs w:val="18"/>
          <w:color w:val="auto"/>
        </w:rPr>
        <w:t>For the month of March 2021 No.1</w:t>
      </w:r>
    </w:p>
    <w:p>
      <w:pPr>
        <w:spacing w:after="0" w:line="207" w:lineRule="exact"/>
        <w:rPr>
          <w:sz w:val="24"/>
          <w:szCs w:val="24"/>
          <w:color w:val="auto"/>
        </w:rPr>
      </w:pPr>
    </w:p>
    <w:p>
      <w:pPr>
        <w:jc w:val="center"/>
        <w:ind w:right="-460"/>
        <w:spacing w:after="0"/>
        <w:rPr>
          <w:sz w:val="20"/>
          <w:szCs w:val="20"/>
          <w:color w:val="auto"/>
        </w:rPr>
      </w:pPr>
      <w:r>
        <w:rPr>
          <w:rFonts w:ascii="Arial" w:cs="Arial" w:eastAsia="Arial" w:hAnsi="Arial"/>
          <w:sz w:val="29"/>
          <w:szCs w:val="29"/>
          <w:b w:val="1"/>
          <w:bCs w:val="1"/>
          <w:color w:val="auto"/>
        </w:rPr>
        <w:t>TOWER SEMICONDUCTOR LTD.</w:t>
      </w:r>
    </w:p>
    <w:p>
      <w:pPr>
        <w:spacing w:after="0" w:line="62" w:lineRule="exact"/>
        <w:rPr>
          <w:sz w:val="24"/>
          <w:szCs w:val="24"/>
          <w:color w:val="auto"/>
        </w:rPr>
      </w:pPr>
    </w:p>
    <w:p>
      <w:pPr>
        <w:jc w:val="center"/>
        <w:ind w:right="-460"/>
        <w:spacing w:after="0"/>
        <w:rPr>
          <w:sz w:val="20"/>
          <w:szCs w:val="20"/>
          <w:color w:val="auto"/>
        </w:rPr>
      </w:pPr>
      <w:r>
        <w:rPr>
          <w:rFonts w:ascii="Arial" w:cs="Arial" w:eastAsia="Arial" w:hAnsi="Arial"/>
          <w:sz w:val="18"/>
          <w:szCs w:val="18"/>
          <w:color w:val="auto"/>
        </w:rPr>
        <w:t>(Translation of registrant's name into English)</w:t>
      </w:r>
    </w:p>
    <w:p>
      <w:pPr>
        <w:spacing w:after="0" w:line="194" w:lineRule="exact"/>
        <w:rPr>
          <w:sz w:val="24"/>
          <w:szCs w:val="24"/>
          <w:color w:val="auto"/>
        </w:rPr>
      </w:pPr>
    </w:p>
    <w:p>
      <w:pPr>
        <w:jc w:val="center"/>
        <w:ind w:right="-460"/>
        <w:spacing w:after="0"/>
        <w:rPr>
          <w:sz w:val="20"/>
          <w:szCs w:val="20"/>
          <w:color w:val="auto"/>
        </w:rPr>
      </w:pPr>
      <w:r>
        <w:rPr>
          <w:rFonts w:ascii="Arial" w:cs="Arial" w:eastAsia="Arial" w:hAnsi="Arial"/>
          <w:sz w:val="18"/>
          <w:szCs w:val="18"/>
          <w:b w:val="1"/>
          <w:bCs w:val="1"/>
          <w:color w:val="auto"/>
        </w:rPr>
        <w:t>Ramat Gavriel Industrial Park</w:t>
      </w:r>
    </w:p>
    <w:p>
      <w:pPr>
        <w:spacing w:after="0" w:line="27" w:lineRule="exact"/>
        <w:rPr>
          <w:sz w:val="24"/>
          <w:szCs w:val="24"/>
          <w:color w:val="auto"/>
        </w:rPr>
      </w:pPr>
    </w:p>
    <w:p>
      <w:pPr>
        <w:jc w:val="center"/>
        <w:ind w:right="-460"/>
        <w:spacing w:after="0"/>
        <w:rPr>
          <w:sz w:val="20"/>
          <w:szCs w:val="20"/>
          <w:color w:val="auto"/>
        </w:rPr>
      </w:pPr>
      <w:r>
        <w:rPr>
          <w:rFonts w:ascii="Arial" w:cs="Arial" w:eastAsia="Arial" w:hAnsi="Arial"/>
          <w:sz w:val="18"/>
          <w:szCs w:val="18"/>
          <w:b w:val="1"/>
          <w:bCs w:val="1"/>
          <w:color w:val="auto"/>
        </w:rPr>
        <w:t>P.O. Box 619, Migdal Haemek, Israel 2310502</w:t>
      </w:r>
    </w:p>
    <w:p>
      <w:pPr>
        <w:spacing w:after="0" w:line="9" w:lineRule="exact"/>
        <w:rPr>
          <w:sz w:val="24"/>
          <w:szCs w:val="24"/>
          <w:color w:val="auto"/>
        </w:rPr>
      </w:pPr>
    </w:p>
    <w:p>
      <w:pPr>
        <w:jc w:val="center"/>
        <w:ind w:right="-460"/>
        <w:spacing w:after="0"/>
        <w:rPr>
          <w:sz w:val="20"/>
          <w:szCs w:val="20"/>
          <w:color w:val="auto"/>
        </w:rPr>
      </w:pPr>
      <w:r>
        <w:rPr>
          <w:rFonts w:ascii="Arial" w:cs="Arial" w:eastAsia="Arial" w:hAnsi="Arial"/>
          <w:sz w:val="18"/>
          <w:szCs w:val="18"/>
          <w:color w:val="auto"/>
        </w:rPr>
        <w:t>(Address of principal executive offices)</w:t>
      </w:r>
    </w:p>
    <w:p>
      <w:pPr>
        <w:spacing w:after="0" w:line="197" w:lineRule="exact"/>
        <w:rPr>
          <w:sz w:val="24"/>
          <w:szCs w:val="24"/>
          <w:color w:val="auto"/>
        </w:rPr>
      </w:pPr>
    </w:p>
    <w:p>
      <w:pPr>
        <w:ind w:left="3800" w:right="1199" w:hanging="3805"/>
        <w:spacing w:after="0" w:line="334" w:lineRule="exact"/>
        <w:rPr>
          <w:sz w:val="20"/>
          <w:szCs w:val="20"/>
          <w:color w:val="auto"/>
        </w:rPr>
      </w:pPr>
      <w:r>
        <w:rPr>
          <w:rFonts w:ascii="Arial" w:cs="Arial" w:eastAsia="Arial" w:hAnsi="Arial"/>
          <w:sz w:val="18"/>
          <w:szCs w:val="18"/>
          <w:color w:val="auto"/>
        </w:rPr>
        <w:t xml:space="preserve">Indicate by check mark whether the registrant files or will file annual reports under cover Form 20-F or Form 40-F. 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156"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____</w:t>
      </w:r>
    </w:p>
    <w:p>
      <w:pPr>
        <w:spacing w:after="0" w:line="235"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-413385</wp:posOffset>
            </wp:positionH>
            <wp:positionV relativeFrom="paragraph">
              <wp:posOffset>166370</wp:posOffset>
            </wp:positionV>
            <wp:extent cx="7132320"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9479"/>
          </w:cols>
          <w:pgMar w:left="980" w:top="859" w:right="1440" w:bottom="1440" w:gutter="0" w:footer="0" w:header="0"/>
        </w:sectPr>
      </w:pPr>
    </w:p>
    <w:bookmarkStart w:id="1" w:name="page2"/>
    <w:bookmarkEnd w:id="1"/>
    <w:p>
      <w:pPr>
        <w:ind w:left="660"/>
        <w:spacing w:after="0"/>
        <w:rPr>
          <w:sz w:val="20"/>
          <w:szCs w:val="20"/>
          <w:color w:val="auto"/>
        </w:rPr>
      </w:pPr>
      <w:r>
        <w:rPr>
          <w:rFonts w:ascii="Arial" w:cs="Arial" w:eastAsia="Arial" w:hAnsi="Arial"/>
          <w:sz w:val="16"/>
          <w:szCs w:val="16"/>
          <w:color w:val="auto"/>
        </w:rPr>
        <w:t>On March 3, 2021, the Registrant announced its financial results for the year ended December 31, 2020. Attached hereto is the following exhibit.</w:t>
      </w: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00" w:type="dxa"/>
            <w:vAlign w:val="bottom"/>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Exhibit 99.1</w:t>
              </w:r>
            </w:hyperlink>
          </w:p>
        </w:tc>
        <w:tc>
          <w:tcPr>
            <w:tcW w:w="9300" w:type="dxa"/>
            <w:vAlign w:val="bottom"/>
            <w:gridSpan w:val="3"/>
          </w:tcPr>
          <w:p>
            <w:pPr>
              <w:spacing w:after="0"/>
              <w:rPr>
                <w:rFonts w:ascii="Arial" w:cs="Arial" w:eastAsia="Arial" w:hAnsi="Arial"/>
                <w:sz w:val="18"/>
                <w:szCs w:val="18"/>
                <w:color w:val="0000EE"/>
                <w:w w:val="89"/>
              </w:rPr>
            </w:pPr>
            <w:hyperlink w:anchor="page4">
              <w:r>
                <w:rPr>
                  <w:rFonts w:ascii="Arial" w:cs="Arial" w:eastAsia="Arial" w:hAnsi="Arial"/>
                  <w:sz w:val="18"/>
                  <w:szCs w:val="18"/>
                  <w:u w:val="single" w:color="auto"/>
                  <w:color w:val="0000EE"/>
                  <w:w w:val="89"/>
                </w:rPr>
                <w:t>Registrant’s consolidated financial statements as of December 31, 2020 and the report thereon dated March 3, 2021</w:t>
              </w:r>
              <w:r>
                <w:rPr>
                  <w:rFonts w:ascii="Arial" w:cs="Arial" w:eastAsia="Arial" w:hAnsi="Arial"/>
                  <w:sz w:val="18"/>
                  <w:szCs w:val="18"/>
                  <w:color w:val="0000EE"/>
                  <w:w w:val="89"/>
                </w:rPr>
                <w:t xml:space="preserve"> of Brightman</w:t>
              </w:r>
            </w:hyperlink>
          </w:p>
        </w:tc>
      </w:tr>
      <w:tr>
        <w:trPr>
          <w:trHeight w:val="196"/>
        </w:trPr>
        <w:tc>
          <w:tcPr>
            <w:tcW w:w="1700" w:type="dxa"/>
            <w:vAlign w:val="bottom"/>
          </w:tcPr>
          <w:p>
            <w:pPr>
              <w:spacing w:after="0"/>
              <w:rPr>
                <w:sz w:val="17"/>
                <w:szCs w:val="17"/>
                <w:color w:val="auto"/>
              </w:rPr>
            </w:pPr>
          </w:p>
        </w:tc>
        <w:tc>
          <w:tcPr>
            <w:tcW w:w="1600" w:type="dxa"/>
            <w:vAlign w:val="bottom"/>
            <w:tcBorders>
              <w:bottom w:val="single" w:sz="8" w:color="0000EE"/>
            </w:tcBorders>
          </w:tcPr>
          <w:p>
            <w:pPr>
              <w:spacing w:after="0" w:line="196" w:lineRule="exact"/>
              <w:rPr>
                <w:rFonts w:ascii="Arial" w:cs="Arial" w:eastAsia="Arial" w:hAnsi="Arial"/>
                <w:sz w:val="18"/>
                <w:szCs w:val="18"/>
                <w:color w:val="0000EE"/>
                <w:w w:val="93"/>
              </w:rPr>
            </w:pPr>
            <w:hyperlink w:anchor="page4">
              <w:r>
                <w:rPr>
                  <w:rFonts w:ascii="Arial" w:cs="Arial" w:eastAsia="Arial" w:hAnsi="Arial"/>
                  <w:sz w:val="18"/>
                  <w:szCs w:val="18"/>
                  <w:color w:val="0000EE"/>
                  <w:w w:val="93"/>
                </w:rPr>
                <w:t>Almagor Zohar &amp; Co.</w:t>
              </w:r>
            </w:hyperlink>
          </w:p>
        </w:tc>
        <w:tc>
          <w:tcPr>
            <w:tcW w:w="6740" w:type="dxa"/>
            <w:vAlign w:val="bottom"/>
          </w:tcPr>
          <w:p>
            <w:pPr>
              <w:spacing w:after="0"/>
              <w:rPr>
                <w:sz w:val="17"/>
                <w:szCs w:val="17"/>
                <w:color w:val="auto"/>
              </w:rPr>
            </w:pPr>
          </w:p>
        </w:tc>
        <w:tc>
          <w:tcPr>
            <w:tcW w:w="960" w:type="dxa"/>
            <w:vAlign w:val="bottom"/>
            <w:tcBorders>
              <w:top w:val="single" w:sz="8" w:color="0000EE"/>
            </w:tcBorders>
          </w:tcPr>
          <w:p>
            <w:pPr>
              <w:spacing w:after="0"/>
              <w:rPr>
                <w:sz w:val="17"/>
                <w:szCs w:val="17"/>
                <w:color w:val="auto"/>
              </w:rPr>
            </w:pPr>
          </w:p>
        </w:tc>
      </w:tr>
      <w:tr>
        <w:trPr>
          <w:trHeight w:val="453"/>
        </w:trPr>
        <w:tc>
          <w:tcPr>
            <w:tcW w:w="1700" w:type="dxa"/>
            <w:vAlign w:val="bottom"/>
          </w:tcPr>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Exhibit 99.2</w:t>
              </w:r>
            </w:hyperlink>
          </w:p>
        </w:tc>
        <w:tc>
          <w:tcPr>
            <w:tcW w:w="9300" w:type="dxa"/>
            <w:vAlign w:val="bottom"/>
            <w:gridSpan w:val="3"/>
          </w:tcPr>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Management’s Discussion and Analysis of Financial Condition and Results of Operations</w:t>
              </w:r>
            </w:hyperlink>
          </w:p>
        </w:tc>
      </w:tr>
      <w:tr>
        <w:trPr>
          <w:trHeight w:val="432"/>
        </w:trPr>
        <w:tc>
          <w:tcPr>
            <w:tcW w:w="1700" w:type="dxa"/>
            <w:vAlign w:val="bottom"/>
          </w:tcPr>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Exhibit 99.3</w:t>
              </w:r>
            </w:hyperlink>
          </w:p>
        </w:tc>
        <w:tc>
          <w:tcPr>
            <w:tcW w:w="9300" w:type="dxa"/>
            <w:vAlign w:val="bottom"/>
            <w:gridSpan w:val="3"/>
          </w:tcPr>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Consent of Independent Registered Accounting Firm</w:t>
              </w:r>
            </w:hyperlink>
          </w:p>
        </w:tc>
      </w:tr>
    </w:tbl>
    <w:p>
      <w:pPr>
        <w:spacing w:after="0" w:line="17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This Form 6-K, including all exhibits hereto, is hereby incorporated by reference into all effective registration statements filed by us under 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7620" w:type="dxa"/>
            <w:vAlign w:val="bottom"/>
            <w:gridSpan w:val="3"/>
          </w:tcPr>
          <w:p>
            <w:pPr>
              <w:ind w:left="2120"/>
              <w:spacing w:after="0"/>
              <w:rPr>
                <w:sz w:val="20"/>
                <w:szCs w:val="20"/>
                <w:color w:val="auto"/>
              </w:rPr>
            </w:pPr>
            <w:r>
              <w:rPr>
                <w:rFonts w:ascii="Arial" w:cs="Arial" w:eastAsia="Arial" w:hAnsi="Arial"/>
                <w:sz w:val="18"/>
                <w:szCs w:val="18"/>
                <w:b w:val="1"/>
                <w:bCs w:val="1"/>
                <w:color w:val="auto"/>
              </w:rPr>
              <w:t>TOWER SEMICONDUCTOR LTD.</w:t>
            </w:r>
          </w:p>
        </w:tc>
        <w:tc>
          <w:tcPr>
            <w:tcW w:w="20" w:type="dxa"/>
            <w:vAlign w:val="bottom"/>
          </w:tcPr>
          <w:p>
            <w:pPr>
              <w:spacing w:after="0"/>
              <w:rPr>
                <w:sz w:val="20"/>
                <w:szCs w:val="20"/>
                <w:color w:val="auto"/>
              </w:rPr>
            </w:pPr>
          </w:p>
        </w:tc>
      </w:tr>
      <w:tr>
        <w:trPr>
          <w:trHeight w:val="432"/>
        </w:trPr>
        <w:tc>
          <w:tcPr>
            <w:tcW w:w="3620" w:type="dxa"/>
            <w:vAlign w:val="bottom"/>
          </w:tcPr>
          <w:p>
            <w:pPr>
              <w:spacing w:after="0"/>
              <w:rPr>
                <w:sz w:val="20"/>
                <w:szCs w:val="20"/>
                <w:color w:val="auto"/>
              </w:rPr>
            </w:pPr>
            <w:r>
              <w:rPr>
                <w:rFonts w:ascii="Arial" w:cs="Arial" w:eastAsia="Arial" w:hAnsi="Arial"/>
                <w:sz w:val="18"/>
                <w:szCs w:val="18"/>
                <w:color w:val="auto"/>
              </w:rPr>
              <w:t>Date: March 3, 2021</w:t>
            </w:r>
          </w:p>
        </w:tc>
        <w:tc>
          <w:tcPr>
            <w:tcW w:w="2800" w:type="dxa"/>
            <w:vAlign w:val="bottom"/>
          </w:tcPr>
          <w:p>
            <w:pPr>
              <w:ind w:left="2120"/>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Nati Somekh</w:t>
            </w:r>
          </w:p>
        </w:tc>
        <w:tc>
          <w:tcPr>
            <w:tcW w:w="20" w:type="dxa"/>
            <w:vAlign w:val="bottom"/>
          </w:tcPr>
          <w:p>
            <w:pPr>
              <w:spacing w:after="0"/>
              <w:rPr>
                <w:sz w:val="24"/>
                <w:szCs w:val="24"/>
                <w:color w:val="auto"/>
              </w:rPr>
            </w:pPr>
          </w:p>
        </w:tc>
      </w:tr>
      <w:tr>
        <w:trPr>
          <w:trHeight w:val="195"/>
        </w:trPr>
        <w:tc>
          <w:tcPr>
            <w:tcW w:w="362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240" w:type="dxa"/>
            <w:vAlign w:val="bottom"/>
          </w:tcPr>
          <w:p>
            <w:pPr>
              <w:ind w:left="100"/>
              <w:spacing w:after="0" w:line="195" w:lineRule="exact"/>
              <w:rPr>
                <w:sz w:val="20"/>
                <w:szCs w:val="20"/>
                <w:color w:val="auto"/>
              </w:rPr>
            </w:pPr>
            <w:r>
              <w:rPr>
                <w:rFonts w:ascii="Arial" w:cs="Arial" w:eastAsia="Arial" w:hAnsi="Arial"/>
                <w:sz w:val="18"/>
                <w:szCs w:val="18"/>
                <w:color w:val="auto"/>
              </w:rPr>
              <w:t>Nati Somekh</w:t>
            </w:r>
          </w:p>
        </w:tc>
        <w:tc>
          <w:tcPr>
            <w:tcW w:w="20" w:type="dxa"/>
            <w:vAlign w:val="bottom"/>
          </w:tcPr>
          <w:p>
            <w:pPr>
              <w:spacing w:after="0"/>
              <w:rPr>
                <w:sz w:val="16"/>
                <w:szCs w:val="16"/>
                <w:color w:val="auto"/>
              </w:rPr>
            </w:pPr>
          </w:p>
        </w:tc>
      </w:tr>
      <w:tr>
        <w:trPr>
          <w:trHeight w:val="230"/>
        </w:trPr>
        <w:tc>
          <w:tcPr>
            <w:tcW w:w="36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240" w:type="dxa"/>
            <w:vAlign w:val="bottom"/>
          </w:tcPr>
          <w:p>
            <w:pPr>
              <w:ind w:left="100"/>
              <w:spacing w:after="0"/>
              <w:rPr>
                <w:sz w:val="20"/>
                <w:szCs w:val="20"/>
                <w:color w:val="auto"/>
              </w:rPr>
            </w:pPr>
            <w:r>
              <w:rPr>
                <w:rFonts w:ascii="Arial" w:cs="Arial" w:eastAsia="Arial" w:hAnsi="Arial"/>
                <w:sz w:val="18"/>
                <w:szCs w:val="18"/>
                <w:color w:val="auto"/>
              </w:rPr>
              <w:t>Corporate Secretary</w:t>
            </w:r>
          </w:p>
        </w:tc>
        <w:tc>
          <w:tcPr>
            <w:tcW w:w="20" w:type="dxa"/>
            <w:vAlign w:val="bottom"/>
          </w:tcPr>
          <w:p>
            <w:pPr>
              <w:spacing w:after="0"/>
              <w:rPr>
                <w:sz w:val="20"/>
                <w:szCs w:val="20"/>
                <w:color w:val="auto"/>
              </w:rPr>
            </w:pPr>
          </w:p>
        </w:tc>
      </w:tr>
      <w:tr>
        <w:trPr>
          <w:trHeight w:val="189"/>
        </w:trPr>
        <w:tc>
          <w:tcPr>
            <w:tcW w:w="3620" w:type="dxa"/>
            <w:vAlign w:val="bottom"/>
            <w:tcBorders>
              <w:bottom w:val="single" w:sz="8" w:color="EEEEEE"/>
            </w:tcBorders>
          </w:tcPr>
          <w:p>
            <w:pPr>
              <w:spacing w:after="0"/>
              <w:rPr>
                <w:sz w:val="16"/>
                <w:szCs w:val="16"/>
                <w:color w:val="auto"/>
              </w:rPr>
            </w:pPr>
          </w:p>
        </w:tc>
        <w:tc>
          <w:tcPr>
            <w:tcW w:w="2800" w:type="dxa"/>
            <w:vAlign w:val="bottom"/>
            <w:tcBorders>
              <w:bottom w:val="single" w:sz="8" w:color="EEEEEE"/>
            </w:tcBorders>
          </w:tcPr>
          <w:p>
            <w:pPr>
              <w:spacing w:after="0"/>
              <w:rPr>
                <w:sz w:val="16"/>
                <w:szCs w:val="16"/>
                <w:color w:val="auto"/>
              </w:rPr>
            </w:pPr>
          </w:p>
        </w:tc>
        <w:tc>
          <w:tcPr>
            <w:tcW w:w="580" w:type="dxa"/>
            <w:vAlign w:val="bottom"/>
            <w:tcBorders>
              <w:bottom w:val="single" w:sz="8" w:color="EEEEEE"/>
            </w:tcBorders>
          </w:tcPr>
          <w:p>
            <w:pPr>
              <w:spacing w:after="0"/>
              <w:rPr>
                <w:sz w:val="16"/>
                <w:szCs w:val="16"/>
                <w:color w:val="auto"/>
              </w:rPr>
            </w:pPr>
          </w:p>
        </w:tc>
        <w:tc>
          <w:tcPr>
            <w:tcW w:w="4240" w:type="dxa"/>
            <w:vAlign w:val="bottom"/>
            <w:tcBorders>
              <w:bottom w:val="single" w:sz="8" w:color="EEEEEE"/>
            </w:tcBorders>
          </w:tcPr>
          <w:p>
            <w:pPr>
              <w:spacing w:after="0"/>
              <w:rPr>
                <w:sz w:val="16"/>
                <w:szCs w:val="16"/>
                <w:color w:val="auto"/>
              </w:rPr>
            </w:pPr>
          </w:p>
        </w:tc>
        <w:tc>
          <w:tcPr>
            <w:tcW w:w="20" w:type="dxa"/>
            <w:vAlign w:val="bottom"/>
            <w:tcBorders>
              <w:bottom w:val="single" w:sz="8" w:color="EEEEEE"/>
            </w:tcBorders>
          </w:tcPr>
          <w:p>
            <w:pPr>
              <w:spacing w:after="0"/>
              <w:rPr>
                <w:sz w:val="16"/>
                <w:szCs w:val="16"/>
                <w:color w:val="auto"/>
              </w:rPr>
            </w:pPr>
          </w:p>
        </w:tc>
      </w:tr>
      <w:tr>
        <w:trPr>
          <w:trHeight w:val="156"/>
        </w:trPr>
        <w:tc>
          <w:tcPr>
            <w:tcW w:w="3620" w:type="dxa"/>
            <w:vAlign w:val="bottom"/>
            <w:tcBorders>
              <w:bottom w:val="single" w:sz="8" w:color="EEEEEE"/>
            </w:tcBorders>
          </w:tcPr>
          <w:p>
            <w:pPr>
              <w:spacing w:after="0"/>
              <w:rPr>
                <w:sz w:val="13"/>
                <w:szCs w:val="13"/>
                <w:color w:val="auto"/>
              </w:rPr>
            </w:pPr>
          </w:p>
        </w:tc>
        <w:tc>
          <w:tcPr>
            <w:tcW w:w="2800" w:type="dxa"/>
            <w:vAlign w:val="bottom"/>
            <w:tcBorders>
              <w:bottom w:val="single" w:sz="8" w:color="EEEEEE"/>
            </w:tcBorders>
          </w:tcPr>
          <w:p>
            <w:pPr>
              <w:spacing w:after="0"/>
              <w:rPr>
                <w:sz w:val="13"/>
                <w:szCs w:val="13"/>
                <w:color w:val="auto"/>
              </w:rPr>
            </w:pPr>
          </w:p>
        </w:tc>
        <w:tc>
          <w:tcPr>
            <w:tcW w:w="580" w:type="dxa"/>
            <w:vAlign w:val="bottom"/>
            <w:tcBorders>
              <w:bottom w:val="single" w:sz="8" w:color="EEEEEE"/>
            </w:tcBorders>
          </w:tcPr>
          <w:p>
            <w:pPr>
              <w:spacing w:after="0"/>
              <w:rPr>
                <w:sz w:val="13"/>
                <w:szCs w:val="13"/>
                <w:color w:val="auto"/>
              </w:rPr>
            </w:pPr>
          </w:p>
        </w:tc>
        <w:tc>
          <w:tcPr>
            <w:tcW w:w="4240" w:type="dxa"/>
            <w:vAlign w:val="bottom"/>
            <w:tcBorders>
              <w:bottom w:val="single" w:sz="8" w:color="EEEEEE"/>
            </w:tcBorders>
          </w:tcPr>
          <w:p>
            <w:pPr>
              <w:spacing w:after="0"/>
              <w:rPr>
                <w:sz w:val="13"/>
                <w:szCs w:val="13"/>
                <w:color w:val="auto"/>
              </w:rPr>
            </w:pPr>
          </w:p>
        </w:tc>
        <w:tc>
          <w:tcPr>
            <w:tcW w:w="20" w:type="dxa"/>
            <w:vAlign w:val="bottom"/>
            <w:tcBorders>
              <w:bottom w:val="single" w:sz="8" w:color="EEEEEE"/>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4946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7149465"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p>
    <w:p>
      <w:pPr>
        <w:sectPr>
          <w:pgSz w:w="11900" w:h="16838" w:orient="portrait"/>
          <w:cols w:equalWidth="0" w:num="1">
            <w:col w:w="11260"/>
          </w:cols>
          <w:pgMar w:left="320" w:top="283" w:right="3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4946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t>Exhibit 99.1</w:t>
      </w:r>
    </w:p>
    <w:p>
      <w:pPr>
        <w:spacing w:after="0" w:line="171"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TOWER SEMICONDUCTOR LTD.</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CONSOLIDATED FINANCIAL STATEMENTS</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142875</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120"/>
          </w:cols>
          <w:pgMar w:left="1440" w:top="553"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10120" w:type="dxa"/>
            <w:vAlign w:val="bottom"/>
          </w:tcPr>
          <w:p>
            <w:pPr>
              <w:ind w:left="3340"/>
              <w:spacing w:after="0"/>
              <w:rPr>
                <w:sz w:val="20"/>
                <w:szCs w:val="20"/>
                <w:color w:val="auto"/>
              </w:rPr>
            </w:pPr>
            <w:r>
              <w:rPr>
                <w:rFonts w:ascii="Arial" w:cs="Arial" w:eastAsia="Arial" w:hAnsi="Arial"/>
                <w:sz w:val="18"/>
                <w:szCs w:val="18"/>
                <w:b w:val="1"/>
                <w:bCs w:val="1"/>
                <w:color w:val="auto"/>
              </w:rPr>
              <w:t>TOWER SEMICONDUCTOR LTD. AND SUBSIDIARIES</w:t>
            </w: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78"/>
        </w:trPr>
        <w:tc>
          <w:tcPr>
            <w:tcW w:w="10120" w:type="dxa"/>
            <w:vAlign w:val="bottom"/>
          </w:tcPr>
          <w:p>
            <w:pPr>
              <w:ind w:left="3280"/>
              <w:spacing w:after="0"/>
              <w:rPr>
                <w:sz w:val="20"/>
                <w:szCs w:val="20"/>
                <w:color w:val="auto"/>
              </w:rPr>
            </w:pPr>
            <w:r>
              <w:rPr>
                <w:rFonts w:ascii="Arial" w:cs="Arial" w:eastAsia="Arial" w:hAnsi="Arial"/>
                <w:sz w:val="18"/>
                <w:szCs w:val="18"/>
                <w:b w:val="1"/>
                <w:bCs w:val="1"/>
                <w:color w:val="auto"/>
              </w:rPr>
              <w:t>INDEX TO CONSOLIDATED FINANCIAL STATEMENTS</w:t>
            </w: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9"/>
        </w:trPr>
        <w:tc>
          <w:tcPr>
            <w:tcW w:w="10120" w:type="dxa"/>
            <w:vAlign w:val="bottom"/>
          </w:tcPr>
          <w:p>
            <w:pPr>
              <w:spacing w:after="0"/>
              <w:rPr>
                <w:sz w:val="24"/>
                <w:szCs w:val="24"/>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3"/>
              </w:rPr>
              <w:t>Page</w:t>
            </w:r>
          </w:p>
        </w:tc>
      </w:tr>
      <w:tr>
        <w:trPr>
          <w:trHeight w:val="392"/>
        </w:trPr>
        <w:tc>
          <w:tcPr>
            <w:tcW w:w="10120" w:type="dxa"/>
            <w:vAlign w:val="bottom"/>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REPORT OF INDEPENDENT REGISTERED PUBLIC ACCOUNTING FIRM</w:t>
              </w:r>
            </w:hyperlink>
          </w:p>
        </w:tc>
        <w:tc>
          <w:tcPr>
            <w:tcW w:w="1120" w:type="dxa"/>
            <w:vAlign w:val="bottom"/>
            <w:gridSpan w:val="2"/>
          </w:tcPr>
          <w:p>
            <w:pPr>
              <w:jc w:val="center"/>
              <w:spacing w:after="0"/>
              <w:rPr>
                <w:sz w:val="20"/>
                <w:szCs w:val="20"/>
                <w:color w:val="auto"/>
              </w:rPr>
            </w:pPr>
            <w:r>
              <w:rPr>
                <w:rFonts w:ascii="Arial" w:cs="Arial" w:eastAsia="Arial" w:hAnsi="Arial"/>
                <w:sz w:val="18"/>
                <w:szCs w:val="18"/>
                <w:color w:val="auto"/>
                <w:w w:val="88"/>
              </w:rPr>
              <w:t>F-2</w:t>
            </w:r>
          </w:p>
        </w:tc>
      </w:tr>
      <w:tr>
        <w:trPr>
          <w:trHeight w:val="392"/>
        </w:trPr>
        <w:tc>
          <w:tcPr>
            <w:tcW w:w="10120" w:type="dxa"/>
            <w:vAlign w:val="bottom"/>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BALANCE SHEETS</w:t>
              </w:r>
            </w:hyperlink>
          </w:p>
        </w:tc>
        <w:tc>
          <w:tcPr>
            <w:tcW w:w="1120" w:type="dxa"/>
            <w:vAlign w:val="bottom"/>
            <w:gridSpan w:val="2"/>
          </w:tcPr>
          <w:p>
            <w:pPr>
              <w:jc w:val="center"/>
              <w:spacing w:after="0"/>
              <w:rPr>
                <w:sz w:val="20"/>
                <w:szCs w:val="20"/>
                <w:color w:val="auto"/>
              </w:rPr>
            </w:pPr>
            <w:r>
              <w:rPr>
                <w:rFonts w:ascii="Arial" w:cs="Arial" w:eastAsia="Arial" w:hAnsi="Arial"/>
                <w:sz w:val="18"/>
                <w:szCs w:val="18"/>
                <w:color w:val="auto"/>
                <w:w w:val="88"/>
              </w:rPr>
              <w:t>F-4</w:t>
            </w:r>
          </w:p>
        </w:tc>
      </w:tr>
      <w:tr>
        <w:trPr>
          <w:trHeight w:val="392"/>
        </w:trPr>
        <w:tc>
          <w:tcPr>
            <w:tcW w:w="10120" w:type="dxa"/>
            <w:vAlign w:val="bottom"/>
          </w:tcPr>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STATEMENTS OF OPERATIONS</w:t>
              </w:r>
            </w:hyperlink>
          </w:p>
        </w:tc>
        <w:tc>
          <w:tcPr>
            <w:tcW w:w="1120" w:type="dxa"/>
            <w:vAlign w:val="bottom"/>
            <w:gridSpan w:val="2"/>
          </w:tcPr>
          <w:p>
            <w:pPr>
              <w:jc w:val="center"/>
              <w:spacing w:after="0"/>
              <w:rPr>
                <w:sz w:val="20"/>
                <w:szCs w:val="20"/>
                <w:color w:val="auto"/>
              </w:rPr>
            </w:pPr>
            <w:r>
              <w:rPr>
                <w:rFonts w:ascii="Arial" w:cs="Arial" w:eastAsia="Arial" w:hAnsi="Arial"/>
                <w:sz w:val="18"/>
                <w:szCs w:val="18"/>
                <w:color w:val="auto"/>
                <w:w w:val="88"/>
              </w:rPr>
              <w:t>F-5</w:t>
            </w:r>
          </w:p>
        </w:tc>
      </w:tr>
      <w:tr>
        <w:trPr>
          <w:trHeight w:val="392"/>
        </w:trPr>
        <w:tc>
          <w:tcPr>
            <w:tcW w:w="10120" w:type="dxa"/>
            <w:vAlign w:val="bottom"/>
          </w:tcPr>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STATEMENTS OF COMPREHENSIVE INCOME</w:t>
              </w:r>
            </w:hyperlink>
          </w:p>
        </w:tc>
        <w:tc>
          <w:tcPr>
            <w:tcW w:w="1120" w:type="dxa"/>
            <w:vAlign w:val="bottom"/>
            <w:gridSpan w:val="2"/>
          </w:tcPr>
          <w:p>
            <w:pPr>
              <w:jc w:val="center"/>
              <w:spacing w:after="0"/>
              <w:rPr>
                <w:sz w:val="20"/>
                <w:szCs w:val="20"/>
                <w:color w:val="auto"/>
              </w:rPr>
            </w:pPr>
            <w:r>
              <w:rPr>
                <w:rFonts w:ascii="Arial" w:cs="Arial" w:eastAsia="Arial" w:hAnsi="Arial"/>
                <w:sz w:val="18"/>
                <w:szCs w:val="18"/>
                <w:color w:val="auto"/>
                <w:w w:val="88"/>
              </w:rPr>
              <w:t>F-6</w:t>
            </w:r>
          </w:p>
        </w:tc>
      </w:tr>
      <w:tr>
        <w:trPr>
          <w:trHeight w:val="391"/>
        </w:trPr>
        <w:tc>
          <w:tcPr>
            <w:tcW w:w="10120" w:type="dxa"/>
            <w:vAlign w:val="bottom"/>
          </w:tcPr>
          <w:p>
            <w:pPr>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STATEMENTS OF CHANGES IN SHAREHOLDERS' EQUITY</w:t>
              </w:r>
            </w:hyperlink>
          </w:p>
        </w:tc>
        <w:tc>
          <w:tcPr>
            <w:tcW w:w="1120" w:type="dxa"/>
            <w:vAlign w:val="bottom"/>
            <w:gridSpan w:val="2"/>
          </w:tcPr>
          <w:p>
            <w:pPr>
              <w:jc w:val="center"/>
              <w:spacing w:after="0"/>
              <w:rPr>
                <w:sz w:val="20"/>
                <w:szCs w:val="20"/>
                <w:color w:val="auto"/>
              </w:rPr>
            </w:pPr>
            <w:r>
              <w:rPr>
                <w:rFonts w:ascii="Arial" w:cs="Arial" w:eastAsia="Arial" w:hAnsi="Arial"/>
                <w:sz w:val="18"/>
                <w:szCs w:val="18"/>
                <w:color w:val="auto"/>
                <w:w w:val="88"/>
              </w:rPr>
              <w:t>F-7</w:t>
            </w:r>
          </w:p>
        </w:tc>
      </w:tr>
      <w:tr>
        <w:trPr>
          <w:trHeight w:val="392"/>
        </w:trPr>
        <w:tc>
          <w:tcPr>
            <w:tcW w:w="10120" w:type="dxa"/>
            <w:vAlign w:val="bottom"/>
          </w:tcPr>
          <w:p>
            <w:pPr>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STATEMENTS OF CASH FLOWS</w:t>
              </w:r>
            </w:hyperlink>
          </w:p>
        </w:tc>
        <w:tc>
          <w:tcPr>
            <w:tcW w:w="1120" w:type="dxa"/>
            <w:vAlign w:val="bottom"/>
            <w:gridSpan w:val="2"/>
          </w:tcPr>
          <w:p>
            <w:pPr>
              <w:jc w:val="center"/>
              <w:spacing w:after="0"/>
              <w:rPr>
                <w:sz w:val="20"/>
                <w:szCs w:val="20"/>
                <w:color w:val="auto"/>
              </w:rPr>
            </w:pPr>
            <w:r>
              <w:rPr>
                <w:rFonts w:ascii="Arial" w:cs="Arial" w:eastAsia="Arial" w:hAnsi="Arial"/>
                <w:sz w:val="18"/>
                <w:szCs w:val="18"/>
                <w:color w:val="auto"/>
                <w:w w:val="91"/>
              </w:rPr>
              <w:t>F-8 - F-9</w:t>
            </w:r>
          </w:p>
        </w:tc>
      </w:tr>
      <w:tr>
        <w:trPr>
          <w:trHeight w:val="392"/>
        </w:trPr>
        <w:tc>
          <w:tcPr>
            <w:tcW w:w="10120" w:type="dxa"/>
            <w:vAlign w:val="bottom"/>
          </w:tcPr>
          <w:p>
            <w:pPr>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NOTES TO FINANCIAL STATEMENTS</w:t>
              </w:r>
            </w:hyperlink>
          </w:p>
        </w:tc>
        <w:tc>
          <w:tcPr>
            <w:tcW w:w="1120" w:type="dxa"/>
            <w:vAlign w:val="bottom"/>
            <w:gridSpan w:val="2"/>
          </w:tcPr>
          <w:p>
            <w:pPr>
              <w:jc w:val="center"/>
              <w:spacing w:after="0"/>
              <w:rPr>
                <w:sz w:val="20"/>
                <w:szCs w:val="20"/>
                <w:color w:val="auto"/>
              </w:rPr>
            </w:pPr>
            <w:r>
              <w:rPr>
                <w:rFonts w:ascii="Arial" w:cs="Arial" w:eastAsia="Arial" w:hAnsi="Arial"/>
                <w:sz w:val="18"/>
                <w:szCs w:val="18"/>
                <w:color w:val="auto"/>
                <w:w w:val="88"/>
              </w:rPr>
              <w:t>F-10 - F-50</w:t>
            </w:r>
          </w:p>
        </w:tc>
      </w:tr>
      <w:tr>
        <w:trPr>
          <w:trHeight w:val="243"/>
        </w:trPr>
        <w:tc>
          <w:tcPr>
            <w:tcW w:w="10120" w:type="dxa"/>
            <w:vAlign w:val="bottom"/>
            <w:tcBorders>
              <w:bottom w:val="single" w:sz="8" w:color="EEEEEE"/>
            </w:tcBorders>
          </w:tcPr>
          <w:p>
            <w:pPr>
              <w:spacing w:after="0"/>
              <w:rPr>
                <w:sz w:val="21"/>
                <w:szCs w:val="21"/>
                <w:color w:val="auto"/>
              </w:rPr>
            </w:pPr>
          </w:p>
        </w:tc>
        <w:tc>
          <w:tcPr>
            <w:tcW w:w="1100" w:type="dxa"/>
            <w:vAlign w:val="bottom"/>
            <w:tcBorders>
              <w:bottom w:val="single" w:sz="8" w:color="EEEEEE"/>
            </w:tcBorders>
          </w:tcPr>
          <w:p>
            <w:pPr>
              <w:spacing w:after="0"/>
              <w:rPr>
                <w:sz w:val="21"/>
                <w:szCs w:val="21"/>
                <w:color w:val="auto"/>
              </w:rPr>
            </w:pPr>
          </w:p>
        </w:tc>
        <w:tc>
          <w:tcPr>
            <w:tcW w:w="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148715" cy="2654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148715" cy="265430"/>
                    </a:xfrm>
                    <a:prstGeom prst="rect">
                      <a:avLst/>
                    </a:prstGeom>
                    <a:noFill/>
                  </pic:spPr>
                </pic:pic>
              </a:graphicData>
            </a:graphic>
          </wp:anchor>
        </w:drawing>
        <w:t>REPORT OF INDEPENDENT REGISTERED PUBLIC ACCOUNTING FIRM</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Tower Semiconductor Ltd.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accompanying consolidated balance sheets of Tower Semiconductor Ltd. and subsidiaries (the "Company") as of December 31, 2020 and 2019, the related consolidated statements of operations, comprehensive income, shareholders' equity and cash flows, for each of the three years in the period ended December 31, 2020, and the related notes (collectively referred to as the "financial statements"). In our opinion, the financial statements present fairly, in all material respects, the financial position of the Company as of December 31, 2020 and 2019, and the results of its operations and its cash flows for each of the three years in the period ended December 31, 2020, in conformity with accounting principles generally accepted in the United States of America.</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1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1539240</wp:posOffset>
            </wp:positionH>
            <wp:positionV relativeFrom="paragraph">
              <wp:posOffset>111125</wp:posOffset>
            </wp:positionV>
            <wp:extent cx="4046220" cy="10198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046220" cy="1019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148715" cy="265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148715" cy="265430"/>
                    </a:xfrm>
                    <a:prstGeom prst="rect">
                      <a:avLst/>
                    </a:prstGeom>
                    <a:noFill/>
                  </pic:spPr>
                </pic:pic>
              </a:graphicData>
            </a:graphic>
          </wp:anchor>
        </w:drawing>
        <w:t>Income Taxes — Income Tax Provision — Refer to Note 19 to the financial statements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 Description</w:t>
      </w:r>
    </w:p>
    <w:p>
      <w:pPr>
        <w:spacing w:after="0" w:line="2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provision for income taxes is affected by income taxes in a multinational tax environment. The income tax provision is an estimate determined based on current enacted tax laws and tax rates at each of its geographic locations with the use of acceptable allocation methodologies based upon the Company’s organizational structure, the Company’s operations and business mode of work, and result in applicable local taxable income attributable to those locations. For the year - ended December 31, 2020, the consolidated provision for income taxes was $5.4 million comprised of amounts related to Israel, Japan and U.S. operations, as detailed in Note 19.</w:t>
      </w:r>
    </w:p>
    <w:p>
      <w:pPr>
        <w:spacing w:after="0" w:line="16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identified management’s determination of the taxable income and its related income tax provision as a critical audit matter because of the significant judgements and estimates management makes related to the charges between the sites located in different tax jurisdictions, the consideration of different tax status in each jurisdiction. This required a high degree of auditor judgement and an increased extent of effort, including the need to involve our income tax specialists, when performing audit procedures to evaluate the reasonableness of management’s estimate of the income tax provision.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the Critical Audit Matter was addressed in the Audit</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Our audit procedures related to the determination of the taxable income allocation and income tax provision included the following, among others:</w:t>
      </w:r>
    </w:p>
    <w:p>
      <w:pPr>
        <w:spacing w:after="0" w:line="210" w:lineRule="exact"/>
        <w:rPr>
          <w:sz w:val="20"/>
          <w:szCs w:val="20"/>
          <w:color w:val="auto"/>
        </w:rPr>
      </w:pPr>
    </w:p>
    <w:p>
      <w:pPr>
        <w:jc w:val="both"/>
        <w:ind w:left="340" w:right="280" w:hanging="332"/>
        <w:spacing w:after="0" w:line="263"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obtained the taxable income allocation used in calculating the income tax provision and tested that the taxable income allocation between Israel and corporate operations and the other subsidiaries is appropriate based on the specified services and margins determined in the Company's transfer pricing studies</w:t>
      </w:r>
    </w:p>
    <w:p>
      <w:pPr>
        <w:spacing w:after="0" w:line="170" w:lineRule="exact"/>
        <w:rPr>
          <w:rFonts w:ascii="Arial" w:cs="Arial" w:eastAsia="Arial" w:hAnsi="Arial"/>
          <w:sz w:val="18"/>
          <w:szCs w:val="18"/>
          <w:color w:val="auto"/>
        </w:rPr>
      </w:pPr>
    </w:p>
    <w:p>
      <w:pPr>
        <w:ind w:left="340" w:right="52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tested the effectiveness of controls over the Company’s process to allocate its taxable income between the different subsidiaries based on the Company's transfer pricing studies.</w:t>
      </w:r>
    </w:p>
    <w:p>
      <w:pPr>
        <w:spacing w:after="0" w:line="156" w:lineRule="exact"/>
        <w:rPr>
          <w:rFonts w:ascii="Arial" w:cs="Arial" w:eastAsia="Arial" w:hAnsi="Arial"/>
          <w:sz w:val="18"/>
          <w:szCs w:val="18"/>
          <w:color w:val="auto"/>
        </w:rPr>
      </w:pPr>
    </w:p>
    <w:p>
      <w:pPr>
        <w:ind w:left="340" w:right="36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read and evaluated management’s documentation, including information obtained by management from outside tax specialists that detailed the basis of the uncertain tax positions.</w:t>
      </w:r>
    </w:p>
    <w:p>
      <w:pPr>
        <w:spacing w:after="0" w:line="143"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With the assistance of our income tax specialists we evaluated:</w:t>
      </w:r>
    </w:p>
    <w:p>
      <w:pPr>
        <w:spacing w:after="0" w:line="211" w:lineRule="exact"/>
        <w:rPr>
          <w:rFonts w:ascii="Arial" w:cs="Arial" w:eastAsia="Arial" w:hAnsi="Arial"/>
          <w:sz w:val="18"/>
          <w:szCs w:val="18"/>
          <w:color w:val="auto"/>
        </w:rPr>
      </w:pPr>
    </w:p>
    <w:p>
      <w:pPr>
        <w:ind w:left="660" w:right="280" w:hanging="328"/>
        <w:spacing w:after="0" w:line="277" w:lineRule="auto"/>
        <w:tabs>
          <w:tab w:leader="none" w:pos="660" w:val="left"/>
        </w:tabs>
        <w:numPr>
          <w:ilvl w:val="1"/>
          <w:numId w:val="1"/>
        </w:numPr>
        <w:rPr>
          <w:rFonts w:ascii="Arial" w:cs="Arial" w:eastAsia="Arial" w:hAnsi="Arial"/>
          <w:sz w:val="18"/>
          <w:szCs w:val="18"/>
          <w:color w:val="auto"/>
        </w:rPr>
      </w:pPr>
      <w:r>
        <w:rPr>
          <w:rFonts w:ascii="Arial" w:cs="Arial" w:eastAsia="Arial" w:hAnsi="Arial"/>
          <w:sz w:val="18"/>
          <w:szCs w:val="18"/>
          <w:color w:val="auto"/>
        </w:rPr>
        <w:t>The appropriateness of the ranges of outcomes utilized and the pricing conclusions reached within the transfer pricing studies conducted by the Company's outside tax specialists.</w:t>
      </w:r>
    </w:p>
    <w:p>
      <w:pPr>
        <w:spacing w:after="0" w:line="156" w:lineRule="exact"/>
        <w:rPr>
          <w:rFonts w:ascii="Arial" w:cs="Arial" w:eastAsia="Arial" w:hAnsi="Arial"/>
          <w:sz w:val="18"/>
          <w:szCs w:val="18"/>
          <w:color w:val="auto"/>
        </w:rPr>
      </w:pPr>
    </w:p>
    <w:p>
      <w:pPr>
        <w:ind w:left="660" w:hanging="328"/>
        <w:spacing w:after="0"/>
        <w:tabs>
          <w:tab w:leader="none" w:pos="660" w:val="left"/>
        </w:tabs>
        <w:numPr>
          <w:ilvl w:val="1"/>
          <w:numId w:val="1"/>
        </w:numPr>
        <w:rPr>
          <w:rFonts w:ascii="Arial" w:cs="Arial" w:eastAsia="Arial" w:hAnsi="Arial"/>
          <w:sz w:val="18"/>
          <w:szCs w:val="18"/>
          <w:color w:val="auto"/>
        </w:rPr>
      </w:pPr>
      <w:r>
        <w:rPr>
          <w:rFonts w:ascii="Arial" w:cs="Arial" w:eastAsia="Arial" w:hAnsi="Arial"/>
          <w:sz w:val="18"/>
          <w:szCs w:val="18"/>
          <w:color w:val="auto"/>
        </w:rPr>
        <w:t>The transfer pricing methodology utilized by management with alternative methodologies and industry benchmarks.</w:t>
      </w:r>
    </w:p>
    <w:p>
      <w:pPr>
        <w:spacing w:after="0" w:line="198" w:lineRule="exact"/>
        <w:rPr>
          <w:rFonts w:ascii="Arial" w:cs="Arial" w:eastAsia="Arial" w:hAnsi="Arial"/>
          <w:sz w:val="18"/>
          <w:szCs w:val="18"/>
          <w:color w:val="auto"/>
        </w:rPr>
      </w:pPr>
    </w:p>
    <w:p>
      <w:pPr>
        <w:ind w:left="660" w:right="760" w:hanging="328"/>
        <w:spacing w:after="0" w:line="277" w:lineRule="auto"/>
        <w:tabs>
          <w:tab w:leader="none" w:pos="660" w:val="left"/>
        </w:tabs>
        <w:numPr>
          <w:ilvl w:val="1"/>
          <w:numId w:val="1"/>
        </w:numPr>
        <w:rPr>
          <w:rFonts w:ascii="Arial" w:cs="Arial" w:eastAsia="Arial" w:hAnsi="Arial"/>
          <w:sz w:val="18"/>
          <w:szCs w:val="18"/>
          <w:color w:val="auto"/>
        </w:rPr>
      </w:pPr>
      <w:r>
        <w:rPr>
          <w:rFonts w:ascii="Arial" w:cs="Arial" w:eastAsia="Arial" w:hAnsi="Arial"/>
          <w:sz w:val="18"/>
          <w:szCs w:val="18"/>
          <w:color w:val="auto"/>
        </w:rPr>
        <w:t>The relevant facts by reading the Company’s correspondence with the relevant tax authorities and any third-party advice obtained by the Company.</w:t>
      </w:r>
    </w:p>
    <w:p>
      <w:pPr>
        <w:spacing w:after="0" w:line="156" w:lineRule="exact"/>
        <w:rPr>
          <w:rFonts w:ascii="Arial" w:cs="Arial" w:eastAsia="Arial" w:hAnsi="Arial"/>
          <w:sz w:val="18"/>
          <w:szCs w:val="18"/>
          <w:color w:val="auto"/>
        </w:rPr>
      </w:pPr>
    </w:p>
    <w:p>
      <w:pPr>
        <w:ind w:left="660" w:right="220" w:hanging="328"/>
        <w:spacing w:after="0" w:line="277" w:lineRule="auto"/>
        <w:tabs>
          <w:tab w:leader="none" w:pos="660" w:val="left"/>
        </w:tabs>
        <w:numPr>
          <w:ilvl w:val="1"/>
          <w:numId w:val="1"/>
        </w:numPr>
        <w:rPr>
          <w:rFonts w:ascii="Arial" w:cs="Arial" w:eastAsia="Arial" w:hAnsi="Arial"/>
          <w:sz w:val="18"/>
          <w:szCs w:val="18"/>
          <w:color w:val="auto"/>
        </w:rPr>
      </w:pPr>
      <w:r>
        <w:rPr>
          <w:rFonts w:ascii="Arial" w:cs="Arial" w:eastAsia="Arial" w:hAnsi="Arial"/>
          <w:sz w:val="18"/>
          <w:szCs w:val="18"/>
          <w:color w:val="auto"/>
        </w:rPr>
        <w:t>The Company’s measurement of uncertain tax positions related to transfer pricing based on our knowledge of international and local income tax laws, as well as historical settlement activity from income tax authorities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1611630" cy="411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1163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Brightman Almagor Zohar &amp; Co.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Certified Public Accountants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Firm in The Deloitte Global Network</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Tel Aviv, Israel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3, 2021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1993.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 w:name="page8"/>
    <w:bookmarkEnd w:id="7"/>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and shares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As of</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As of</w:t>
            </w:r>
          </w:p>
        </w:tc>
      </w:tr>
      <w:tr>
        <w:trPr>
          <w:trHeight w:val="241"/>
        </w:trPr>
        <w:tc>
          <w:tcPr>
            <w:tcW w:w="8440" w:type="dxa"/>
            <w:vAlign w:val="bottom"/>
          </w:tcPr>
          <w:p>
            <w:pPr>
              <w:spacing w:after="0"/>
              <w:rPr>
                <w:sz w:val="20"/>
                <w:szCs w:val="20"/>
                <w:color w:val="auto"/>
              </w:rPr>
            </w:pPr>
          </w:p>
        </w:tc>
        <w:tc>
          <w:tcPr>
            <w:tcW w:w="13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December 31,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December 31,</w:t>
            </w:r>
          </w:p>
        </w:tc>
      </w:tr>
      <w:tr>
        <w:trPr>
          <w:trHeight w:val="223"/>
        </w:trPr>
        <w:tc>
          <w:tcPr>
            <w:tcW w:w="844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9"/>
              </w:rPr>
              <w:t>2020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19"/>
                <w:szCs w:val="19"/>
                <w:color w:val="auto"/>
              </w:rPr>
            </w:pPr>
          </w:p>
        </w:tc>
      </w:tr>
      <w:tr>
        <w:trPr>
          <w:trHeight w:val="216"/>
        </w:trPr>
        <w:tc>
          <w:tcPr>
            <w:tcW w:w="8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CURRENT ASSETS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ind w:left="300"/>
              <w:spacing w:after="0"/>
              <w:rPr>
                <w:sz w:val="20"/>
                <w:szCs w:val="20"/>
                <w:color w:val="auto"/>
              </w:rPr>
            </w:pPr>
            <w:r>
              <w:rPr>
                <w:rFonts w:ascii="Arial" w:cs="Arial" w:eastAsia="Arial" w:hAnsi="Arial"/>
                <w:sz w:val="18"/>
                <w:szCs w:val="18"/>
                <w:b w:val="1"/>
                <w:bCs w:val="1"/>
                <w:color w:val="auto"/>
              </w:rPr>
              <w:t>Cash and cash equivalents</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211,683</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355,561</w:t>
            </w:r>
          </w:p>
        </w:tc>
      </w:tr>
      <w:tr>
        <w:trPr>
          <w:trHeight w:val="216"/>
        </w:trPr>
        <w:tc>
          <w:tcPr>
            <w:tcW w:w="844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Short-term interest-bearing deposits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310,230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215,609</w:t>
            </w:r>
          </w:p>
        </w:tc>
      </w:tr>
      <w:tr>
        <w:trPr>
          <w:trHeight w:val="216"/>
        </w:trPr>
        <w:tc>
          <w:tcPr>
            <w:tcW w:w="8440" w:type="dxa"/>
            <w:vAlign w:val="bottom"/>
          </w:tcPr>
          <w:p>
            <w:pPr>
              <w:ind w:left="300"/>
              <w:spacing w:after="0"/>
              <w:rPr>
                <w:sz w:val="20"/>
                <w:szCs w:val="20"/>
                <w:color w:val="auto"/>
              </w:rPr>
            </w:pPr>
            <w:r>
              <w:rPr>
                <w:rFonts w:ascii="Arial" w:cs="Arial" w:eastAsia="Arial" w:hAnsi="Arial"/>
                <w:sz w:val="18"/>
                <w:szCs w:val="18"/>
                <w:b w:val="1"/>
                <w:bCs w:val="1"/>
                <w:color w:val="auto"/>
              </w:rPr>
              <w:t>Marketable securities (*)</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188,967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176,070</w:t>
            </w:r>
          </w:p>
        </w:tc>
      </w:tr>
      <w:tr>
        <w:trPr>
          <w:trHeight w:val="216"/>
        </w:trPr>
        <w:tc>
          <w:tcPr>
            <w:tcW w:w="844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Trade accounts receivables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162,100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126,966</w:t>
            </w:r>
          </w:p>
        </w:tc>
      </w:tr>
      <w:tr>
        <w:trPr>
          <w:trHeight w:val="216"/>
        </w:trPr>
        <w:tc>
          <w:tcPr>
            <w:tcW w:w="8440" w:type="dxa"/>
            <w:vAlign w:val="bottom"/>
          </w:tcPr>
          <w:p>
            <w:pPr>
              <w:ind w:left="300"/>
              <w:spacing w:after="0"/>
              <w:rPr>
                <w:sz w:val="20"/>
                <w:szCs w:val="20"/>
                <w:color w:val="auto"/>
              </w:rPr>
            </w:pPr>
            <w:r>
              <w:rPr>
                <w:rFonts w:ascii="Arial" w:cs="Arial" w:eastAsia="Arial" w:hAnsi="Arial"/>
                <w:sz w:val="18"/>
                <w:szCs w:val="18"/>
                <w:b w:val="1"/>
                <w:bCs w:val="1"/>
                <w:color w:val="auto"/>
              </w:rPr>
              <w:t>Inventories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199,126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192,256</w:t>
            </w:r>
          </w:p>
        </w:tc>
      </w:tr>
      <w:tr>
        <w:trPr>
          <w:trHeight w:val="223"/>
        </w:trPr>
        <w:tc>
          <w:tcPr>
            <w:tcW w:w="84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b w:val="1"/>
                <w:bCs w:val="1"/>
                <w:color w:val="auto"/>
              </w:rPr>
              <w:t>Other 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30,810</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22,019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440" w:type="dxa"/>
            <w:vAlign w:val="bottom"/>
          </w:tcPr>
          <w:p>
            <w:pPr>
              <w:ind w:left="440"/>
              <w:spacing w:after="0"/>
              <w:rPr>
                <w:sz w:val="20"/>
                <w:szCs w:val="20"/>
                <w:color w:val="auto"/>
              </w:rPr>
            </w:pPr>
            <w:r>
              <w:rPr>
                <w:rFonts w:ascii="Arial" w:cs="Arial" w:eastAsia="Arial" w:hAnsi="Arial"/>
                <w:sz w:val="18"/>
                <w:szCs w:val="18"/>
                <w:b w:val="1"/>
                <w:bCs w:val="1"/>
                <w:color w:val="auto"/>
              </w:rPr>
              <w:t>Total current assets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1,102,916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1,088,481</w:t>
            </w:r>
          </w:p>
        </w:tc>
        <w:tc>
          <w:tcPr>
            <w:tcW w:w="100" w:type="dxa"/>
            <w:vAlign w:val="bottom"/>
          </w:tcPr>
          <w:p>
            <w:pPr>
              <w:spacing w:after="0"/>
              <w:rPr>
                <w:sz w:val="19"/>
                <w:szCs w:val="19"/>
                <w:color w:val="auto"/>
              </w:rPr>
            </w:pPr>
          </w:p>
        </w:tc>
      </w:tr>
      <w:tr>
        <w:trPr>
          <w:trHeight w:val="216"/>
        </w:trPr>
        <w:tc>
          <w:tcPr>
            <w:tcW w:w="8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r>
      <w:tr>
        <w:trPr>
          <w:trHeight w:val="223"/>
        </w:trPr>
        <w:tc>
          <w:tcPr>
            <w:tcW w:w="8440" w:type="dxa"/>
            <w:vAlign w:val="bottom"/>
          </w:tcPr>
          <w:p>
            <w:pPr>
              <w:ind w:left="160"/>
              <w:spacing w:after="0"/>
              <w:rPr>
                <w:sz w:val="20"/>
                <w:szCs w:val="20"/>
                <w:color w:val="auto"/>
              </w:rPr>
            </w:pPr>
            <w:r>
              <w:rPr>
                <w:rFonts w:ascii="Arial" w:cs="Arial" w:eastAsia="Arial" w:hAnsi="Arial"/>
                <w:sz w:val="18"/>
                <w:szCs w:val="18"/>
                <w:b w:val="1"/>
                <w:bCs w:val="1"/>
                <w:color w:val="auto"/>
              </w:rPr>
              <w:t>LONG-TERM INVESTMENTS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40,699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40,085</w:t>
            </w:r>
          </w:p>
        </w:tc>
        <w:tc>
          <w:tcPr>
            <w:tcW w:w="100" w:type="dxa"/>
            <w:vAlign w:val="bottom"/>
          </w:tcPr>
          <w:p>
            <w:pPr>
              <w:spacing w:after="0"/>
              <w:rPr>
                <w:sz w:val="19"/>
                <w:szCs w:val="19"/>
                <w:color w:val="auto"/>
              </w:rPr>
            </w:pPr>
          </w:p>
        </w:tc>
      </w:tr>
      <w:tr>
        <w:trPr>
          <w:trHeight w:val="216"/>
        </w:trPr>
        <w:tc>
          <w:tcPr>
            <w:tcW w:w="8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r>
      <w:tr>
        <w:trPr>
          <w:trHeight w:val="223"/>
        </w:trPr>
        <w:tc>
          <w:tcPr>
            <w:tcW w:w="8440" w:type="dxa"/>
            <w:vAlign w:val="bottom"/>
          </w:tcPr>
          <w:p>
            <w:pPr>
              <w:ind w:left="160"/>
              <w:spacing w:after="0"/>
              <w:rPr>
                <w:sz w:val="20"/>
                <w:szCs w:val="20"/>
                <w:color w:val="auto"/>
              </w:rPr>
            </w:pPr>
            <w:r>
              <w:rPr>
                <w:rFonts w:ascii="Arial" w:cs="Arial" w:eastAsia="Arial" w:hAnsi="Arial"/>
                <w:sz w:val="18"/>
                <w:szCs w:val="18"/>
                <w:b w:val="1"/>
                <w:bCs w:val="1"/>
                <w:color w:val="auto"/>
              </w:rPr>
              <w:t>PROPERTY AND EQUIPMENT, NET</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839,171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681,939</w:t>
            </w:r>
          </w:p>
        </w:tc>
        <w:tc>
          <w:tcPr>
            <w:tcW w:w="100" w:type="dxa"/>
            <w:vAlign w:val="bottom"/>
          </w:tcPr>
          <w:p>
            <w:pPr>
              <w:spacing w:after="0"/>
              <w:rPr>
                <w:sz w:val="19"/>
                <w:szCs w:val="19"/>
                <w:color w:val="auto"/>
              </w:rPr>
            </w:pPr>
          </w:p>
        </w:tc>
      </w:tr>
      <w:tr>
        <w:trPr>
          <w:trHeight w:val="216"/>
        </w:trPr>
        <w:tc>
          <w:tcPr>
            <w:tcW w:w="8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r>
      <w:tr>
        <w:trPr>
          <w:trHeight w:val="223"/>
        </w:trPr>
        <w:tc>
          <w:tcPr>
            <w:tcW w:w="8440" w:type="dxa"/>
            <w:vAlign w:val="bottom"/>
          </w:tcPr>
          <w:p>
            <w:pPr>
              <w:ind w:left="160"/>
              <w:spacing w:after="0"/>
              <w:rPr>
                <w:sz w:val="20"/>
                <w:szCs w:val="20"/>
                <w:color w:val="auto"/>
              </w:rPr>
            </w:pPr>
            <w:r>
              <w:rPr>
                <w:rFonts w:ascii="Arial" w:cs="Arial" w:eastAsia="Arial" w:hAnsi="Arial"/>
                <w:sz w:val="18"/>
                <w:szCs w:val="18"/>
                <w:b w:val="1"/>
                <w:bCs w:val="1"/>
                <w:color w:val="auto"/>
              </w:rPr>
              <w:t>INTANGIBLE ASSETS, NET</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10,962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10,281</w:t>
            </w:r>
          </w:p>
        </w:tc>
        <w:tc>
          <w:tcPr>
            <w:tcW w:w="100" w:type="dxa"/>
            <w:vAlign w:val="bottom"/>
          </w:tcPr>
          <w:p>
            <w:pPr>
              <w:spacing w:after="0"/>
              <w:rPr>
                <w:sz w:val="19"/>
                <w:szCs w:val="19"/>
                <w:color w:val="auto"/>
              </w:rPr>
            </w:pPr>
          </w:p>
        </w:tc>
      </w:tr>
      <w:tr>
        <w:trPr>
          <w:trHeight w:val="216"/>
        </w:trPr>
        <w:tc>
          <w:tcPr>
            <w:tcW w:w="8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r>
      <w:tr>
        <w:trPr>
          <w:trHeight w:val="223"/>
        </w:trPr>
        <w:tc>
          <w:tcPr>
            <w:tcW w:w="8440" w:type="dxa"/>
            <w:vAlign w:val="bottom"/>
          </w:tcPr>
          <w:p>
            <w:pPr>
              <w:ind w:left="160"/>
              <w:spacing w:after="0"/>
              <w:rPr>
                <w:sz w:val="20"/>
                <w:szCs w:val="20"/>
                <w:color w:val="auto"/>
              </w:rPr>
            </w:pPr>
            <w:r>
              <w:rPr>
                <w:rFonts w:ascii="Arial" w:cs="Arial" w:eastAsia="Arial" w:hAnsi="Arial"/>
                <w:sz w:val="18"/>
                <w:szCs w:val="18"/>
                <w:b w:val="1"/>
                <w:bCs w:val="1"/>
                <w:color w:val="auto"/>
              </w:rPr>
              <w:t>GOODWILL</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7,000</w:t>
            </w:r>
          </w:p>
        </w:tc>
        <w:tc>
          <w:tcPr>
            <w:tcW w:w="100" w:type="dxa"/>
            <w:vAlign w:val="bottom"/>
          </w:tcPr>
          <w:p>
            <w:pPr>
              <w:spacing w:after="0"/>
              <w:rPr>
                <w:sz w:val="19"/>
                <w:szCs w:val="19"/>
                <w:color w:val="auto"/>
              </w:rPr>
            </w:pPr>
          </w:p>
        </w:tc>
      </w:tr>
      <w:tr>
        <w:trPr>
          <w:trHeight w:val="216"/>
        </w:trPr>
        <w:tc>
          <w:tcPr>
            <w:tcW w:w="8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r>
      <w:tr>
        <w:trPr>
          <w:trHeight w:val="216"/>
        </w:trPr>
        <w:tc>
          <w:tcPr>
            <w:tcW w:w="8440" w:type="dxa"/>
            <w:vAlign w:val="bottom"/>
          </w:tcPr>
          <w:p>
            <w:pPr>
              <w:ind w:left="160"/>
              <w:spacing w:after="0"/>
              <w:rPr>
                <w:sz w:val="20"/>
                <w:szCs w:val="20"/>
                <w:color w:val="auto"/>
              </w:rPr>
            </w:pPr>
            <w:r>
              <w:rPr>
                <w:rFonts w:ascii="Arial" w:cs="Arial" w:eastAsia="Arial" w:hAnsi="Arial"/>
                <w:sz w:val="18"/>
                <w:szCs w:val="18"/>
                <w:b w:val="1"/>
                <w:bCs w:val="1"/>
                <w:color w:val="auto"/>
              </w:rPr>
              <w:t>DEFERRED TAX AND OTHER LONG-TERM ASSETS, NET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93,401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105,047</w:t>
            </w:r>
          </w:p>
        </w:tc>
      </w:tr>
      <w:tr>
        <w:trPr>
          <w:trHeight w:val="20"/>
        </w:trPr>
        <w:tc>
          <w:tcPr>
            <w:tcW w:w="84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gridSpan w:val="2"/>
            <w:shd w:val="clear" w:color="auto" w:fill="CCEEFF"/>
          </w:tcPr>
          <w:p>
            <w:pPr>
              <w:spacing w:after="0"/>
              <w:rPr>
                <w:sz w:val="17"/>
                <w:szCs w:val="17"/>
                <w:color w:val="auto"/>
              </w:rPr>
            </w:pPr>
          </w:p>
        </w:tc>
        <w:tc>
          <w:tcPr>
            <w:tcW w:w="1240" w:type="dxa"/>
            <w:vAlign w:val="bottom"/>
            <w:gridSpan w:val="2"/>
            <w:shd w:val="clear" w:color="auto" w:fill="CCEEFF"/>
          </w:tcPr>
          <w:p>
            <w:pPr>
              <w:spacing w:after="0"/>
              <w:rPr>
                <w:sz w:val="17"/>
                <w:szCs w:val="17"/>
                <w:color w:val="auto"/>
              </w:rPr>
            </w:pPr>
          </w:p>
        </w:tc>
      </w:tr>
      <w:tr>
        <w:trPr>
          <w:trHeight w:val="216"/>
        </w:trPr>
        <w:tc>
          <w:tcPr>
            <w:tcW w:w="8440" w:type="dxa"/>
            <w:vAlign w:val="bottom"/>
          </w:tcPr>
          <w:p>
            <w:pPr>
              <w:ind w:left="580"/>
              <w:spacing w:after="0"/>
              <w:rPr>
                <w:sz w:val="20"/>
                <w:szCs w:val="20"/>
                <w:color w:val="auto"/>
              </w:rPr>
            </w:pPr>
            <w:r>
              <w:rPr>
                <w:rFonts w:ascii="Arial" w:cs="Arial" w:eastAsia="Arial" w:hAnsi="Arial"/>
                <w:sz w:val="18"/>
                <w:szCs w:val="18"/>
                <w:b w:val="1"/>
                <w:bCs w:val="1"/>
                <w:color w:val="auto"/>
              </w:rPr>
              <w:t>TOTAL ASSETS</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2,094,149</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1,932,833</w:t>
            </w:r>
          </w:p>
        </w:tc>
      </w:tr>
      <w:tr>
        <w:trPr>
          <w:trHeight w:val="20"/>
        </w:trPr>
        <w:tc>
          <w:tcPr>
            <w:tcW w:w="84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ind w:left="160"/>
              <w:spacing w:after="0"/>
              <w:rPr>
                <w:sz w:val="20"/>
                <w:szCs w:val="20"/>
                <w:color w:val="auto"/>
              </w:rPr>
            </w:pPr>
            <w:r>
              <w:rPr>
                <w:rFonts w:ascii="Arial" w:cs="Arial" w:eastAsia="Arial" w:hAnsi="Arial"/>
                <w:sz w:val="18"/>
                <w:szCs w:val="18"/>
                <w:b w:val="1"/>
                <w:bCs w:val="1"/>
                <w:color w:val="auto"/>
              </w:rPr>
              <w:t>CURRENT LIABILITIES</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Current maturities of long-term debt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106,513</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65,932</w:t>
            </w:r>
          </w:p>
        </w:tc>
      </w:tr>
      <w:tr>
        <w:trPr>
          <w:trHeight w:val="216"/>
        </w:trPr>
        <w:tc>
          <w:tcPr>
            <w:tcW w:w="8440" w:type="dxa"/>
            <w:vAlign w:val="bottom"/>
          </w:tcPr>
          <w:p>
            <w:pPr>
              <w:ind w:left="300"/>
              <w:spacing w:after="0"/>
              <w:rPr>
                <w:sz w:val="20"/>
                <w:szCs w:val="20"/>
                <w:color w:val="auto"/>
              </w:rPr>
            </w:pPr>
            <w:r>
              <w:rPr>
                <w:rFonts w:ascii="Arial" w:cs="Arial" w:eastAsia="Arial" w:hAnsi="Arial"/>
                <w:sz w:val="18"/>
                <w:szCs w:val="18"/>
                <w:b w:val="1"/>
                <w:bCs w:val="1"/>
                <w:color w:val="auto"/>
              </w:rPr>
              <w:t>Trade accounts payables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96,940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119,199</w:t>
            </w:r>
          </w:p>
        </w:tc>
      </w:tr>
      <w:tr>
        <w:trPr>
          <w:trHeight w:val="216"/>
        </w:trPr>
        <w:tc>
          <w:tcPr>
            <w:tcW w:w="844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Deferred revenue and customers' advances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10,027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10,322</w:t>
            </w:r>
          </w:p>
        </w:tc>
      </w:tr>
      <w:tr>
        <w:trPr>
          <w:trHeight w:val="216"/>
        </w:trPr>
        <w:tc>
          <w:tcPr>
            <w:tcW w:w="8440" w:type="dxa"/>
            <w:vAlign w:val="bottom"/>
          </w:tcPr>
          <w:p>
            <w:pPr>
              <w:ind w:left="300"/>
              <w:spacing w:after="0"/>
              <w:rPr>
                <w:sz w:val="20"/>
                <w:szCs w:val="20"/>
                <w:color w:val="auto"/>
              </w:rPr>
            </w:pPr>
            <w:r>
              <w:rPr>
                <w:rFonts w:ascii="Arial" w:cs="Arial" w:eastAsia="Arial" w:hAnsi="Arial"/>
                <w:sz w:val="18"/>
                <w:szCs w:val="18"/>
                <w:b w:val="1"/>
                <w:bCs w:val="1"/>
                <w:color w:val="auto"/>
              </w:rPr>
              <w:t>Employee related liabilities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51,527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50,302</w:t>
            </w:r>
          </w:p>
        </w:tc>
      </w:tr>
      <w:tr>
        <w:trPr>
          <w:trHeight w:val="223"/>
        </w:trPr>
        <w:tc>
          <w:tcPr>
            <w:tcW w:w="84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b w:val="1"/>
                <w:bCs w:val="1"/>
                <w:color w:val="auto"/>
              </w:rPr>
              <w:t>Other current liabilities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7,905</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7,301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440" w:type="dxa"/>
            <w:vAlign w:val="bottom"/>
          </w:tcPr>
          <w:p>
            <w:pPr>
              <w:ind w:left="440"/>
              <w:spacing w:after="0"/>
              <w:rPr>
                <w:sz w:val="20"/>
                <w:szCs w:val="20"/>
                <w:color w:val="auto"/>
              </w:rPr>
            </w:pPr>
            <w:r>
              <w:rPr>
                <w:rFonts w:ascii="Arial" w:cs="Arial" w:eastAsia="Arial" w:hAnsi="Arial"/>
                <w:sz w:val="18"/>
                <w:szCs w:val="18"/>
                <w:b w:val="1"/>
                <w:bCs w:val="1"/>
                <w:color w:val="auto"/>
              </w:rPr>
              <w:t>Total current liabilities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272,912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253,056</w:t>
            </w:r>
          </w:p>
        </w:tc>
      </w:tr>
      <w:tr>
        <w:trPr>
          <w:trHeight w:val="216"/>
        </w:trPr>
        <w:tc>
          <w:tcPr>
            <w:tcW w:w="8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r>
      <w:tr>
        <w:trPr>
          <w:trHeight w:val="216"/>
        </w:trPr>
        <w:tc>
          <w:tcPr>
            <w:tcW w:w="8440" w:type="dxa"/>
            <w:vAlign w:val="bottom"/>
          </w:tcPr>
          <w:p>
            <w:pPr>
              <w:ind w:left="160"/>
              <w:spacing w:after="0"/>
              <w:rPr>
                <w:sz w:val="20"/>
                <w:szCs w:val="20"/>
                <w:color w:val="auto"/>
              </w:rPr>
            </w:pPr>
            <w:r>
              <w:rPr>
                <w:rFonts w:ascii="Arial" w:cs="Arial" w:eastAsia="Arial" w:hAnsi="Arial"/>
                <w:sz w:val="18"/>
                <w:szCs w:val="18"/>
                <w:b w:val="1"/>
                <w:bCs w:val="1"/>
                <w:color w:val="auto"/>
              </w:rPr>
              <w:t>LONG-TERM DEBT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283,765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245,821</w:t>
            </w:r>
          </w:p>
        </w:tc>
      </w:tr>
      <w:tr>
        <w:trPr>
          <w:trHeight w:val="216"/>
        </w:trPr>
        <w:tc>
          <w:tcPr>
            <w:tcW w:w="8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r>
      <w:tr>
        <w:trPr>
          <w:trHeight w:val="216"/>
        </w:trPr>
        <w:tc>
          <w:tcPr>
            <w:tcW w:w="8440" w:type="dxa"/>
            <w:vAlign w:val="bottom"/>
          </w:tcPr>
          <w:p>
            <w:pPr>
              <w:ind w:left="160"/>
              <w:spacing w:after="0"/>
              <w:rPr>
                <w:sz w:val="20"/>
                <w:szCs w:val="20"/>
                <w:color w:val="auto"/>
              </w:rPr>
            </w:pPr>
            <w:r>
              <w:rPr>
                <w:rFonts w:ascii="Arial" w:cs="Arial" w:eastAsia="Arial" w:hAnsi="Arial"/>
                <w:sz w:val="18"/>
                <w:szCs w:val="18"/>
                <w:b w:val="1"/>
                <w:bCs w:val="1"/>
                <w:color w:val="auto"/>
              </w:rPr>
              <w:t>LONG-TERM CUSTOMERS' ADVANCES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25,451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28,196</w:t>
            </w:r>
          </w:p>
        </w:tc>
      </w:tr>
      <w:tr>
        <w:trPr>
          <w:trHeight w:val="216"/>
        </w:trPr>
        <w:tc>
          <w:tcPr>
            <w:tcW w:w="8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r>
      <w:tr>
        <w:trPr>
          <w:trHeight w:val="216"/>
        </w:trPr>
        <w:tc>
          <w:tcPr>
            <w:tcW w:w="8440" w:type="dxa"/>
            <w:vAlign w:val="bottom"/>
          </w:tcPr>
          <w:p>
            <w:pPr>
              <w:ind w:left="160"/>
              <w:spacing w:after="0"/>
              <w:rPr>
                <w:sz w:val="20"/>
                <w:szCs w:val="20"/>
                <w:color w:val="auto"/>
              </w:rPr>
            </w:pPr>
            <w:r>
              <w:rPr>
                <w:rFonts w:ascii="Arial" w:cs="Arial" w:eastAsia="Arial" w:hAnsi="Arial"/>
                <w:sz w:val="18"/>
                <w:szCs w:val="18"/>
                <w:b w:val="1"/>
                <w:bCs w:val="1"/>
                <w:color w:val="auto"/>
              </w:rPr>
              <w:t>EMPLOYEE RELATED LIABILITIES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15,833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13,285</w:t>
            </w:r>
          </w:p>
        </w:tc>
      </w:tr>
      <w:tr>
        <w:trPr>
          <w:trHeight w:val="216"/>
        </w:trPr>
        <w:tc>
          <w:tcPr>
            <w:tcW w:w="8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r>
      <w:tr>
        <w:trPr>
          <w:trHeight w:val="223"/>
        </w:trPr>
        <w:tc>
          <w:tcPr>
            <w:tcW w:w="8440" w:type="dxa"/>
            <w:vAlign w:val="bottom"/>
          </w:tcPr>
          <w:p>
            <w:pPr>
              <w:ind w:left="160"/>
              <w:spacing w:after="0"/>
              <w:rPr>
                <w:sz w:val="20"/>
                <w:szCs w:val="20"/>
                <w:color w:val="auto"/>
              </w:rPr>
            </w:pPr>
            <w:r>
              <w:rPr>
                <w:rFonts w:ascii="Arial" w:cs="Arial" w:eastAsia="Arial" w:hAnsi="Arial"/>
                <w:sz w:val="18"/>
                <w:szCs w:val="18"/>
                <w:b w:val="1"/>
                <w:bCs w:val="1"/>
                <w:color w:val="auto"/>
              </w:rPr>
              <w:t>DEFERRED TAX AND OTHER LONG-TERM LIABILITIES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41,286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45,752</w:t>
            </w:r>
          </w:p>
        </w:tc>
        <w:tc>
          <w:tcPr>
            <w:tcW w:w="100" w:type="dxa"/>
            <w:vAlign w:val="bottom"/>
          </w:tcPr>
          <w:p>
            <w:pPr>
              <w:spacing w:after="0"/>
              <w:rPr>
                <w:sz w:val="19"/>
                <w:szCs w:val="19"/>
                <w:color w:val="auto"/>
              </w:rPr>
            </w:pPr>
          </w:p>
        </w:tc>
      </w:tr>
      <w:tr>
        <w:trPr>
          <w:trHeight w:val="216"/>
        </w:trPr>
        <w:tc>
          <w:tcPr>
            <w:tcW w:w="8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r>
      <w:tr>
        <w:trPr>
          <w:trHeight w:val="223"/>
        </w:trPr>
        <w:tc>
          <w:tcPr>
            <w:tcW w:w="8440" w:type="dxa"/>
            <w:vAlign w:val="bottom"/>
          </w:tcPr>
          <w:p>
            <w:pPr>
              <w:ind w:left="440"/>
              <w:spacing w:after="0"/>
              <w:rPr>
                <w:sz w:val="20"/>
                <w:szCs w:val="20"/>
                <w:color w:val="auto"/>
              </w:rPr>
            </w:pPr>
            <w:r>
              <w:rPr>
                <w:rFonts w:ascii="Arial" w:cs="Arial" w:eastAsia="Arial" w:hAnsi="Arial"/>
                <w:sz w:val="18"/>
                <w:szCs w:val="18"/>
                <w:b w:val="1"/>
                <w:bCs w:val="1"/>
                <w:color w:val="auto"/>
              </w:rPr>
              <w:t>TOTAL LIABILITIES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639,247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586,110</w:t>
            </w:r>
          </w:p>
        </w:tc>
        <w:tc>
          <w:tcPr>
            <w:tcW w:w="100" w:type="dxa"/>
            <w:vAlign w:val="bottom"/>
          </w:tcPr>
          <w:p>
            <w:pPr>
              <w:spacing w:after="0"/>
              <w:rPr>
                <w:sz w:val="19"/>
                <w:szCs w:val="19"/>
                <w:color w:val="auto"/>
              </w:rPr>
            </w:pPr>
          </w:p>
        </w:tc>
      </w:tr>
      <w:tr>
        <w:trPr>
          <w:trHeight w:val="216"/>
        </w:trPr>
        <w:tc>
          <w:tcPr>
            <w:tcW w:w="8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r>
      <w:tr>
        <w:trPr>
          <w:trHeight w:val="216"/>
        </w:trPr>
        <w:tc>
          <w:tcPr>
            <w:tcW w:w="8440" w:type="dxa"/>
            <w:vAlign w:val="bottom"/>
          </w:tcPr>
          <w:p>
            <w:pPr>
              <w:ind w:left="300"/>
              <w:spacing w:after="0"/>
              <w:rPr>
                <w:sz w:val="20"/>
                <w:szCs w:val="20"/>
                <w:color w:val="auto"/>
              </w:rPr>
            </w:pPr>
            <w:r>
              <w:rPr>
                <w:rFonts w:ascii="Arial" w:cs="Arial" w:eastAsia="Arial" w:hAnsi="Arial"/>
                <w:sz w:val="18"/>
                <w:szCs w:val="18"/>
                <w:b w:val="1"/>
                <w:bCs w:val="1"/>
                <w:color w:val="auto"/>
              </w:rPr>
              <w:t>Ordinary shares of NIS 15 par value: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430,996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426,111</w:t>
            </w:r>
          </w:p>
        </w:tc>
      </w:tr>
      <w:tr>
        <w:trPr>
          <w:trHeight w:val="216"/>
        </w:trPr>
        <w:tc>
          <w:tcPr>
            <w:tcW w:w="84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150,000 authorized as of December 31, 2020 and 2019</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ind w:left="440"/>
              <w:spacing w:after="0"/>
              <w:rPr>
                <w:sz w:val="20"/>
                <w:szCs w:val="20"/>
                <w:color w:val="auto"/>
              </w:rPr>
            </w:pPr>
            <w:r>
              <w:rPr>
                <w:rFonts w:ascii="Arial" w:cs="Arial" w:eastAsia="Arial" w:hAnsi="Arial"/>
                <w:sz w:val="18"/>
                <w:szCs w:val="18"/>
                <w:b w:val="1"/>
                <w:bCs w:val="1"/>
                <w:color w:val="auto"/>
              </w:rPr>
              <w:t>108,010 and 107,923 issued and outstanding, respectively, as of December 31, 2020</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106,895 and 106,808 issued and outstanding, respectively, as of December 31, 2019</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ind w:left="300"/>
              <w:spacing w:after="0"/>
              <w:rPr>
                <w:sz w:val="20"/>
                <w:szCs w:val="20"/>
                <w:color w:val="auto"/>
              </w:rPr>
            </w:pPr>
            <w:r>
              <w:rPr>
                <w:rFonts w:ascii="Arial" w:cs="Arial" w:eastAsia="Arial" w:hAnsi="Arial"/>
                <w:sz w:val="18"/>
                <w:szCs w:val="18"/>
                <w:b w:val="1"/>
                <w:bCs w:val="1"/>
                <w:color w:val="auto"/>
              </w:rPr>
              <w:t>Additional paid-in capital</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1,393,095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1,395,376</w:t>
            </w:r>
          </w:p>
        </w:tc>
      </w:tr>
      <w:tr>
        <w:trPr>
          <w:trHeight w:val="216"/>
        </w:trPr>
        <w:tc>
          <w:tcPr>
            <w:tcW w:w="844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Cumulative stock based compensation</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124,762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107,774</w:t>
            </w:r>
          </w:p>
        </w:tc>
      </w:tr>
      <w:tr>
        <w:trPr>
          <w:trHeight w:val="216"/>
        </w:trPr>
        <w:tc>
          <w:tcPr>
            <w:tcW w:w="8440" w:type="dxa"/>
            <w:vAlign w:val="bottom"/>
          </w:tcPr>
          <w:p>
            <w:pPr>
              <w:ind w:left="300"/>
              <w:spacing w:after="0"/>
              <w:rPr>
                <w:sz w:val="20"/>
                <w:szCs w:val="20"/>
                <w:color w:val="auto"/>
              </w:rPr>
            </w:pPr>
            <w:r>
              <w:rPr>
                <w:rFonts w:ascii="Arial" w:cs="Arial" w:eastAsia="Arial" w:hAnsi="Arial"/>
                <w:sz w:val="18"/>
                <w:szCs w:val="18"/>
                <w:b w:val="1"/>
                <w:bCs w:val="1"/>
                <w:color w:val="auto"/>
              </w:rPr>
              <w:t>Accumulated other comprehensive loss</w:t>
            </w:r>
          </w:p>
        </w:tc>
        <w:tc>
          <w:tcPr>
            <w:tcW w:w="2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(16,509)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(18,244)</w:t>
            </w:r>
          </w:p>
        </w:tc>
      </w:tr>
      <w:tr>
        <w:trPr>
          <w:trHeight w:val="223"/>
        </w:trPr>
        <w:tc>
          <w:tcPr>
            <w:tcW w:w="844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Accumulated deficit</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(465,460)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(547,398)</w:t>
            </w:r>
          </w:p>
        </w:tc>
      </w:tr>
      <w:tr>
        <w:trPr>
          <w:trHeight w:val="216"/>
        </w:trPr>
        <w:tc>
          <w:tcPr>
            <w:tcW w:w="844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1,466,884</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1,363,619</w:t>
            </w:r>
          </w:p>
        </w:tc>
        <w:tc>
          <w:tcPr>
            <w:tcW w:w="100" w:type="dxa"/>
            <w:vAlign w:val="bottom"/>
            <w:tcBorders>
              <w:top w:val="single" w:sz="8" w:color="CCEEFF"/>
            </w:tcBorders>
          </w:tcPr>
          <w:p>
            <w:pPr>
              <w:spacing w:after="0"/>
              <w:rPr>
                <w:sz w:val="18"/>
                <w:szCs w:val="18"/>
                <w:color w:val="auto"/>
              </w:rPr>
            </w:pPr>
          </w:p>
        </w:tc>
      </w:tr>
      <w:tr>
        <w:trPr>
          <w:trHeight w:val="223"/>
        </w:trPr>
        <w:tc>
          <w:tcPr>
            <w:tcW w:w="844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Treasury stock, at cost - 87 shares</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(9,072)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(9,072)</w:t>
            </w:r>
          </w:p>
        </w:tc>
      </w:tr>
      <w:tr>
        <w:trPr>
          <w:trHeight w:val="216"/>
        </w:trPr>
        <w:tc>
          <w:tcPr>
            <w:tcW w:w="8440" w:type="dxa"/>
            <w:vAlign w:val="bottom"/>
            <w:tcBorders>
              <w:top w:val="single" w:sz="8" w:color="CCEEFF"/>
            </w:tcBorders>
          </w:tcPr>
          <w:p>
            <w:pPr>
              <w:ind w:left="160"/>
              <w:spacing w:after="0"/>
              <w:rPr>
                <w:sz w:val="20"/>
                <w:szCs w:val="20"/>
                <w:color w:val="auto"/>
              </w:rPr>
            </w:pPr>
            <w:r>
              <w:rPr>
                <w:rFonts w:ascii="Arial" w:cs="Arial" w:eastAsia="Arial" w:hAnsi="Arial"/>
                <w:sz w:val="18"/>
                <w:szCs w:val="18"/>
                <w:b w:val="1"/>
                <w:bCs w:val="1"/>
                <w:color w:val="auto"/>
              </w:rPr>
              <w:t>THE COMPANY'S SHAREHOLDERS' EQUITY</w:t>
            </w: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1,457,812</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1,354,547</w:t>
            </w:r>
          </w:p>
        </w:tc>
        <w:tc>
          <w:tcPr>
            <w:tcW w:w="100" w:type="dxa"/>
            <w:vAlign w:val="bottom"/>
            <w:tcBorders>
              <w:top w:val="single" w:sz="8" w:color="CCEEFF"/>
            </w:tcBorders>
          </w:tcPr>
          <w:p>
            <w:pPr>
              <w:spacing w:after="0"/>
              <w:rPr>
                <w:sz w:val="18"/>
                <w:szCs w:val="18"/>
                <w:color w:val="auto"/>
              </w:rPr>
            </w:pPr>
          </w:p>
        </w:tc>
      </w:tr>
      <w:tr>
        <w:trPr>
          <w:trHeight w:val="223"/>
        </w:trPr>
        <w:tc>
          <w:tcPr>
            <w:tcW w:w="844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Non-controlling interest</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(2,910)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(7,824)</w:t>
            </w:r>
          </w:p>
        </w:tc>
      </w:tr>
      <w:tr>
        <w:trPr>
          <w:trHeight w:val="216"/>
        </w:trPr>
        <w:tc>
          <w:tcPr>
            <w:tcW w:w="8440" w:type="dxa"/>
            <w:vAlign w:val="bottom"/>
            <w:tcBorders>
              <w:top w:val="single" w:sz="8" w:color="CCEEFF"/>
            </w:tcBorders>
          </w:tcPr>
          <w:p>
            <w:pPr>
              <w:ind w:left="440"/>
              <w:spacing w:after="0"/>
              <w:rPr>
                <w:sz w:val="20"/>
                <w:szCs w:val="20"/>
                <w:color w:val="auto"/>
              </w:rPr>
            </w:pPr>
            <w:r>
              <w:rPr>
                <w:rFonts w:ascii="Arial" w:cs="Arial" w:eastAsia="Arial" w:hAnsi="Arial"/>
                <w:sz w:val="18"/>
                <w:szCs w:val="18"/>
                <w:b w:val="1"/>
                <w:bCs w:val="1"/>
                <w:color w:val="auto"/>
              </w:rPr>
              <w:t>TOTAL SHAREHOLDERS' EQUITY</w:t>
            </w: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1,454,902</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1,346,723</w:t>
            </w:r>
          </w:p>
        </w:tc>
        <w:tc>
          <w:tcPr>
            <w:tcW w:w="100" w:type="dxa"/>
            <w:vAlign w:val="bottom"/>
            <w:tcBorders>
              <w:top w:val="single" w:sz="8" w:color="CCEEFF"/>
            </w:tcBorders>
          </w:tcPr>
          <w:p>
            <w:pPr>
              <w:spacing w:after="0"/>
              <w:rPr>
                <w:sz w:val="18"/>
                <w:szCs w:val="18"/>
                <w:color w:val="auto"/>
              </w:rPr>
            </w:pPr>
          </w:p>
        </w:tc>
      </w:tr>
      <w:tr>
        <w:trPr>
          <w:trHeight w:val="20"/>
        </w:trPr>
        <w:tc>
          <w:tcPr>
            <w:tcW w:w="8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gridSpan w:val="2"/>
            <w:shd w:val="clear" w:color="auto" w:fill="CCEEFF"/>
          </w:tcPr>
          <w:p>
            <w:pPr>
              <w:spacing w:after="0"/>
              <w:rPr>
                <w:sz w:val="17"/>
                <w:szCs w:val="17"/>
                <w:color w:val="auto"/>
              </w:rPr>
            </w:pPr>
          </w:p>
        </w:tc>
        <w:tc>
          <w:tcPr>
            <w:tcW w:w="1240" w:type="dxa"/>
            <w:vAlign w:val="bottom"/>
            <w:gridSpan w:val="2"/>
            <w:shd w:val="clear" w:color="auto" w:fill="CCEEFF"/>
          </w:tcPr>
          <w:p>
            <w:pPr>
              <w:spacing w:after="0"/>
              <w:rPr>
                <w:sz w:val="17"/>
                <w:szCs w:val="17"/>
                <w:color w:val="auto"/>
              </w:rPr>
            </w:pPr>
          </w:p>
        </w:tc>
      </w:tr>
      <w:tr>
        <w:trPr>
          <w:trHeight w:val="216"/>
        </w:trPr>
        <w:tc>
          <w:tcPr>
            <w:tcW w:w="8440" w:type="dxa"/>
            <w:vAlign w:val="bottom"/>
          </w:tcPr>
          <w:p>
            <w:pPr>
              <w:ind w:left="580"/>
              <w:spacing w:after="0"/>
              <w:rPr>
                <w:sz w:val="20"/>
                <w:szCs w:val="20"/>
                <w:color w:val="auto"/>
              </w:rPr>
            </w:pPr>
            <w:r>
              <w:rPr>
                <w:rFonts w:ascii="Arial" w:cs="Arial" w:eastAsia="Arial" w:hAnsi="Arial"/>
                <w:sz w:val="18"/>
                <w:szCs w:val="18"/>
                <w:b w:val="1"/>
                <w:bCs w:val="1"/>
                <w:color w:val="auto"/>
              </w:rPr>
              <w:t>TOTAL LIABILITIES AND SHAREHOLDERS' EQUITY</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2,094,149</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1,932,833</w:t>
            </w:r>
          </w:p>
        </w:tc>
      </w:tr>
      <w:tr>
        <w:trPr>
          <w:trHeight w:val="20"/>
        </w:trPr>
        <w:tc>
          <w:tcPr>
            <w:tcW w:w="84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5" w:lineRule="exact"/>
        <w:rPr>
          <w:sz w:val="20"/>
          <w:szCs w:val="20"/>
          <w:color w:val="auto"/>
        </w:rPr>
      </w:pPr>
    </w:p>
    <w:p>
      <w:pPr>
        <w:ind w:firstLine="8"/>
        <w:spacing w:after="0" w:line="282" w:lineRule="auto"/>
        <w:tabs>
          <w:tab w:leader="none" w:pos="25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Marketable securities are available-for-sale securities and included amortized cost of $187,719 and $173,817 as of December 31, 2020 and 2019, respectively. The balance as of December 31, 2020 included an allowance for credit losses of $57.</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- 4</w:t>
      </w:r>
    </w:p>
    <w:p>
      <w:pPr>
        <w:sectPr>
          <w:pgSz w:w="11900" w:h="16841" w:orient="portrait"/>
          <w:cols w:equalWidth="0" w:num="1">
            <w:col w:w="11240"/>
          </w:cols>
          <w:pgMar w:left="320" w:top="324" w:right="339" w:bottom="0" w:gutter="0" w:footer="0" w:header="0"/>
        </w:sectPr>
      </w:pPr>
    </w:p>
    <w:bookmarkStart w:id="8" w:name="page9"/>
    <w:bookmarkEnd w:id="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and shares in thousands, except per share data)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Year ended</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41"/>
        </w:trPr>
        <w:tc>
          <w:tcPr>
            <w:tcW w:w="59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8"/>
                <w:szCs w:val="18"/>
                <w:b w:val="1"/>
                <w:bCs w:val="1"/>
                <w:color w:val="auto"/>
                <w:w w:val="90"/>
              </w:rPr>
              <w:t>December 31,</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59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2019</w:t>
            </w:r>
          </w:p>
        </w:tc>
        <w:tc>
          <w:tcPr>
            <w:tcW w:w="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9"/>
                <w:szCs w:val="19"/>
                <w:color w:val="auto"/>
              </w:rPr>
            </w:pPr>
          </w:p>
        </w:tc>
      </w:tr>
      <w:tr>
        <w:trPr>
          <w:trHeight w:val="216"/>
        </w:trPr>
        <w:tc>
          <w:tcPr>
            <w:tcW w:w="598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220" w:type="dxa"/>
            <w:vAlign w:val="bottom"/>
            <w:gridSpan w:val="2"/>
          </w:tcPr>
          <w:p>
            <w:pPr>
              <w:spacing w:after="0"/>
              <w:rPr>
                <w:sz w:val="18"/>
                <w:szCs w:val="18"/>
                <w:color w:val="auto"/>
              </w:rPr>
            </w:pPr>
          </w:p>
        </w:tc>
        <w:tc>
          <w:tcPr>
            <w:tcW w:w="130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1,265,684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1,234,003</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1,304,034</w:t>
            </w:r>
          </w:p>
        </w:tc>
      </w:tr>
      <w:tr>
        <w:trPr>
          <w:trHeight w:val="216"/>
        </w:trPr>
        <w:tc>
          <w:tcPr>
            <w:tcW w:w="59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r>
      <w:tr>
        <w:trPr>
          <w:trHeight w:val="223"/>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REVENUES</w:t>
            </w:r>
          </w:p>
        </w:tc>
        <w:tc>
          <w:tcPr>
            <w:tcW w:w="10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1,032,366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1,004,332</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1,011,087</w:t>
            </w:r>
          </w:p>
        </w:tc>
      </w:tr>
      <w:tr>
        <w:trPr>
          <w:trHeight w:val="216"/>
        </w:trPr>
        <w:tc>
          <w:tcPr>
            <w:tcW w:w="59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r>
      <w:tr>
        <w:trPr>
          <w:trHeight w:val="223"/>
        </w:trPr>
        <w:tc>
          <w:tcPr>
            <w:tcW w:w="598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GROSS PROFIT</w:t>
            </w:r>
          </w:p>
        </w:tc>
        <w:tc>
          <w:tcPr>
            <w:tcW w:w="10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233,318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229,671</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292,947</w:t>
            </w:r>
          </w:p>
        </w:tc>
      </w:tr>
      <w:tr>
        <w:trPr>
          <w:trHeight w:val="216"/>
        </w:trPr>
        <w:tc>
          <w:tcPr>
            <w:tcW w:w="59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COSTS AND EXPENSES:</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r>
      <w:tr>
        <w:trPr>
          <w:trHeight w:val="216"/>
        </w:trPr>
        <w:tc>
          <w:tcPr>
            <w:tcW w:w="59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Research and development</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78,320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75,579</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73,053</w:t>
            </w:r>
          </w:p>
        </w:tc>
      </w:tr>
      <w:tr>
        <w:trPr>
          <w:trHeight w:val="223"/>
        </w:trPr>
        <w:tc>
          <w:tcPr>
            <w:tcW w:w="5980" w:type="dxa"/>
            <w:vAlign w:val="bottom"/>
          </w:tcPr>
          <w:p>
            <w:pPr>
              <w:ind w:left="160"/>
              <w:spacing w:after="0"/>
              <w:rPr>
                <w:sz w:val="20"/>
                <w:szCs w:val="20"/>
                <w:color w:val="auto"/>
              </w:rPr>
            </w:pPr>
            <w:r>
              <w:rPr>
                <w:rFonts w:ascii="Arial" w:cs="Arial" w:eastAsia="Arial" w:hAnsi="Arial"/>
                <w:sz w:val="18"/>
                <w:szCs w:val="18"/>
                <w:b w:val="1"/>
                <w:bCs w:val="1"/>
                <w:color w:val="auto"/>
              </w:rPr>
              <w:t>Marketing, general and administrative</w:t>
            </w: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63,965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67,376</w:t>
            </w:r>
          </w:p>
        </w:tc>
        <w:tc>
          <w:tcPr>
            <w:tcW w:w="28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64,951</w:t>
            </w:r>
          </w:p>
        </w:tc>
      </w:tr>
      <w:tr>
        <w:trPr>
          <w:trHeight w:val="216"/>
        </w:trPr>
        <w:tc>
          <w:tcPr>
            <w:tcW w:w="59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142,285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142,955</w:t>
            </w: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138,004</w:t>
            </w:r>
          </w:p>
        </w:tc>
      </w:tr>
      <w:tr>
        <w:trPr>
          <w:trHeight w:val="20"/>
        </w:trPr>
        <w:tc>
          <w:tcPr>
            <w:tcW w:w="59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59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spacing w:after="0"/>
              <w:rPr>
                <w:sz w:val="17"/>
                <w:szCs w:val="17"/>
                <w:color w:val="auto"/>
              </w:rPr>
            </w:pPr>
          </w:p>
        </w:tc>
      </w:tr>
      <w:tr>
        <w:trPr>
          <w:trHeight w:val="216"/>
        </w:trPr>
        <w:tc>
          <w:tcPr>
            <w:tcW w:w="5980" w:type="dxa"/>
            <w:vAlign w:val="bottom"/>
          </w:tcPr>
          <w:p>
            <w:pPr>
              <w:ind w:left="300"/>
              <w:spacing w:after="0"/>
              <w:rPr>
                <w:sz w:val="20"/>
                <w:szCs w:val="20"/>
                <w:color w:val="auto"/>
              </w:rPr>
            </w:pPr>
            <w:r>
              <w:rPr>
                <w:rFonts w:ascii="Arial" w:cs="Arial" w:eastAsia="Arial" w:hAnsi="Arial"/>
                <w:sz w:val="18"/>
                <w:szCs w:val="18"/>
                <w:b w:val="1"/>
                <w:bCs w:val="1"/>
                <w:color w:val="auto"/>
              </w:rPr>
              <w:t>OPERATING PROFIT</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91,033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86,716</w:t>
            </w: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154,943</w:t>
            </w:r>
          </w:p>
        </w:tc>
      </w:tr>
      <w:tr>
        <w:trPr>
          <w:trHeight w:val="216"/>
        </w:trPr>
        <w:tc>
          <w:tcPr>
            <w:tcW w:w="59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FINANCING INCOME (EXPENSE), NET</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2,870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12</w:t>
            </w:r>
          </w:p>
        </w:tc>
        <w:tc>
          <w:tcPr>
            <w:tcW w:w="2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(13,184)</w:t>
            </w:r>
          </w:p>
        </w:tc>
      </w:tr>
      <w:tr>
        <w:trPr>
          <w:trHeight w:val="216"/>
        </w:trPr>
        <w:tc>
          <w:tcPr>
            <w:tcW w:w="59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b w:val="1"/>
                <w:bCs w:val="1"/>
                <w:color w:val="auto"/>
              </w:rPr>
              <w:t>OTHER INCOME (EXPENSE), NET</w:t>
            </w: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(5,215)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4,293</w:t>
            </w:r>
          </w:p>
        </w:tc>
        <w:tc>
          <w:tcPr>
            <w:tcW w:w="28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(2,442)</w:t>
            </w:r>
          </w:p>
        </w:tc>
      </w:tr>
      <w:tr>
        <w:trPr>
          <w:trHeight w:val="216"/>
        </w:trPr>
        <w:tc>
          <w:tcPr>
            <w:tcW w:w="59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980" w:type="dxa"/>
            <w:vAlign w:val="bottom"/>
          </w:tcPr>
          <w:p>
            <w:pPr>
              <w:ind w:left="720"/>
              <w:spacing w:after="0"/>
              <w:rPr>
                <w:sz w:val="20"/>
                <w:szCs w:val="20"/>
                <w:color w:val="auto"/>
              </w:rPr>
            </w:pPr>
            <w:r>
              <w:rPr>
                <w:rFonts w:ascii="Arial" w:cs="Arial" w:eastAsia="Arial" w:hAnsi="Arial"/>
                <w:sz w:val="18"/>
                <w:szCs w:val="18"/>
                <w:b w:val="1"/>
                <w:bCs w:val="1"/>
                <w:color w:val="auto"/>
              </w:rPr>
              <w:t>PROFIT BEFORE INCOME TAX</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88,688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91,021</w:t>
            </w: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139,317</w:t>
            </w:r>
          </w:p>
        </w:tc>
      </w:tr>
      <w:tr>
        <w:trPr>
          <w:trHeight w:val="216"/>
        </w:trPr>
        <w:tc>
          <w:tcPr>
            <w:tcW w:w="59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b w:val="1"/>
                <w:bCs w:val="1"/>
                <w:color w:val="auto"/>
              </w:rPr>
              <w:t>INCOME TAX EXPENSE, NET</w:t>
            </w: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(5,399)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(2,948)</w:t>
            </w:r>
          </w:p>
        </w:tc>
        <w:tc>
          <w:tcPr>
            <w:tcW w:w="28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(5,938)</w:t>
            </w:r>
          </w:p>
        </w:tc>
      </w:tr>
      <w:tr>
        <w:trPr>
          <w:trHeight w:val="216"/>
        </w:trPr>
        <w:tc>
          <w:tcPr>
            <w:tcW w:w="59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980" w:type="dxa"/>
            <w:vAlign w:val="bottom"/>
          </w:tcPr>
          <w:p>
            <w:pPr>
              <w:ind w:left="720"/>
              <w:spacing w:after="0"/>
              <w:rPr>
                <w:sz w:val="20"/>
                <w:szCs w:val="20"/>
                <w:color w:val="auto"/>
              </w:rPr>
            </w:pPr>
            <w:r>
              <w:rPr>
                <w:rFonts w:ascii="Arial" w:cs="Arial" w:eastAsia="Arial" w:hAnsi="Arial"/>
                <w:sz w:val="18"/>
                <w:szCs w:val="18"/>
                <w:b w:val="1"/>
                <w:bCs w:val="1"/>
                <w:color w:val="auto"/>
              </w:rPr>
              <w:t>NET PROFIT</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83,289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88,073</w:t>
            </w: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133,379</w:t>
            </w:r>
          </w:p>
        </w:tc>
      </w:tr>
      <w:tr>
        <w:trPr>
          <w:trHeight w:val="216"/>
        </w:trPr>
        <w:tc>
          <w:tcPr>
            <w:tcW w:w="59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r>
      <w:tr>
        <w:trPr>
          <w:trHeight w:val="223"/>
        </w:trPr>
        <w:tc>
          <w:tcPr>
            <w:tcW w:w="5980" w:type="dxa"/>
            <w:vAlign w:val="bottom"/>
          </w:tcPr>
          <w:p>
            <w:pPr>
              <w:ind w:left="160"/>
              <w:spacing w:after="0"/>
              <w:rPr>
                <w:sz w:val="20"/>
                <w:szCs w:val="20"/>
                <w:color w:val="auto"/>
              </w:rPr>
            </w:pPr>
            <w:r>
              <w:rPr>
                <w:rFonts w:ascii="Arial" w:cs="Arial" w:eastAsia="Arial" w:hAnsi="Arial"/>
                <w:sz w:val="18"/>
                <w:szCs w:val="18"/>
                <w:b w:val="1"/>
                <w:bCs w:val="1"/>
                <w:color w:val="auto"/>
              </w:rPr>
              <w:t>Net loss (income) attributable to non-controlling interest</w:t>
            </w: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(987)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1,975</w:t>
            </w:r>
          </w:p>
        </w:tc>
        <w:tc>
          <w:tcPr>
            <w:tcW w:w="28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2,200</w:t>
            </w:r>
          </w:p>
        </w:tc>
      </w:tr>
      <w:tr>
        <w:trPr>
          <w:trHeight w:val="216"/>
        </w:trPr>
        <w:tc>
          <w:tcPr>
            <w:tcW w:w="59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980" w:type="dxa"/>
            <w:vAlign w:val="bottom"/>
          </w:tcPr>
          <w:p>
            <w:pPr>
              <w:ind w:left="720"/>
              <w:spacing w:after="0"/>
              <w:rPr>
                <w:sz w:val="20"/>
                <w:szCs w:val="20"/>
                <w:color w:val="auto"/>
              </w:rPr>
            </w:pPr>
            <w:r>
              <w:rPr>
                <w:rFonts w:ascii="Arial" w:cs="Arial" w:eastAsia="Arial" w:hAnsi="Arial"/>
                <w:sz w:val="18"/>
                <w:szCs w:val="18"/>
                <w:b w:val="1"/>
                <w:bCs w:val="1"/>
                <w:color w:val="auto"/>
              </w:rPr>
              <w:t>NET PROFIT ATTRIBUTABLE TO THE COMPANY</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82,302</w:t>
            </w: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90,048</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135,579</w:t>
            </w:r>
          </w:p>
        </w:tc>
      </w:tr>
      <w:tr>
        <w:trPr>
          <w:trHeight w:val="20"/>
        </w:trPr>
        <w:tc>
          <w:tcPr>
            <w:tcW w:w="59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59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BASIC EARNINGS PER ORDINARY SHARE:</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1300" w:type="dxa"/>
            <w:vAlign w:val="bottom"/>
            <w:gridSpan w:val="2"/>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r>
      <w:tr>
        <w:trPr>
          <w:trHeight w:val="216"/>
        </w:trPr>
        <w:tc>
          <w:tcPr>
            <w:tcW w:w="5980" w:type="dxa"/>
            <w:vAlign w:val="bottom"/>
          </w:tcPr>
          <w:p>
            <w:pPr>
              <w:ind w:left="160"/>
              <w:spacing w:after="0"/>
              <w:rPr>
                <w:sz w:val="20"/>
                <w:szCs w:val="20"/>
                <w:color w:val="auto"/>
              </w:rPr>
            </w:pPr>
            <w:r>
              <w:rPr>
                <w:rFonts w:ascii="Arial" w:cs="Arial" w:eastAsia="Arial" w:hAnsi="Arial"/>
                <w:sz w:val="18"/>
                <w:szCs w:val="18"/>
                <w:b w:val="1"/>
                <w:bCs w:val="1"/>
                <w:color w:val="auto"/>
              </w:rPr>
              <w:t>Earnings per share</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0.77</w:t>
            </w: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0.85</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1.35</w:t>
            </w:r>
          </w:p>
        </w:tc>
      </w:tr>
      <w:tr>
        <w:trPr>
          <w:trHeight w:val="20"/>
        </w:trPr>
        <w:tc>
          <w:tcPr>
            <w:tcW w:w="59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59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spacing w:after="0"/>
              <w:rPr>
                <w:sz w:val="17"/>
                <w:szCs w:val="17"/>
                <w:color w:val="auto"/>
              </w:rPr>
            </w:pPr>
          </w:p>
        </w:tc>
      </w:tr>
      <w:tr>
        <w:trPr>
          <w:trHeight w:val="216"/>
        </w:trPr>
        <w:tc>
          <w:tcPr>
            <w:tcW w:w="5980" w:type="dxa"/>
            <w:vAlign w:val="bottom"/>
          </w:tcPr>
          <w:p>
            <w:pPr>
              <w:ind w:left="160"/>
              <w:spacing w:after="0"/>
              <w:rPr>
                <w:sz w:val="20"/>
                <w:szCs w:val="20"/>
                <w:color w:val="auto"/>
              </w:rPr>
            </w:pPr>
            <w:r>
              <w:rPr>
                <w:rFonts w:ascii="Arial" w:cs="Arial" w:eastAsia="Arial" w:hAnsi="Arial"/>
                <w:sz w:val="18"/>
                <w:szCs w:val="18"/>
                <w:b w:val="1"/>
                <w:bCs w:val="1"/>
                <w:color w:val="auto"/>
              </w:rPr>
              <w:t>Weighted average number of ordinary shares outstanding</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107,254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106,256</w:t>
            </w: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100,399</w:t>
            </w:r>
          </w:p>
        </w:tc>
      </w:tr>
      <w:tr>
        <w:trPr>
          <w:trHeight w:val="20"/>
        </w:trPr>
        <w:tc>
          <w:tcPr>
            <w:tcW w:w="59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59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DILUTED EARNINGS PER ORDINARY SHARE:</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324" w:right="339" w:bottom="1440" w:gutter="0" w:footer="0" w:header="0"/>
        </w:sectPr>
      </w:pPr>
    </w:p>
    <w:p>
      <w:pPr>
        <w:spacing w:after="0" w:line="2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Earnings per share</w:t>
      </w:r>
    </w:p>
    <w:p>
      <w:pPr>
        <w:spacing w:after="0" w:line="26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Net profit used for diluted earnings per share</w:t>
      </w:r>
    </w:p>
    <w:p>
      <w:pPr>
        <w:spacing w:after="0" w:line="225" w:lineRule="exact"/>
        <w:rPr>
          <w:sz w:val="20"/>
          <w:szCs w:val="20"/>
          <w:color w:val="auto"/>
        </w:rPr>
      </w:pPr>
    </w:p>
    <w:p>
      <w:pPr>
        <w:ind w:left="280" w:right="160" w:hanging="134"/>
        <w:spacing w:after="0" w:line="282" w:lineRule="auto"/>
        <w:rPr>
          <w:sz w:val="20"/>
          <w:szCs w:val="20"/>
          <w:color w:val="auto"/>
        </w:rPr>
      </w:pPr>
      <w:r>
        <w:rPr>
          <w:rFonts w:ascii="Arial" w:cs="Arial" w:eastAsia="Arial" w:hAnsi="Arial"/>
          <w:sz w:val="18"/>
          <w:szCs w:val="18"/>
          <w:b w:val="1"/>
          <w:bCs w:val="1"/>
          <w:color w:val="auto"/>
        </w:rPr>
        <w:t>Weighted average number of ordinary shares outstanding used for diluted earnings per share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520" w:type="dxa"/>
        <w:tblCellMar>
          <w:top w:w="0" w:type="dxa"/>
          <w:left w:w="0" w:type="dxa"/>
          <w:bottom w:w="0" w:type="dxa"/>
          <w:right w:w="0" w:type="dxa"/>
        </w:tblCellMar>
      </w:tblPr>
      <w:tr>
        <w:trPr>
          <w:trHeight w:val="216"/>
        </w:trPr>
        <w:tc>
          <w:tcPr>
            <w:tcW w:w="3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0.76</w:t>
            </w:r>
          </w:p>
        </w:tc>
        <w:tc>
          <w:tcPr>
            <w:tcW w:w="60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0.84</w:t>
            </w:r>
          </w:p>
        </w:tc>
        <w:tc>
          <w:tcPr>
            <w:tcW w:w="380" w:type="dxa"/>
            <w:vAlign w:val="bottom"/>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1.32</w:t>
            </w:r>
          </w:p>
        </w:tc>
      </w:tr>
      <w:tr>
        <w:trPr>
          <w:trHeight w:val="20"/>
        </w:trPr>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413"/>
        </w:trPr>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82,302</w:t>
            </w:r>
          </w:p>
        </w:tc>
        <w:tc>
          <w:tcPr>
            <w:tcW w:w="220" w:type="dxa"/>
            <w:vAlign w:val="bottom"/>
          </w:tcPr>
          <w:p>
            <w:pPr>
              <w:spacing w:after="0"/>
              <w:rPr>
                <w:sz w:val="24"/>
                <w:szCs w:val="24"/>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90,048</w:t>
            </w:r>
          </w:p>
        </w:tc>
        <w:tc>
          <w:tcPr>
            <w:tcW w:w="200" w:type="dxa"/>
            <w:vAlign w:val="bottom"/>
          </w:tcPr>
          <w:p>
            <w:pPr>
              <w:spacing w:after="0"/>
              <w:rPr>
                <w:sz w:val="24"/>
                <w:szCs w:val="24"/>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135,579</w:t>
            </w: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588"/>
        </w:trPr>
        <w:tc>
          <w:tcPr>
            <w:tcW w:w="3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108,480</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107,438</w:t>
            </w:r>
          </w:p>
        </w:tc>
        <w:tc>
          <w:tcPr>
            <w:tcW w:w="3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102,517</w:t>
            </w:r>
          </w:p>
        </w:tc>
      </w:tr>
      <w:tr>
        <w:trPr>
          <w:trHeight w:val="20"/>
        </w:trPr>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-710565</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-410845</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F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126365</wp:posOffset>
            </wp:positionV>
            <wp:extent cx="713232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2">
            <w:col w:w="4740" w:space="720"/>
            <w:col w:w="5780"/>
          </w:cols>
          <w:pgMar w:left="320" w:top="324" w:right="3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Year ended</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6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8"/>
                <w:szCs w:val="18"/>
                <w:b w:val="1"/>
                <w:bCs w:val="1"/>
                <w:color w:val="auto"/>
                <w:w w:val="90"/>
              </w:rPr>
              <w:t>December 31,</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6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2019</w:t>
            </w:r>
          </w:p>
        </w:tc>
        <w:tc>
          <w:tcPr>
            <w:tcW w:w="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638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220" w:type="dxa"/>
            <w:vAlign w:val="bottom"/>
            <w:gridSpan w:val="2"/>
          </w:tcPr>
          <w:p>
            <w:pPr>
              <w:spacing w:after="0"/>
              <w:rPr>
                <w:sz w:val="18"/>
                <w:szCs w:val="18"/>
                <w:color w:val="auto"/>
              </w:rPr>
            </w:pPr>
          </w:p>
        </w:tc>
        <w:tc>
          <w:tcPr>
            <w:tcW w:w="130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3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Net profit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83,289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88,073</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133,379</w:t>
            </w:r>
          </w:p>
        </w:tc>
        <w:tc>
          <w:tcPr>
            <w:tcW w:w="20" w:type="dxa"/>
            <w:vAlign w:val="bottom"/>
            <w:shd w:val="clear" w:color="auto" w:fill="CCEEFF"/>
          </w:tcPr>
          <w:p>
            <w:pPr>
              <w:spacing w:after="0"/>
              <w:rPr>
                <w:sz w:val="18"/>
                <w:szCs w:val="18"/>
                <w:color w:val="auto"/>
              </w:rPr>
            </w:pPr>
          </w:p>
        </w:tc>
      </w:tr>
      <w:tr>
        <w:trPr>
          <w:trHeight w:val="216"/>
        </w:trPr>
        <w:tc>
          <w:tcPr>
            <w:tcW w:w="6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3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Other comprehensive income, net of tax:</w:t>
            </w: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6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38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Foreign currency translation adjustment</w:t>
            </w: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7,830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3,478</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3,599</w:t>
            </w:r>
          </w:p>
        </w:tc>
        <w:tc>
          <w:tcPr>
            <w:tcW w:w="20" w:type="dxa"/>
            <w:vAlign w:val="bottom"/>
            <w:shd w:val="clear" w:color="auto" w:fill="CCEEFF"/>
          </w:tcPr>
          <w:p>
            <w:pPr>
              <w:spacing w:after="0"/>
              <w:rPr>
                <w:sz w:val="18"/>
                <w:szCs w:val="18"/>
                <w:color w:val="auto"/>
              </w:rPr>
            </w:pPr>
          </w:p>
        </w:tc>
      </w:tr>
      <w:tr>
        <w:trPr>
          <w:trHeight w:val="216"/>
        </w:trPr>
        <w:tc>
          <w:tcPr>
            <w:tcW w:w="6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38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Change in employees plan assets and benefit obligations, net of taxes</w:t>
            </w: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(394)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(1,118)</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269</w:t>
            </w:r>
          </w:p>
        </w:tc>
        <w:tc>
          <w:tcPr>
            <w:tcW w:w="20" w:type="dxa"/>
            <w:vAlign w:val="bottom"/>
            <w:shd w:val="clear" w:color="auto" w:fill="CCEEFF"/>
          </w:tcPr>
          <w:p>
            <w:pPr>
              <w:spacing w:after="0"/>
              <w:rPr>
                <w:sz w:val="18"/>
                <w:szCs w:val="18"/>
                <w:color w:val="auto"/>
              </w:rPr>
            </w:pPr>
          </w:p>
        </w:tc>
      </w:tr>
      <w:tr>
        <w:trPr>
          <w:trHeight w:val="216"/>
        </w:trPr>
        <w:tc>
          <w:tcPr>
            <w:tcW w:w="6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638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Unrealized gain (loss) on derivatives</w:t>
            </w:r>
          </w:p>
        </w:tc>
        <w:tc>
          <w:tcPr>
            <w:tcW w:w="6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(1,774)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3,696</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(2,704)</w:t>
            </w:r>
          </w:p>
        </w:tc>
        <w:tc>
          <w:tcPr>
            <w:tcW w:w="20" w:type="dxa"/>
            <w:vAlign w:val="bottom"/>
            <w:shd w:val="clear" w:color="auto" w:fill="CCEEFF"/>
          </w:tcPr>
          <w:p>
            <w:pPr>
              <w:spacing w:after="0"/>
              <w:rPr>
                <w:sz w:val="19"/>
                <w:szCs w:val="19"/>
                <w:color w:val="auto"/>
              </w:rPr>
            </w:pPr>
          </w:p>
        </w:tc>
      </w:tr>
      <w:tr>
        <w:trPr>
          <w:trHeight w:val="216"/>
        </w:trPr>
        <w:tc>
          <w:tcPr>
            <w:tcW w:w="63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88,951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94,129</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134,543</w:t>
            </w:r>
          </w:p>
        </w:tc>
        <w:tc>
          <w:tcPr>
            <w:tcW w:w="20" w:type="dxa"/>
            <w:vAlign w:val="bottom"/>
            <w:shd w:val="clear" w:color="auto" w:fill="CCEEFF"/>
          </w:tcPr>
          <w:p>
            <w:pPr>
              <w:spacing w:after="0"/>
              <w:rPr>
                <w:sz w:val="18"/>
                <w:szCs w:val="18"/>
                <w:color w:val="auto"/>
              </w:rPr>
            </w:pPr>
          </w:p>
        </w:tc>
      </w:tr>
      <w:tr>
        <w:trPr>
          <w:trHeight w:val="216"/>
        </w:trPr>
        <w:tc>
          <w:tcPr>
            <w:tcW w:w="6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63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Comprehensive loss (income) attributable to non-controlling interest</w:t>
            </w:r>
          </w:p>
        </w:tc>
        <w:tc>
          <w:tcPr>
            <w:tcW w:w="6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(4,914)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1,063</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407</w:t>
            </w:r>
          </w:p>
        </w:tc>
        <w:tc>
          <w:tcPr>
            <w:tcW w:w="20" w:type="dxa"/>
            <w:vAlign w:val="bottom"/>
            <w:shd w:val="clear" w:color="auto" w:fill="CCEEFF"/>
          </w:tcPr>
          <w:p>
            <w:pPr>
              <w:spacing w:after="0"/>
              <w:rPr>
                <w:sz w:val="19"/>
                <w:szCs w:val="19"/>
                <w:color w:val="auto"/>
              </w:rPr>
            </w:pPr>
          </w:p>
        </w:tc>
      </w:tr>
      <w:tr>
        <w:trPr>
          <w:trHeight w:val="216"/>
        </w:trPr>
        <w:tc>
          <w:tcPr>
            <w:tcW w:w="63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56"/>
        </w:trPr>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 attributable to the Company</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84,037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95,192</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134,950</w:t>
            </w:r>
          </w:p>
        </w:tc>
        <w:tc>
          <w:tcPr>
            <w:tcW w:w="20" w:type="dxa"/>
            <w:vAlign w:val="bottom"/>
            <w:shd w:val="clear" w:color="auto" w:fill="CCEEFF"/>
          </w:tcPr>
          <w:p>
            <w:pPr>
              <w:spacing w:after="0"/>
              <w:rPr>
                <w:sz w:val="22"/>
                <w:szCs w:val="22"/>
                <w:color w:val="auto"/>
              </w:rPr>
            </w:pPr>
          </w:p>
        </w:tc>
      </w:tr>
      <w:tr>
        <w:trPr>
          <w:trHeight w:val="399"/>
        </w:trPr>
        <w:tc>
          <w:tcPr>
            <w:tcW w:w="638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See notes to consolidated financial statements.</w:t>
            </w:r>
          </w:p>
        </w:tc>
        <w:tc>
          <w:tcPr>
            <w:tcW w:w="60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432"/>
        </w:trPr>
        <w:tc>
          <w:tcPr>
            <w:tcW w:w="6380" w:type="dxa"/>
            <w:vAlign w:val="bottom"/>
          </w:tcPr>
          <w:p>
            <w:pPr>
              <w:ind w:left="5460"/>
              <w:spacing w:after="0"/>
              <w:rPr>
                <w:sz w:val="20"/>
                <w:szCs w:val="20"/>
                <w:color w:val="auto"/>
              </w:rPr>
            </w:pPr>
            <w:r>
              <w:rPr>
                <w:rFonts w:ascii="Arial" w:cs="Arial" w:eastAsia="Arial" w:hAnsi="Arial"/>
                <w:sz w:val="18"/>
                <w:szCs w:val="18"/>
                <w:color w:val="auto"/>
              </w:rPr>
              <w:t>F - 6</w:t>
            </w: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6380" w:type="dxa"/>
            <w:vAlign w:val="bottom"/>
            <w:tcBorders>
              <w:bottom w:val="single" w:sz="8" w:color="EEEEEE"/>
            </w:tcBorders>
          </w:tcPr>
          <w:p>
            <w:pPr>
              <w:spacing w:after="0"/>
              <w:rPr>
                <w:sz w:val="17"/>
                <w:szCs w:val="17"/>
                <w:color w:val="auto"/>
              </w:rPr>
            </w:pPr>
          </w:p>
        </w:tc>
        <w:tc>
          <w:tcPr>
            <w:tcW w:w="600" w:type="dxa"/>
            <w:vAlign w:val="bottom"/>
            <w:tcBorders>
              <w:bottom w:val="single" w:sz="8" w:color="EEEEEE"/>
            </w:tcBorders>
          </w:tcPr>
          <w:p>
            <w:pPr>
              <w:spacing w:after="0"/>
              <w:rPr>
                <w:sz w:val="17"/>
                <w:szCs w:val="17"/>
                <w:color w:val="auto"/>
              </w:rPr>
            </w:pPr>
          </w:p>
        </w:tc>
        <w:tc>
          <w:tcPr>
            <w:tcW w:w="280" w:type="dxa"/>
            <w:vAlign w:val="bottom"/>
            <w:tcBorders>
              <w:bottom w:val="single" w:sz="8" w:color="EEEEEE"/>
            </w:tcBorders>
          </w:tcPr>
          <w:p>
            <w:pPr>
              <w:spacing w:after="0"/>
              <w:rPr>
                <w:sz w:val="17"/>
                <w:szCs w:val="17"/>
                <w:color w:val="auto"/>
              </w:rPr>
            </w:pPr>
          </w:p>
        </w:tc>
        <w:tc>
          <w:tcPr>
            <w:tcW w:w="960" w:type="dxa"/>
            <w:vAlign w:val="bottom"/>
            <w:tcBorders>
              <w:bottom w:val="single" w:sz="8" w:color="EEEEEE"/>
            </w:tcBorders>
          </w:tcPr>
          <w:p>
            <w:pPr>
              <w:spacing w:after="0"/>
              <w:rPr>
                <w:sz w:val="17"/>
                <w:szCs w:val="17"/>
                <w:color w:val="auto"/>
              </w:rPr>
            </w:pPr>
          </w:p>
        </w:tc>
        <w:tc>
          <w:tcPr>
            <w:tcW w:w="140" w:type="dxa"/>
            <w:vAlign w:val="bottom"/>
            <w:tcBorders>
              <w:bottom w:val="single" w:sz="8" w:color="EEEEEE"/>
            </w:tcBorders>
          </w:tcPr>
          <w:p>
            <w:pPr>
              <w:spacing w:after="0"/>
              <w:rPr>
                <w:sz w:val="17"/>
                <w:szCs w:val="17"/>
                <w:color w:val="auto"/>
              </w:rPr>
            </w:pPr>
          </w:p>
        </w:tc>
        <w:tc>
          <w:tcPr>
            <w:tcW w:w="80" w:type="dxa"/>
            <w:vAlign w:val="bottom"/>
            <w:tcBorders>
              <w:bottom w:val="single" w:sz="8" w:color="EEEEEE"/>
            </w:tcBorders>
          </w:tcPr>
          <w:p>
            <w:pPr>
              <w:spacing w:after="0"/>
              <w:rPr>
                <w:sz w:val="17"/>
                <w:szCs w:val="17"/>
                <w:color w:val="auto"/>
              </w:rPr>
            </w:pPr>
          </w:p>
        </w:tc>
        <w:tc>
          <w:tcPr>
            <w:tcW w:w="140" w:type="dxa"/>
            <w:vAlign w:val="bottom"/>
            <w:tcBorders>
              <w:bottom w:val="single" w:sz="8" w:color="EEEEEE"/>
            </w:tcBorders>
          </w:tcPr>
          <w:p>
            <w:pPr>
              <w:spacing w:after="0"/>
              <w:rPr>
                <w:sz w:val="17"/>
                <w:szCs w:val="17"/>
                <w:color w:val="auto"/>
              </w:rPr>
            </w:pPr>
          </w:p>
        </w:tc>
        <w:tc>
          <w:tcPr>
            <w:tcW w:w="1100" w:type="dxa"/>
            <w:vAlign w:val="bottom"/>
            <w:tcBorders>
              <w:bottom w:val="single" w:sz="8" w:color="EEEEEE"/>
            </w:tcBorders>
          </w:tcPr>
          <w:p>
            <w:pPr>
              <w:spacing w:after="0"/>
              <w:rPr>
                <w:sz w:val="17"/>
                <w:szCs w:val="17"/>
                <w:color w:val="auto"/>
              </w:rPr>
            </w:pPr>
          </w:p>
        </w:tc>
        <w:tc>
          <w:tcPr>
            <w:tcW w:w="200" w:type="dxa"/>
            <w:vAlign w:val="bottom"/>
            <w:tcBorders>
              <w:bottom w:val="single" w:sz="8" w:color="EEEEEE"/>
            </w:tcBorders>
          </w:tcPr>
          <w:p>
            <w:pPr>
              <w:spacing w:after="0"/>
              <w:rPr>
                <w:sz w:val="17"/>
                <w:szCs w:val="17"/>
                <w:color w:val="auto"/>
              </w:rPr>
            </w:pPr>
          </w:p>
        </w:tc>
        <w:tc>
          <w:tcPr>
            <w:tcW w:w="280" w:type="dxa"/>
            <w:vAlign w:val="bottom"/>
            <w:tcBorders>
              <w:bottom w:val="single" w:sz="8" w:color="EEEEEE"/>
            </w:tcBorders>
          </w:tcPr>
          <w:p>
            <w:pPr>
              <w:spacing w:after="0"/>
              <w:rPr>
                <w:sz w:val="17"/>
                <w:szCs w:val="17"/>
                <w:color w:val="auto"/>
              </w:rPr>
            </w:pPr>
          </w:p>
        </w:tc>
        <w:tc>
          <w:tcPr>
            <w:tcW w:w="96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1" w:name="page12"/>
    <w:bookmarkEnd w:id="11"/>
    <w:p>
      <w:pPr>
        <w:jc w:val="center"/>
        <w:ind w:left="340" w:right="2400"/>
        <w:spacing w:after="0" w:line="266" w:lineRule="auto"/>
        <w:rPr>
          <w:sz w:val="20"/>
          <w:szCs w:val="20"/>
          <w:color w:val="auto"/>
        </w:rPr>
      </w:pPr>
      <w:r>
        <w:rPr>
          <w:rFonts w:ascii="Arial" w:cs="Arial" w:eastAsia="Arial" w:hAnsi="Arial"/>
          <w:sz w:val="18"/>
          <w:szCs w:val="18"/>
          <w:b w:val="1"/>
          <w:bCs w:val="1"/>
          <w:color w:val="auto"/>
        </w:rPr>
        <w:t>TOWER SEMICONDUCTOR LTD. AND SUBSIDIARIES CONSOLIDATED STATEMENT OF CHANGES IN SHAREHOLDERS' EQUITY (dollars and share data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60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780" w:type="dxa"/>
            <w:vAlign w:val="bottom"/>
            <w:tcBorders>
              <w:bottom w:val="single" w:sz="8" w:color="auto"/>
            </w:tcBorders>
            <w:gridSpan w:val="12"/>
          </w:tcPr>
          <w:p>
            <w:pPr>
              <w:ind w:left="60"/>
              <w:spacing w:after="0"/>
              <w:rPr>
                <w:sz w:val="20"/>
                <w:szCs w:val="20"/>
                <w:color w:val="auto"/>
              </w:rPr>
            </w:pPr>
            <w:r>
              <w:rPr>
                <w:rFonts w:ascii="Arial" w:cs="Arial" w:eastAsia="Arial" w:hAnsi="Arial"/>
                <w:sz w:val="13"/>
                <w:szCs w:val="13"/>
                <w:b w:val="1"/>
                <w:bCs w:val="1"/>
                <w:color w:val="auto"/>
                <w:w w:val="97"/>
              </w:rPr>
              <w:t>THE COMPANY'S SHAREHOLDERS' EQUITY</w:t>
            </w:r>
          </w:p>
        </w:tc>
        <w:tc>
          <w:tcPr>
            <w:tcW w:w="5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6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3"/>
          </w:tcPr>
          <w:p>
            <w:pPr>
              <w:jc w:val="center"/>
              <w:ind w:right="180"/>
              <w:spacing w:after="0" w:line="117" w:lineRule="exact"/>
              <w:rPr>
                <w:sz w:val="20"/>
                <w:szCs w:val="20"/>
                <w:color w:val="auto"/>
              </w:rPr>
            </w:pPr>
            <w:r>
              <w:rPr>
                <w:rFonts w:ascii="Arial" w:cs="Arial" w:eastAsia="Arial" w:hAnsi="Arial"/>
                <w:sz w:val="13"/>
                <w:szCs w:val="13"/>
                <w:b w:val="1"/>
                <w:bCs w:val="1"/>
                <w:color w:val="auto"/>
                <w:w w:val="88"/>
              </w:rPr>
              <w:t>Accumulated</w:t>
            </w:r>
          </w:p>
        </w:tc>
        <w:tc>
          <w:tcPr>
            <w:tcW w:w="80" w:type="dxa"/>
            <w:vAlign w:val="bottom"/>
          </w:tcPr>
          <w:p>
            <w:pPr>
              <w:spacing w:after="0"/>
              <w:rPr>
                <w:sz w:val="10"/>
                <w:szCs w:val="10"/>
                <w:color w:val="auto"/>
              </w:rPr>
            </w:pPr>
          </w:p>
        </w:tc>
        <w:tc>
          <w:tcPr>
            <w:tcW w:w="700" w:type="dxa"/>
            <w:vAlign w:val="bottom"/>
            <w:gridSpan w:val="2"/>
          </w:tcPr>
          <w:p>
            <w:pPr>
              <w:jc w:val="right"/>
              <w:ind w:right="218"/>
              <w:spacing w:after="0" w:line="117" w:lineRule="exact"/>
              <w:rPr>
                <w:sz w:val="20"/>
                <w:szCs w:val="20"/>
                <w:color w:val="auto"/>
              </w:rPr>
            </w:pPr>
            <w:r>
              <w:rPr>
                <w:rFonts w:ascii="Arial" w:cs="Arial" w:eastAsia="Arial" w:hAnsi="Arial"/>
                <w:sz w:val="13"/>
                <w:szCs w:val="13"/>
                <w:b w:val="1"/>
                <w:bCs w:val="1"/>
                <w:color w:val="auto"/>
                <w:w w:val="88"/>
              </w:rPr>
              <w:t>Foreign</w:t>
            </w: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600" w:type="dxa"/>
            <w:vAlign w:val="bottom"/>
          </w:tcPr>
          <w:p>
            <w:pPr>
              <w:spacing w:after="0"/>
              <w:rPr>
                <w:sz w:val="11"/>
                <w:szCs w:val="11"/>
                <w:color w:val="auto"/>
              </w:rPr>
            </w:pPr>
          </w:p>
        </w:tc>
        <w:tc>
          <w:tcPr>
            <w:tcW w:w="700" w:type="dxa"/>
            <w:vAlign w:val="bottom"/>
            <w:gridSpan w:val="2"/>
          </w:tcPr>
          <w:p>
            <w:pPr>
              <w:jc w:val="right"/>
              <w:ind w:right="180"/>
              <w:spacing w:after="0" w:line="135" w:lineRule="exact"/>
              <w:rPr>
                <w:sz w:val="20"/>
                <w:szCs w:val="20"/>
                <w:color w:val="auto"/>
              </w:rPr>
            </w:pPr>
            <w:r>
              <w:rPr>
                <w:rFonts w:ascii="Arial" w:cs="Arial" w:eastAsia="Arial" w:hAnsi="Arial"/>
                <w:sz w:val="13"/>
                <w:szCs w:val="13"/>
                <w:b w:val="1"/>
                <w:bCs w:val="1"/>
                <w:color w:val="auto"/>
                <w:w w:val="92"/>
              </w:rPr>
              <w:t>Ordinary</w:t>
            </w:r>
          </w:p>
        </w:tc>
        <w:tc>
          <w:tcPr>
            <w:tcW w:w="70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Ordinary</w:t>
            </w:r>
          </w:p>
        </w:tc>
        <w:tc>
          <w:tcPr>
            <w:tcW w:w="70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1"/>
              </w:rPr>
              <w:t>Additional</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86"/>
              </w:rPr>
              <w:t>other</w:t>
            </w:r>
          </w:p>
        </w:tc>
        <w:tc>
          <w:tcPr>
            <w:tcW w:w="80" w:type="dxa"/>
            <w:vAlign w:val="bottom"/>
          </w:tcPr>
          <w:p>
            <w:pPr>
              <w:spacing w:after="0"/>
              <w:rPr>
                <w:sz w:val="11"/>
                <w:szCs w:val="11"/>
                <w:color w:val="auto"/>
              </w:rPr>
            </w:pPr>
          </w:p>
        </w:tc>
        <w:tc>
          <w:tcPr>
            <w:tcW w:w="700" w:type="dxa"/>
            <w:vAlign w:val="bottom"/>
            <w:gridSpan w:val="2"/>
          </w:tcPr>
          <w:p>
            <w:pPr>
              <w:jc w:val="right"/>
              <w:ind w:right="178"/>
              <w:spacing w:after="0" w:line="135" w:lineRule="exact"/>
              <w:rPr>
                <w:sz w:val="20"/>
                <w:szCs w:val="20"/>
                <w:color w:val="auto"/>
              </w:rPr>
            </w:pPr>
            <w:r>
              <w:rPr>
                <w:rFonts w:ascii="Arial" w:cs="Arial" w:eastAsia="Arial" w:hAnsi="Arial"/>
                <w:sz w:val="13"/>
                <w:szCs w:val="13"/>
                <w:b w:val="1"/>
                <w:bCs w:val="1"/>
                <w:color w:val="auto"/>
                <w:w w:val="83"/>
              </w:rPr>
              <w:t>currency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318"/>
              <w:spacing w:after="0" w:line="135" w:lineRule="exact"/>
              <w:rPr>
                <w:sz w:val="20"/>
                <w:szCs w:val="20"/>
                <w:color w:val="auto"/>
              </w:rPr>
            </w:pPr>
            <w:r>
              <w:rPr>
                <w:rFonts w:ascii="Arial" w:cs="Arial" w:eastAsia="Arial" w:hAnsi="Arial"/>
                <w:sz w:val="13"/>
                <w:szCs w:val="13"/>
                <w:b w:val="1"/>
                <w:bCs w:val="1"/>
                <w:color w:val="auto"/>
              </w:rPr>
              <w:t>Non</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00" w:type="dxa"/>
            <w:vAlign w:val="bottom"/>
          </w:tcPr>
          <w:p>
            <w:pPr>
              <w:spacing w:after="0"/>
              <w:rPr>
                <w:sz w:val="11"/>
                <w:szCs w:val="11"/>
                <w:color w:val="auto"/>
              </w:rPr>
            </w:pPr>
          </w:p>
        </w:tc>
        <w:tc>
          <w:tcPr>
            <w:tcW w:w="700" w:type="dxa"/>
            <w:vAlign w:val="bottom"/>
            <w:gridSpan w:val="2"/>
          </w:tcPr>
          <w:p>
            <w:pPr>
              <w:jc w:val="right"/>
              <w:ind w:right="260"/>
              <w:spacing w:after="0" w:line="135" w:lineRule="exact"/>
              <w:rPr>
                <w:sz w:val="20"/>
                <w:szCs w:val="20"/>
                <w:color w:val="auto"/>
              </w:rPr>
            </w:pPr>
            <w:r>
              <w:rPr>
                <w:rFonts w:ascii="Arial" w:cs="Arial" w:eastAsia="Arial" w:hAnsi="Arial"/>
                <w:sz w:val="13"/>
                <w:szCs w:val="13"/>
                <w:b w:val="1"/>
                <w:bCs w:val="1"/>
                <w:color w:val="auto"/>
              </w:rPr>
              <w:t>shares</w:t>
            </w:r>
          </w:p>
        </w:tc>
        <w:tc>
          <w:tcPr>
            <w:tcW w:w="60" w:type="dxa"/>
            <w:vAlign w:val="bottom"/>
          </w:tcPr>
          <w:p>
            <w:pPr>
              <w:spacing w:after="0"/>
              <w:rPr>
                <w:sz w:val="11"/>
                <w:szCs w:val="11"/>
                <w:color w:val="auto"/>
              </w:rPr>
            </w:pPr>
          </w:p>
        </w:tc>
        <w:tc>
          <w:tcPr>
            <w:tcW w:w="640" w:type="dxa"/>
            <w:vAlign w:val="bottom"/>
            <w:gridSpan w:val="2"/>
          </w:tcPr>
          <w:p>
            <w:pPr>
              <w:jc w:val="right"/>
              <w:ind w:right="260"/>
              <w:spacing w:after="0" w:line="135" w:lineRule="exact"/>
              <w:rPr>
                <w:sz w:val="20"/>
                <w:szCs w:val="20"/>
                <w:color w:val="auto"/>
              </w:rPr>
            </w:pPr>
            <w:r>
              <w:rPr>
                <w:rFonts w:ascii="Arial" w:cs="Arial" w:eastAsia="Arial" w:hAnsi="Arial"/>
                <w:sz w:val="13"/>
                <w:szCs w:val="13"/>
                <w:b w:val="1"/>
                <w:bCs w:val="1"/>
                <w:color w:val="auto"/>
                <w:w w:val="85"/>
              </w:rPr>
              <w:t>shares</w:t>
            </w:r>
          </w:p>
        </w:tc>
        <w:tc>
          <w:tcPr>
            <w:tcW w:w="70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9"/>
              </w:rPr>
              <w:t>paid-in</w:t>
            </w:r>
          </w:p>
        </w:tc>
        <w:tc>
          <w:tcPr>
            <w:tcW w:w="80" w:type="dxa"/>
            <w:vAlign w:val="bottom"/>
          </w:tcPr>
          <w:p>
            <w:pPr>
              <w:spacing w:after="0"/>
              <w:rPr>
                <w:sz w:val="11"/>
                <w:szCs w:val="11"/>
                <w:color w:val="auto"/>
              </w:rPr>
            </w:pPr>
          </w:p>
        </w:tc>
        <w:tc>
          <w:tcPr>
            <w:tcW w:w="680" w:type="dxa"/>
            <w:vAlign w:val="bottom"/>
            <w:gridSpan w:val="3"/>
          </w:tcPr>
          <w:p>
            <w:pPr>
              <w:jc w:val="right"/>
              <w:ind w:right="220"/>
              <w:spacing w:after="0" w:line="135" w:lineRule="exact"/>
              <w:rPr>
                <w:sz w:val="20"/>
                <w:szCs w:val="20"/>
                <w:color w:val="auto"/>
              </w:rPr>
            </w:pPr>
            <w:r>
              <w:rPr>
                <w:rFonts w:ascii="Arial" w:cs="Arial" w:eastAsia="Arial" w:hAnsi="Arial"/>
                <w:sz w:val="13"/>
                <w:szCs w:val="13"/>
                <w:b w:val="1"/>
                <w:bCs w:val="1"/>
                <w:color w:val="auto"/>
              </w:rPr>
              <w:t>Capital</w:t>
            </w:r>
          </w:p>
        </w:tc>
        <w:tc>
          <w:tcPr>
            <w:tcW w:w="80" w:type="dxa"/>
            <w:vAlign w:val="bottom"/>
          </w:tcPr>
          <w:p>
            <w:pPr>
              <w:spacing w:after="0"/>
              <w:rPr>
                <w:sz w:val="11"/>
                <w:szCs w:val="11"/>
                <w:color w:val="auto"/>
              </w:rPr>
            </w:pP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w w:val="89"/>
              </w:rPr>
              <w:t>Unearned</w:t>
            </w:r>
          </w:p>
        </w:tc>
        <w:tc>
          <w:tcPr>
            <w:tcW w:w="100" w:type="dxa"/>
            <w:vAlign w:val="bottom"/>
          </w:tcPr>
          <w:p>
            <w:pPr>
              <w:spacing w:after="0"/>
              <w:rPr>
                <w:sz w:val="11"/>
                <w:szCs w:val="11"/>
                <w:color w:val="auto"/>
              </w:rPr>
            </w:pPr>
          </w:p>
        </w:tc>
        <w:tc>
          <w:tcPr>
            <w:tcW w:w="98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comprehensive</w:t>
            </w:r>
          </w:p>
        </w:tc>
        <w:tc>
          <w:tcPr>
            <w:tcW w:w="4140" w:type="dxa"/>
            <w:vAlign w:val="bottom"/>
            <w:gridSpan w:val="16"/>
          </w:tcPr>
          <w:p>
            <w:pPr>
              <w:ind w:left="20"/>
              <w:spacing w:after="0" w:line="135" w:lineRule="exact"/>
              <w:rPr>
                <w:sz w:val="20"/>
                <w:szCs w:val="20"/>
                <w:color w:val="auto"/>
              </w:rPr>
            </w:pPr>
            <w:r>
              <w:rPr>
                <w:rFonts w:ascii="Arial" w:cs="Arial" w:eastAsia="Arial" w:hAnsi="Arial"/>
                <w:sz w:val="13"/>
                <w:szCs w:val="13"/>
                <w:b w:val="1"/>
                <w:bCs w:val="1"/>
                <w:color w:val="auto"/>
                <w:w w:val="99"/>
              </w:rPr>
              <w:t>translation   Accumulated   Treasury   Comprehensive   controlling</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1600" w:type="dxa"/>
            <w:vAlign w:val="bottom"/>
          </w:tcPr>
          <w:p>
            <w:pPr>
              <w:spacing w:after="0"/>
              <w:rPr>
                <w:sz w:val="13"/>
                <w:szCs w:val="13"/>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issued</w:t>
            </w:r>
          </w:p>
        </w:tc>
        <w:tc>
          <w:tcPr>
            <w:tcW w:w="60" w:type="dxa"/>
            <w:vAlign w:val="bottom"/>
          </w:tcPr>
          <w:p>
            <w:pPr>
              <w:spacing w:after="0"/>
              <w:rPr>
                <w:sz w:val="13"/>
                <w:szCs w:val="13"/>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w w:val="85"/>
              </w:rPr>
              <w:t>amount</w:t>
            </w:r>
          </w:p>
        </w:tc>
        <w:tc>
          <w:tcPr>
            <w:tcW w:w="7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2"/>
              </w:rPr>
              <w:t>capital</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w w:val="86"/>
              </w:rPr>
              <w:t>notes</w:t>
            </w:r>
          </w:p>
        </w:tc>
        <w:tc>
          <w:tcPr>
            <w:tcW w:w="860" w:type="dxa"/>
            <w:vAlign w:val="bottom"/>
            <w:gridSpan w:val="3"/>
          </w:tcPr>
          <w:p>
            <w:pPr>
              <w:spacing w:after="0"/>
              <w:rPr>
                <w:sz w:val="20"/>
                <w:szCs w:val="20"/>
                <w:color w:val="auto"/>
              </w:rPr>
            </w:pPr>
            <w:r>
              <w:rPr>
                <w:rFonts w:ascii="Arial" w:cs="Arial" w:eastAsia="Arial" w:hAnsi="Arial"/>
                <w:sz w:val="13"/>
                <w:szCs w:val="13"/>
                <w:b w:val="1"/>
                <w:bCs w:val="1"/>
                <w:color w:val="auto"/>
                <w:w w:val="95"/>
              </w:rPr>
              <w:t>compensation</w:t>
            </w:r>
          </w:p>
        </w:tc>
        <w:tc>
          <w:tcPr>
            <w:tcW w:w="100" w:type="dxa"/>
            <w:vAlign w:val="bottom"/>
          </w:tcPr>
          <w:p>
            <w:pPr>
              <w:spacing w:after="0"/>
              <w:rPr>
                <w:sz w:val="13"/>
                <w:szCs w:val="13"/>
                <w:color w:val="auto"/>
              </w:rPr>
            </w:pPr>
          </w:p>
        </w:tc>
        <w:tc>
          <w:tcPr>
            <w:tcW w:w="98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83"/>
              </w:rPr>
              <w:t>income (loss)</w:t>
            </w:r>
          </w:p>
        </w:tc>
        <w:tc>
          <w:tcPr>
            <w:tcW w:w="780" w:type="dxa"/>
            <w:vAlign w:val="bottom"/>
            <w:gridSpan w:val="3"/>
          </w:tcPr>
          <w:p>
            <w:pPr>
              <w:spacing w:after="0"/>
              <w:rPr>
                <w:sz w:val="20"/>
                <w:szCs w:val="20"/>
                <w:color w:val="auto"/>
              </w:rPr>
            </w:pPr>
            <w:r>
              <w:rPr>
                <w:rFonts w:ascii="Arial" w:cs="Arial" w:eastAsia="Arial" w:hAnsi="Arial"/>
                <w:sz w:val="13"/>
                <w:szCs w:val="13"/>
                <w:b w:val="1"/>
                <w:bCs w:val="1"/>
                <w:color w:val="auto"/>
              </w:rPr>
              <w:t>adjustment</w:t>
            </w:r>
          </w:p>
        </w:tc>
        <w:tc>
          <w:tcPr>
            <w:tcW w:w="140" w:type="dxa"/>
            <w:vAlign w:val="bottom"/>
          </w:tcPr>
          <w:p>
            <w:pPr>
              <w:spacing w:after="0"/>
              <w:rPr>
                <w:sz w:val="13"/>
                <w:szCs w:val="13"/>
                <w:color w:val="auto"/>
              </w:rPr>
            </w:pPr>
          </w:p>
        </w:tc>
        <w:tc>
          <w:tcPr>
            <w:tcW w:w="680" w:type="dxa"/>
            <w:vAlign w:val="bottom"/>
            <w:gridSpan w:val="2"/>
          </w:tcPr>
          <w:p>
            <w:pPr>
              <w:jc w:val="right"/>
              <w:ind w:right="258"/>
              <w:spacing w:after="0"/>
              <w:rPr>
                <w:sz w:val="20"/>
                <w:szCs w:val="20"/>
                <w:color w:val="auto"/>
              </w:rPr>
            </w:pPr>
            <w:r>
              <w:rPr>
                <w:rFonts w:ascii="Arial" w:cs="Arial" w:eastAsia="Arial" w:hAnsi="Arial"/>
                <w:sz w:val="13"/>
                <w:szCs w:val="13"/>
                <w:b w:val="1"/>
                <w:bCs w:val="1"/>
                <w:color w:val="auto"/>
                <w:w w:val="93"/>
              </w:rPr>
              <w:t>deficit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3"/>
          </w:tcPr>
          <w:p>
            <w:pPr>
              <w:jc w:val="right"/>
              <w:ind w:right="377"/>
              <w:spacing w:after="0"/>
              <w:rPr>
                <w:sz w:val="20"/>
                <w:szCs w:val="20"/>
                <w:color w:val="auto"/>
              </w:rPr>
            </w:pPr>
            <w:r>
              <w:rPr>
                <w:rFonts w:ascii="Arial" w:cs="Arial" w:eastAsia="Arial" w:hAnsi="Arial"/>
                <w:sz w:val="13"/>
                <w:szCs w:val="13"/>
                <w:b w:val="1"/>
                <w:bCs w:val="1"/>
                <w:color w:val="auto"/>
                <w:w w:val="82"/>
              </w:rPr>
              <w:t>stock</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w w:val="96"/>
              </w:rPr>
              <w:t>income</w:t>
            </w:r>
          </w:p>
        </w:tc>
        <w:tc>
          <w:tcPr>
            <w:tcW w:w="80" w:type="dxa"/>
            <w:vAlign w:val="bottom"/>
          </w:tcPr>
          <w:p>
            <w:pPr>
              <w:spacing w:after="0"/>
              <w:rPr>
                <w:sz w:val="13"/>
                <w:szCs w:val="13"/>
                <w:color w:val="auto"/>
              </w:rPr>
            </w:pPr>
          </w:p>
        </w:tc>
        <w:tc>
          <w:tcPr>
            <w:tcW w:w="680" w:type="dxa"/>
            <w:vAlign w:val="bottom"/>
            <w:gridSpan w:val="2"/>
          </w:tcPr>
          <w:p>
            <w:pPr>
              <w:jc w:val="right"/>
              <w:ind w:right="218"/>
              <w:spacing w:after="0"/>
              <w:rPr>
                <w:sz w:val="20"/>
                <w:szCs w:val="20"/>
                <w:color w:val="auto"/>
              </w:rPr>
            </w:pPr>
            <w:r>
              <w:rPr>
                <w:rFonts w:ascii="Arial" w:cs="Arial" w:eastAsia="Arial" w:hAnsi="Arial"/>
                <w:sz w:val="13"/>
                <w:szCs w:val="13"/>
                <w:b w:val="1"/>
                <w:bCs w:val="1"/>
                <w:color w:val="auto"/>
                <w:w w:val="85"/>
              </w:rPr>
              <w:t>interest</w:t>
            </w:r>
          </w:p>
        </w:tc>
        <w:tc>
          <w:tcPr>
            <w:tcW w:w="70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17"/>
        </w:trPr>
        <w:tc>
          <w:tcPr>
            <w:tcW w:w="1600" w:type="dxa"/>
            <w:vAlign w:val="bottom"/>
            <w:shd w:val="clear" w:color="auto" w:fill="CCEEFF"/>
          </w:tcPr>
          <w:p>
            <w:pPr>
              <w:ind w:left="440"/>
              <w:spacing w:after="0" w:line="117" w:lineRule="exact"/>
              <w:rPr>
                <w:sz w:val="20"/>
                <w:szCs w:val="20"/>
                <w:color w:val="auto"/>
              </w:rPr>
            </w:pPr>
            <w:r>
              <w:rPr>
                <w:rFonts w:ascii="Arial" w:cs="Arial" w:eastAsia="Arial" w:hAnsi="Arial"/>
                <w:sz w:val="13"/>
                <w:szCs w:val="13"/>
                <w:b w:val="1"/>
                <w:bCs w:val="1"/>
                <w:color w:val="auto"/>
              </w:rPr>
              <w:t>BALANCE AS OF</w:t>
            </w:r>
          </w:p>
        </w:tc>
        <w:tc>
          <w:tcPr>
            <w:tcW w:w="54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600" w:type="dxa"/>
            <w:vAlign w:val="bottom"/>
            <w:shd w:val="clear" w:color="auto" w:fill="CCEEFF"/>
          </w:tcPr>
          <w:p>
            <w:pPr>
              <w:ind w:left="660"/>
              <w:spacing w:after="0" w:line="135" w:lineRule="exact"/>
              <w:rPr>
                <w:sz w:val="20"/>
                <w:szCs w:val="20"/>
                <w:color w:val="auto"/>
              </w:rPr>
            </w:pPr>
            <w:r>
              <w:rPr>
                <w:rFonts w:ascii="Arial" w:cs="Arial" w:eastAsia="Arial" w:hAnsi="Arial"/>
                <w:sz w:val="13"/>
                <w:szCs w:val="13"/>
                <w:b w:val="1"/>
                <w:bCs w:val="1"/>
                <w:color w:val="auto"/>
              </w:rPr>
              <w:t>JANUARY 1,</w:t>
            </w: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600" w:type="dxa"/>
            <w:vAlign w:val="bottom"/>
            <w:shd w:val="clear" w:color="auto" w:fill="CCEEFF"/>
          </w:tcPr>
          <w:p>
            <w:pPr>
              <w:ind w:left="660"/>
              <w:spacing w:after="0"/>
              <w:rPr>
                <w:sz w:val="20"/>
                <w:szCs w:val="20"/>
                <w:color w:val="auto"/>
              </w:rPr>
            </w:pPr>
            <w:r>
              <w:rPr>
                <w:rFonts w:ascii="Arial" w:cs="Arial" w:eastAsia="Arial" w:hAnsi="Arial"/>
                <w:sz w:val="13"/>
                <w:szCs w:val="13"/>
                <w:b w:val="1"/>
                <w:bCs w:val="1"/>
                <w:color w:val="auto"/>
              </w:rPr>
              <w:t>2018</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98,544</w:t>
            </w:r>
          </w:p>
        </w:tc>
        <w:tc>
          <w:tcPr>
            <w:tcW w:w="60" w:type="dxa"/>
            <w:vAlign w:val="bottom"/>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w w:val="97"/>
              </w:rPr>
              <w:t>391,727</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b w:val="1"/>
                <w:bCs w:val="1"/>
                <w:color w:val="auto"/>
                <w:w w:val="87"/>
              </w:rPr>
              <w:t>$ 1,347,866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b w:val="1"/>
                <w:bCs w:val="1"/>
                <w:color w:val="auto"/>
              </w:rPr>
              <w:t>20,758</w:t>
            </w:r>
          </w:p>
        </w:tc>
        <w:tc>
          <w:tcPr>
            <w:tcW w:w="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w w:val="82"/>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80,565</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3"/>
                <w:szCs w:val="13"/>
                <w:b w:val="1"/>
                <w:bCs w:val="1"/>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1,763</w:t>
            </w:r>
          </w:p>
        </w:tc>
        <w:tc>
          <w:tcPr>
            <w:tcW w:w="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w w:val="82"/>
              </w:rPr>
              <w:t>$</w:t>
            </w:r>
          </w:p>
        </w:tc>
        <w:tc>
          <w:tcPr>
            <w:tcW w:w="700" w:type="dxa"/>
            <w:vAlign w:val="bottom"/>
            <w:gridSpan w:val="2"/>
            <w:shd w:val="clear" w:color="auto" w:fill="CCEEFF"/>
          </w:tcPr>
          <w:p>
            <w:pPr>
              <w:jc w:val="right"/>
              <w:ind w:right="78"/>
              <w:spacing w:after="0"/>
              <w:rPr>
                <w:sz w:val="20"/>
                <w:szCs w:val="20"/>
                <w:color w:val="auto"/>
              </w:rPr>
            </w:pPr>
            <w:r>
              <w:rPr>
                <w:rFonts w:ascii="Arial" w:cs="Arial" w:eastAsia="Arial" w:hAnsi="Arial"/>
                <w:sz w:val="13"/>
                <w:szCs w:val="13"/>
                <w:b w:val="1"/>
                <w:bCs w:val="1"/>
                <w:color w:val="auto"/>
              </w:rPr>
              <w:t>(24,522)</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680" w:type="dxa"/>
            <w:vAlign w:val="bottom"/>
            <w:gridSpan w:val="2"/>
            <w:shd w:val="clear" w:color="auto" w:fill="CCEEFF"/>
          </w:tcPr>
          <w:p>
            <w:pPr>
              <w:jc w:val="right"/>
              <w:ind w:right="18"/>
              <w:spacing w:after="0"/>
              <w:rPr>
                <w:sz w:val="20"/>
                <w:szCs w:val="20"/>
                <w:color w:val="auto"/>
              </w:rPr>
            </w:pPr>
            <w:r>
              <w:rPr>
                <w:rFonts w:ascii="Arial" w:cs="Arial" w:eastAsia="Arial" w:hAnsi="Arial"/>
                <w:sz w:val="13"/>
                <w:szCs w:val="13"/>
                <w:b w:val="1"/>
                <w:bCs w:val="1"/>
                <w:color w:val="auto"/>
              </w:rPr>
              <w:t>(773,025)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580" w:type="dxa"/>
            <w:vAlign w:val="bottom"/>
            <w:gridSpan w:val="2"/>
            <w:shd w:val="clear" w:color="auto" w:fill="CCEEFF"/>
          </w:tcPr>
          <w:p>
            <w:pPr>
              <w:jc w:val="right"/>
              <w:ind w:right="78"/>
              <w:spacing w:after="0"/>
              <w:rPr>
                <w:sz w:val="20"/>
                <w:szCs w:val="20"/>
                <w:color w:val="auto"/>
              </w:rPr>
            </w:pPr>
            <w:r>
              <w:rPr>
                <w:rFonts w:ascii="Arial" w:cs="Arial" w:eastAsia="Arial" w:hAnsi="Arial"/>
                <w:sz w:val="13"/>
                <w:szCs w:val="13"/>
                <w:b w:val="1"/>
                <w:bCs w:val="1"/>
                <w:color w:val="auto"/>
              </w:rPr>
              <w:t>(9,072)</w:t>
            </w: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80" w:type="dxa"/>
            <w:vAlign w:val="bottom"/>
            <w:gridSpan w:val="2"/>
            <w:shd w:val="clear" w:color="auto" w:fill="CCEEFF"/>
          </w:tcPr>
          <w:p>
            <w:pPr>
              <w:jc w:val="right"/>
              <w:ind w:right="98"/>
              <w:spacing w:after="0"/>
              <w:rPr>
                <w:sz w:val="20"/>
                <w:szCs w:val="20"/>
                <w:color w:val="auto"/>
              </w:rPr>
            </w:pPr>
            <w:r>
              <w:rPr>
                <w:rFonts w:ascii="Arial" w:cs="Arial" w:eastAsia="Arial" w:hAnsi="Arial"/>
                <w:sz w:val="13"/>
                <w:szCs w:val="13"/>
                <w:b w:val="1"/>
                <w:bCs w:val="1"/>
                <w:color w:val="auto"/>
              </w:rPr>
              <w:t>(6,354)</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w w:val="84"/>
              </w:rPr>
              <w:t>$ 1,029,706</w:t>
            </w:r>
          </w:p>
        </w:tc>
        <w:tc>
          <w:tcPr>
            <w:tcW w:w="0" w:type="dxa"/>
            <w:vAlign w:val="bottom"/>
          </w:tcPr>
          <w:p>
            <w:pPr>
              <w:spacing w:after="0"/>
              <w:rPr>
                <w:sz w:val="1"/>
                <w:szCs w:val="1"/>
                <w:color w:val="auto"/>
              </w:rPr>
            </w:pPr>
          </w:p>
        </w:tc>
      </w:tr>
      <w:tr>
        <w:trPr>
          <w:trHeight w:val="135"/>
        </w:trPr>
        <w:tc>
          <w:tcPr>
            <w:tcW w:w="1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0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w w:val="93"/>
              </w:rPr>
              <w:t>Changes during the period:</w:t>
            </w: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600" w:type="dxa"/>
            <w:vAlign w:val="bottom"/>
            <w:shd w:val="clear" w:color="auto" w:fill="CCEEFF"/>
          </w:tcPr>
          <w:p>
            <w:pPr>
              <w:spacing w:after="0" w:line="117" w:lineRule="exact"/>
              <w:rPr>
                <w:sz w:val="20"/>
                <w:szCs w:val="20"/>
                <w:color w:val="auto"/>
              </w:rPr>
            </w:pPr>
            <w:r>
              <w:rPr>
                <w:rFonts w:ascii="Arial" w:cs="Arial" w:eastAsia="Arial" w:hAnsi="Arial"/>
                <w:sz w:val="13"/>
                <w:szCs w:val="13"/>
                <w:b w:val="1"/>
                <w:bCs w:val="1"/>
                <w:color w:val="auto"/>
              </w:rPr>
              <w:t>Conversion of notes into</w:t>
            </w: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600" w:type="dxa"/>
            <w:vAlign w:val="bottom"/>
            <w:shd w:val="clear" w:color="auto" w:fill="CCEEFF"/>
          </w:tcPr>
          <w:p>
            <w:pPr>
              <w:ind w:left="220"/>
              <w:spacing w:after="0"/>
              <w:rPr>
                <w:sz w:val="20"/>
                <w:szCs w:val="20"/>
                <w:color w:val="auto"/>
              </w:rPr>
            </w:pPr>
            <w:r>
              <w:rPr>
                <w:rFonts w:ascii="Arial" w:cs="Arial" w:eastAsia="Arial" w:hAnsi="Arial"/>
                <w:sz w:val="13"/>
                <w:szCs w:val="13"/>
                <w:b w:val="1"/>
                <w:bCs w:val="1"/>
                <w:color w:val="auto"/>
              </w:rPr>
              <w:t>share capital</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5,790</w:t>
            </w: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23,722</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b w:val="1"/>
                <w:bCs w:val="1"/>
                <w:color w:val="auto"/>
              </w:rPr>
              <w:t>34,864</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58,586</w:t>
            </w:r>
          </w:p>
        </w:tc>
        <w:tc>
          <w:tcPr>
            <w:tcW w:w="0" w:type="dxa"/>
            <w:vAlign w:val="bottom"/>
          </w:tcPr>
          <w:p>
            <w:pPr>
              <w:spacing w:after="0"/>
              <w:rPr>
                <w:sz w:val="1"/>
                <w:szCs w:val="1"/>
                <w:color w:val="auto"/>
              </w:rPr>
            </w:pPr>
          </w:p>
        </w:tc>
      </w:tr>
      <w:tr>
        <w:trPr>
          <w:trHeight w:val="117"/>
        </w:trPr>
        <w:tc>
          <w:tcPr>
            <w:tcW w:w="1600" w:type="dxa"/>
            <w:vAlign w:val="bottom"/>
          </w:tcPr>
          <w:p>
            <w:pPr>
              <w:spacing w:after="0" w:line="117" w:lineRule="exact"/>
              <w:rPr>
                <w:sz w:val="20"/>
                <w:szCs w:val="20"/>
                <w:color w:val="auto"/>
              </w:rPr>
            </w:pPr>
            <w:r>
              <w:rPr>
                <w:rFonts w:ascii="Arial" w:cs="Arial" w:eastAsia="Arial" w:hAnsi="Arial"/>
                <w:sz w:val="13"/>
                <w:szCs w:val="13"/>
                <w:b w:val="1"/>
                <w:bCs w:val="1"/>
                <w:color w:val="auto"/>
              </w:rPr>
              <w:t>Exercise of options and</w:t>
            </w: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600" w:type="dxa"/>
            <w:vAlign w:val="bottom"/>
          </w:tcPr>
          <w:p>
            <w:pPr>
              <w:spacing w:after="0"/>
              <w:rPr>
                <w:sz w:val="20"/>
                <w:szCs w:val="20"/>
                <w:color w:val="auto"/>
              </w:rPr>
            </w:pPr>
            <w:r>
              <w:rPr>
                <w:rFonts w:ascii="Arial" w:cs="Arial" w:eastAsia="Arial" w:hAnsi="Arial"/>
                <w:sz w:val="13"/>
                <w:szCs w:val="13"/>
                <w:b w:val="1"/>
                <w:bCs w:val="1"/>
                <w:color w:val="auto"/>
              </w:rPr>
              <w:t>RSUs</w:t>
            </w:r>
          </w:p>
        </w:tc>
        <w:tc>
          <w:tcPr>
            <w:tcW w:w="7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732</w:t>
            </w:r>
          </w:p>
        </w:tc>
        <w:tc>
          <w:tcPr>
            <w:tcW w:w="60" w:type="dxa"/>
            <w:vAlign w:val="bottom"/>
          </w:tcPr>
          <w:p>
            <w:pPr>
              <w:spacing w:after="0"/>
              <w:rPr>
                <w:sz w:val="13"/>
                <w:szCs w:val="13"/>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3,043</w:t>
            </w:r>
          </w:p>
        </w:tc>
        <w:tc>
          <w:tcPr>
            <w:tcW w:w="70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(2,334)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709</w:t>
            </w:r>
          </w:p>
        </w:tc>
        <w:tc>
          <w:tcPr>
            <w:tcW w:w="0" w:type="dxa"/>
            <w:vAlign w:val="bottom"/>
          </w:tcPr>
          <w:p>
            <w:pPr>
              <w:spacing w:after="0"/>
              <w:rPr>
                <w:sz w:val="1"/>
                <w:szCs w:val="1"/>
                <w:color w:val="auto"/>
              </w:rPr>
            </w:pPr>
          </w:p>
        </w:tc>
      </w:tr>
      <w:tr>
        <w:trPr>
          <w:trHeight w:val="117"/>
        </w:trPr>
        <w:tc>
          <w:tcPr>
            <w:tcW w:w="1600" w:type="dxa"/>
            <w:vAlign w:val="bottom"/>
            <w:shd w:val="clear" w:color="auto" w:fill="CCEEFF"/>
          </w:tcPr>
          <w:p>
            <w:pPr>
              <w:spacing w:after="0" w:line="117" w:lineRule="exact"/>
              <w:rPr>
                <w:sz w:val="20"/>
                <w:szCs w:val="20"/>
                <w:color w:val="auto"/>
              </w:rPr>
            </w:pPr>
            <w:r>
              <w:rPr>
                <w:rFonts w:ascii="Arial" w:cs="Arial" w:eastAsia="Arial" w:hAnsi="Arial"/>
                <w:sz w:val="13"/>
                <w:szCs w:val="13"/>
                <w:b w:val="1"/>
                <w:bCs w:val="1"/>
                <w:color w:val="auto"/>
                <w:w w:val="90"/>
              </w:rPr>
              <w:t>Capital notes converted into</w:t>
            </w: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600" w:type="dxa"/>
            <w:vAlign w:val="bottom"/>
            <w:shd w:val="clear" w:color="auto" w:fill="CCEEFF"/>
          </w:tcPr>
          <w:p>
            <w:pPr>
              <w:ind w:left="220"/>
              <w:spacing w:after="0"/>
              <w:rPr>
                <w:sz w:val="20"/>
                <w:szCs w:val="20"/>
                <w:color w:val="auto"/>
              </w:rPr>
            </w:pPr>
            <w:r>
              <w:rPr>
                <w:rFonts w:ascii="Arial" w:cs="Arial" w:eastAsia="Arial" w:hAnsi="Arial"/>
                <w:sz w:val="13"/>
                <w:szCs w:val="13"/>
                <w:b w:val="1"/>
                <w:bCs w:val="1"/>
                <w:color w:val="auto"/>
              </w:rPr>
              <w:t>share capital</w:t>
            </w: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17"/>
        </w:trPr>
        <w:tc>
          <w:tcPr>
            <w:tcW w:w="1600" w:type="dxa"/>
            <w:vAlign w:val="bottom"/>
          </w:tcPr>
          <w:p>
            <w:pPr>
              <w:spacing w:after="0" w:line="117" w:lineRule="exact"/>
              <w:rPr>
                <w:sz w:val="20"/>
                <w:szCs w:val="20"/>
                <w:color w:val="auto"/>
              </w:rPr>
            </w:pPr>
            <w:r>
              <w:rPr>
                <w:rFonts w:ascii="Arial" w:cs="Arial" w:eastAsia="Arial" w:hAnsi="Arial"/>
                <w:sz w:val="13"/>
                <w:szCs w:val="13"/>
                <w:b w:val="1"/>
                <w:bCs w:val="1"/>
                <w:color w:val="auto"/>
              </w:rPr>
              <w:t>Employee stock-based</w:t>
            </w: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600" w:type="dxa"/>
            <w:vAlign w:val="bottom"/>
          </w:tcPr>
          <w:p>
            <w:pPr>
              <w:ind w:left="220"/>
              <w:spacing w:after="0"/>
              <w:rPr>
                <w:sz w:val="20"/>
                <w:szCs w:val="20"/>
                <w:color w:val="auto"/>
              </w:rPr>
            </w:pPr>
            <w:r>
              <w:rPr>
                <w:rFonts w:ascii="Arial" w:cs="Arial" w:eastAsia="Arial" w:hAnsi="Arial"/>
                <w:sz w:val="13"/>
                <w:szCs w:val="13"/>
                <w:b w:val="1"/>
                <w:bCs w:val="1"/>
                <w:color w:val="auto"/>
              </w:rPr>
              <w:t>compensation</w:t>
            </w: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12,661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12,661</w:t>
            </w:r>
          </w:p>
        </w:tc>
        <w:tc>
          <w:tcPr>
            <w:tcW w:w="0" w:type="dxa"/>
            <w:vAlign w:val="bottom"/>
          </w:tcPr>
          <w:p>
            <w:pPr>
              <w:spacing w:after="0"/>
              <w:rPr>
                <w:sz w:val="1"/>
                <w:szCs w:val="1"/>
                <w:color w:val="auto"/>
              </w:rPr>
            </w:pPr>
          </w:p>
        </w:tc>
      </w:tr>
      <w:tr>
        <w:trPr>
          <w:trHeight w:val="117"/>
        </w:trPr>
        <w:tc>
          <w:tcPr>
            <w:tcW w:w="1600" w:type="dxa"/>
            <w:vAlign w:val="bottom"/>
            <w:shd w:val="clear" w:color="auto" w:fill="CCEEFF"/>
          </w:tcPr>
          <w:p>
            <w:pPr>
              <w:ind w:left="220"/>
              <w:spacing w:after="0" w:line="117" w:lineRule="exact"/>
              <w:rPr>
                <w:sz w:val="20"/>
                <w:szCs w:val="20"/>
                <w:color w:val="auto"/>
              </w:rPr>
            </w:pPr>
            <w:r>
              <w:rPr>
                <w:rFonts w:ascii="Arial" w:cs="Arial" w:eastAsia="Arial" w:hAnsi="Arial"/>
                <w:sz w:val="13"/>
                <w:szCs w:val="13"/>
                <w:b w:val="1"/>
                <w:bCs w:val="1"/>
                <w:color w:val="auto"/>
              </w:rPr>
              <w:t>Other comprehensive</w:t>
            </w: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600" w:type="dxa"/>
            <w:vAlign w:val="bottom"/>
            <w:shd w:val="clear" w:color="auto" w:fill="CCEEFF"/>
          </w:tcPr>
          <w:p>
            <w:pPr>
              <w:ind w:left="440"/>
              <w:spacing w:after="0"/>
              <w:rPr>
                <w:sz w:val="20"/>
                <w:szCs w:val="20"/>
                <w:color w:val="auto"/>
              </w:rPr>
            </w:pPr>
            <w:r>
              <w:rPr>
                <w:rFonts w:ascii="Arial" w:cs="Arial" w:eastAsia="Arial" w:hAnsi="Arial"/>
                <w:sz w:val="13"/>
                <w:szCs w:val="13"/>
                <w:b w:val="1"/>
                <w:bCs w:val="1"/>
                <w:color w:val="auto"/>
              </w:rPr>
              <w:t>income:</w:t>
            </w: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600" w:type="dxa"/>
            <w:vAlign w:val="bottom"/>
          </w:tcPr>
          <w:p>
            <w:pPr>
              <w:ind w:left="440"/>
              <w:spacing w:after="0" w:line="135" w:lineRule="exact"/>
              <w:rPr>
                <w:sz w:val="20"/>
                <w:szCs w:val="20"/>
                <w:color w:val="auto"/>
              </w:rPr>
            </w:pPr>
            <w:r>
              <w:rPr>
                <w:rFonts w:ascii="Arial" w:cs="Arial" w:eastAsia="Arial" w:hAnsi="Arial"/>
                <w:sz w:val="13"/>
                <w:szCs w:val="13"/>
                <w:b w:val="1"/>
                <w:bCs w:val="1"/>
                <w:color w:val="auto"/>
              </w:rPr>
              <w:t>Profit</w:t>
            </w: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jc w:val="right"/>
              <w:ind w:right="58"/>
              <w:spacing w:after="0" w:line="135" w:lineRule="exact"/>
              <w:rPr>
                <w:sz w:val="20"/>
                <w:szCs w:val="20"/>
                <w:color w:val="auto"/>
              </w:rPr>
            </w:pPr>
            <w:r>
              <w:rPr>
                <w:rFonts w:ascii="Arial" w:cs="Arial" w:eastAsia="Arial" w:hAnsi="Arial"/>
                <w:sz w:val="13"/>
                <w:szCs w:val="13"/>
                <w:b w:val="1"/>
                <w:bCs w:val="1"/>
                <w:color w:val="auto"/>
              </w:rPr>
              <w:t>135,579</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3"/>
          </w:tcPr>
          <w:p>
            <w:pPr>
              <w:jc w:val="right"/>
              <w:ind w:right="17"/>
              <w:spacing w:after="0" w:line="135" w:lineRule="exact"/>
              <w:rPr>
                <w:sz w:val="20"/>
                <w:szCs w:val="20"/>
                <w:color w:val="auto"/>
              </w:rPr>
            </w:pPr>
            <w:r>
              <w:rPr>
                <w:rFonts w:ascii="Arial" w:cs="Arial" w:eastAsia="Arial" w:hAnsi="Arial"/>
                <w:sz w:val="13"/>
                <w:szCs w:val="13"/>
                <w:b w:val="1"/>
                <w:bCs w:val="1"/>
                <w:color w:val="auto"/>
              </w:rPr>
              <w:t>$</w:t>
            </w: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3"/>
                <w:szCs w:val="13"/>
                <w:b w:val="1"/>
                <w:bCs w:val="1"/>
                <w:color w:val="auto"/>
              </w:rPr>
              <w:t>135,579</w:t>
            </w:r>
          </w:p>
        </w:tc>
        <w:tc>
          <w:tcPr>
            <w:tcW w:w="80" w:type="dxa"/>
            <w:vAlign w:val="bottom"/>
          </w:tcPr>
          <w:p>
            <w:pPr>
              <w:spacing w:after="0"/>
              <w:rPr>
                <w:sz w:val="11"/>
                <w:szCs w:val="11"/>
                <w:color w:val="auto"/>
              </w:rPr>
            </w:pPr>
          </w:p>
        </w:tc>
        <w:tc>
          <w:tcPr>
            <w:tcW w:w="680" w:type="dxa"/>
            <w:vAlign w:val="bottom"/>
            <w:gridSpan w:val="2"/>
          </w:tcPr>
          <w:p>
            <w:pPr>
              <w:jc w:val="right"/>
              <w:ind w:right="98"/>
              <w:spacing w:after="0" w:line="135" w:lineRule="exact"/>
              <w:rPr>
                <w:sz w:val="20"/>
                <w:szCs w:val="20"/>
                <w:color w:val="auto"/>
              </w:rPr>
            </w:pPr>
            <w:r>
              <w:rPr>
                <w:rFonts w:ascii="Arial" w:cs="Arial" w:eastAsia="Arial" w:hAnsi="Arial"/>
                <w:sz w:val="13"/>
                <w:szCs w:val="13"/>
                <w:b w:val="1"/>
                <w:bCs w:val="1"/>
                <w:color w:val="auto"/>
              </w:rPr>
              <w:t>(2,200)</w:t>
            </w:r>
          </w:p>
        </w:tc>
        <w:tc>
          <w:tcPr>
            <w:tcW w:w="700" w:type="dxa"/>
            <w:vAlign w:val="bottom"/>
            <w:gridSpan w:val="2"/>
          </w:tcPr>
          <w:p>
            <w:pPr>
              <w:jc w:val="right"/>
              <w:ind w:right="100"/>
              <w:spacing w:after="0" w:line="135" w:lineRule="exact"/>
              <w:rPr>
                <w:sz w:val="20"/>
                <w:szCs w:val="20"/>
                <w:color w:val="auto"/>
              </w:rPr>
            </w:pPr>
            <w:r>
              <w:rPr>
                <w:rFonts w:ascii="Arial" w:cs="Arial" w:eastAsia="Arial" w:hAnsi="Arial"/>
                <w:sz w:val="13"/>
                <w:szCs w:val="13"/>
                <w:b w:val="1"/>
                <w:bCs w:val="1"/>
                <w:color w:val="auto"/>
              </w:rPr>
              <w:t>133,379</w:t>
            </w:r>
          </w:p>
        </w:tc>
        <w:tc>
          <w:tcPr>
            <w:tcW w:w="0" w:type="dxa"/>
            <w:vAlign w:val="bottom"/>
          </w:tcPr>
          <w:p>
            <w:pPr>
              <w:spacing w:after="0"/>
              <w:rPr>
                <w:sz w:val="1"/>
                <w:szCs w:val="1"/>
                <w:color w:val="auto"/>
              </w:rPr>
            </w:pPr>
          </w:p>
        </w:tc>
      </w:tr>
      <w:tr>
        <w:trPr>
          <w:trHeight w:val="117"/>
        </w:trPr>
        <w:tc>
          <w:tcPr>
            <w:tcW w:w="1600" w:type="dxa"/>
            <w:vAlign w:val="bottom"/>
            <w:shd w:val="clear" w:color="auto" w:fill="CCEEFF"/>
          </w:tcPr>
          <w:p>
            <w:pPr>
              <w:ind w:left="440"/>
              <w:spacing w:after="0" w:line="117" w:lineRule="exact"/>
              <w:rPr>
                <w:sz w:val="20"/>
                <w:szCs w:val="20"/>
                <w:color w:val="auto"/>
              </w:rPr>
            </w:pPr>
            <w:r>
              <w:rPr>
                <w:rFonts w:ascii="Arial" w:cs="Arial" w:eastAsia="Arial" w:hAnsi="Arial"/>
                <w:sz w:val="13"/>
                <w:szCs w:val="13"/>
                <w:b w:val="1"/>
                <w:bCs w:val="1"/>
                <w:color w:val="auto"/>
              </w:rPr>
              <w:t>Foreign currency</w:t>
            </w: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600" w:type="dxa"/>
            <w:vAlign w:val="bottom"/>
            <w:shd w:val="clear" w:color="auto" w:fill="CCEEFF"/>
          </w:tcPr>
          <w:p>
            <w:pPr>
              <w:ind w:left="660"/>
              <w:spacing w:after="0" w:line="135" w:lineRule="exact"/>
              <w:rPr>
                <w:sz w:val="20"/>
                <w:szCs w:val="20"/>
                <w:color w:val="auto"/>
              </w:rPr>
            </w:pPr>
            <w:r>
              <w:rPr>
                <w:rFonts w:ascii="Arial" w:cs="Arial" w:eastAsia="Arial" w:hAnsi="Arial"/>
                <w:sz w:val="13"/>
                <w:szCs w:val="13"/>
                <w:b w:val="1"/>
                <w:bCs w:val="1"/>
                <w:color w:val="auto"/>
              </w:rPr>
              <w:t>translation</w:t>
            </w: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600" w:type="dxa"/>
            <w:vAlign w:val="bottom"/>
            <w:shd w:val="clear" w:color="auto" w:fill="CCEEFF"/>
          </w:tcPr>
          <w:p>
            <w:pPr>
              <w:ind w:left="660"/>
              <w:spacing w:after="0"/>
              <w:rPr>
                <w:sz w:val="20"/>
                <w:szCs w:val="20"/>
                <w:color w:val="auto"/>
              </w:rPr>
            </w:pPr>
            <w:r>
              <w:rPr>
                <w:rFonts w:ascii="Arial" w:cs="Arial" w:eastAsia="Arial" w:hAnsi="Arial"/>
                <w:sz w:val="13"/>
                <w:szCs w:val="13"/>
                <w:b w:val="1"/>
                <w:bCs w:val="1"/>
                <w:color w:val="auto"/>
              </w:rPr>
              <w:t>adjustments</w:t>
            </w: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18"/>
              <w:spacing w:after="0"/>
              <w:rPr>
                <w:sz w:val="20"/>
                <w:szCs w:val="20"/>
                <w:color w:val="auto"/>
              </w:rPr>
            </w:pPr>
            <w:r>
              <w:rPr>
                <w:rFonts w:ascii="Arial" w:cs="Arial" w:eastAsia="Arial" w:hAnsi="Arial"/>
                <w:sz w:val="13"/>
                <w:szCs w:val="13"/>
                <w:b w:val="1"/>
                <w:bCs w:val="1"/>
                <w:color w:val="auto"/>
              </w:rPr>
              <w:t>1,806</w:t>
            </w: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b w:val="1"/>
                <w:bCs w:val="1"/>
                <w:color w:val="auto"/>
              </w:rPr>
              <w:t>1,806</w:t>
            </w: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38"/>
              <w:spacing w:after="0"/>
              <w:rPr>
                <w:sz w:val="20"/>
                <w:szCs w:val="20"/>
                <w:color w:val="auto"/>
              </w:rPr>
            </w:pPr>
            <w:r>
              <w:rPr>
                <w:rFonts w:ascii="Arial" w:cs="Arial" w:eastAsia="Arial" w:hAnsi="Arial"/>
                <w:sz w:val="13"/>
                <w:szCs w:val="13"/>
                <w:b w:val="1"/>
                <w:bCs w:val="1"/>
                <w:color w:val="auto"/>
              </w:rPr>
              <w:t>1,793</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3,599</w:t>
            </w:r>
          </w:p>
        </w:tc>
        <w:tc>
          <w:tcPr>
            <w:tcW w:w="0" w:type="dxa"/>
            <w:vAlign w:val="bottom"/>
          </w:tcPr>
          <w:p>
            <w:pPr>
              <w:spacing w:after="0"/>
              <w:rPr>
                <w:sz w:val="1"/>
                <w:szCs w:val="1"/>
                <w:color w:val="auto"/>
              </w:rPr>
            </w:pPr>
          </w:p>
        </w:tc>
      </w:tr>
      <w:tr>
        <w:trPr>
          <w:trHeight w:val="117"/>
        </w:trPr>
        <w:tc>
          <w:tcPr>
            <w:tcW w:w="1600" w:type="dxa"/>
            <w:vAlign w:val="bottom"/>
          </w:tcPr>
          <w:p>
            <w:pPr>
              <w:ind w:left="440"/>
              <w:spacing w:after="0" w:line="117" w:lineRule="exact"/>
              <w:rPr>
                <w:sz w:val="20"/>
                <w:szCs w:val="20"/>
                <w:color w:val="auto"/>
              </w:rPr>
            </w:pPr>
            <w:r>
              <w:rPr>
                <w:rFonts w:ascii="Arial" w:cs="Arial" w:eastAsia="Arial" w:hAnsi="Arial"/>
                <w:sz w:val="13"/>
                <w:szCs w:val="13"/>
                <w:b w:val="1"/>
                <w:bCs w:val="1"/>
                <w:color w:val="auto"/>
              </w:rPr>
              <w:t>Change in</w:t>
            </w: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600" w:type="dxa"/>
            <w:vAlign w:val="bottom"/>
          </w:tcPr>
          <w:p>
            <w:pPr>
              <w:ind w:left="660"/>
              <w:spacing w:after="0" w:line="135" w:lineRule="exact"/>
              <w:rPr>
                <w:sz w:val="20"/>
                <w:szCs w:val="20"/>
                <w:color w:val="auto"/>
              </w:rPr>
            </w:pPr>
            <w:r>
              <w:rPr>
                <w:rFonts w:ascii="Arial" w:cs="Arial" w:eastAsia="Arial" w:hAnsi="Arial"/>
                <w:sz w:val="13"/>
                <w:szCs w:val="13"/>
                <w:b w:val="1"/>
                <w:bCs w:val="1"/>
                <w:color w:val="auto"/>
                <w:w w:val="94"/>
              </w:rPr>
              <w:t>employees plan</w:t>
            </w: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00" w:type="dxa"/>
            <w:vAlign w:val="bottom"/>
          </w:tcPr>
          <w:p>
            <w:pPr>
              <w:ind w:left="660"/>
              <w:spacing w:after="0" w:line="135" w:lineRule="exact"/>
              <w:rPr>
                <w:sz w:val="20"/>
                <w:szCs w:val="20"/>
                <w:color w:val="auto"/>
              </w:rPr>
            </w:pPr>
            <w:r>
              <w:rPr>
                <w:rFonts w:ascii="Arial" w:cs="Arial" w:eastAsia="Arial" w:hAnsi="Arial"/>
                <w:sz w:val="13"/>
                <w:szCs w:val="13"/>
                <w:b w:val="1"/>
                <w:bCs w:val="1"/>
                <w:color w:val="auto"/>
              </w:rPr>
              <w:t>assets and</w:t>
            </w: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00" w:type="dxa"/>
            <w:vAlign w:val="bottom"/>
          </w:tcPr>
          <w:p>
            <w:pPr>
              <w:ind w:left="660"/>
              <w:spacing w:after="0" w:line="135" w:lineRule="exact"/>
              <w:rPr>
                <w:sz w:val="20"/>
                <w:szCs w:val="20"/>
                <w:color w:val="auto"/>
              </w:rPr>
            </w:pPr>
            <w:r>
              <w:rPr>
                <w:rFonts w:ascii="Arial" w:cs="Arial" w:eastAsia="Arial" w:hAnsi="Arial"/>
                <w:sz w:val="13"/>
                <w:szCs w:val="13"/>
                <w:b w:val="1"/>
                <w:bCs w:val="1"/>
                <w:color w:val="auto"/>
              </w:rPr>
              <w:t>benefit</w:t>
            </w: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600" w:type="dxa"/>
            <w:vAlign w:val="bottom"/>
          </w:tcPr>
          <w:p>
            <w:pPr>
              <w:ind w:left="660"/>
              <w:spacing w:after="0"/>
              <w:rPr>
                <w:sz w:val="20"/>
                <w:szCs w:val="20"/>
                <w:color w:val="auto"/>
              </w:rPr>
            </w:pPr>
            <w:r>
              <w:rPr>
                <w:rFonts w:ascii="Arial" w:cs="Arial" w:eastAsia="Arial" w:hAnsi="Arial"/>
                <w:sz w:val="13"/>
                <w:szCs w:val="13"/>
                <w:b w:val="1"/>
                <w:bCs w:val="1"/>
                <w:color w:val="auto"/>
              </w:rPr>
              <w:t>obligations</w:t>
            </w: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269</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269</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269</w:t>
            </w:r>
          </w:p>
        </w:tc>
        <w:tc>
          <w:tcPr>
            <w:tcW w:w="0" w:type="dxa"/>
            <w:vAlign w:val="bottom"/>
          </w:tcPr>
          <w:p>
            <w:pPr>
              <w:spacing w:after="0"/>
              <w:rPr>
                <w:sz w:val="1"/>
                <w:szCs w:val="1"/>
                <w:color w:val="auto"/>
              </w:rPr>
            </w:pPr>
          </w:p>
        </w:tc>
      </w:tr>
      <w:tr>
        <w:trPr>
          <w:trHeight w:val="117"/>
        </w:trPr>
        <w:tc>
          <w:tcPr>
            <w:tcW w:w="1600" w:type="dxa"/>
            <w:vAlign w:val="bottom"/>
            <w:shd w:val="clear" w:color="auto" w:fill="CCEEFF"/>
          </w:tcPr>
          <w:p>
            <w:pPr>
              <w:ind w:left="440"/>
              <w:spacing w:after="0" w:line="117" w:lineRule="exact"/>
              <w:rPr>
                <w:sz w:val="20"/>
                <w:szCs w:val="20"/>
                <w:color w:val="auto"/>
              </w:rPr>
            </w:pPr>
            <w:r>
              <w:rPr>
                <w:rFonts w:ascii="Arial" w:cs="Arial" w:eastAsia="Arial" w:hAnsi="Arial"/>
                <w:sz w:val="13"/>
                <w:szCs w:val="13"/>
                <w:b w:val="1"/>
                <w:bCs w:val="1"/>
                <w:color w:val="auto"/>
                <w:w w:val="99"/>
              </w:rPr>
              <w:t>Unrealized loss on</w:t>
            </w: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b w:val="1"/>
                <w:bCs w:val="1"/>
                <w:color w:val="auto"/>
              </w:rPr>
              <w:t>(2,704)</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1600" w:type="dxa"/>
            <w:vAlign w:val="bottom"/>
            <w:shd w:val="clear" w:color="auto" w:fill="CCEEFF"/>
          </w:tcPr>
          <w:p>
            <w:pPr>
              <w:ind w:left="660"/>
              <w:spacing w:after="0" w:line="106" w:lineRule="exact"/>
              <w:rPr>
                <w:sz w:val="20"/>
                <w:szCs w:val="20"/>
                <w:color w:val="auto"/>
              </w:rPr>
            </w:pPr>
            <w:r>
              <w:rPr>
                <w:rFonts w:ascii="Arial" w:cs="Arial" w:eastAsia="Arial" w:hAnsi="Arial"/>
                <w:sz w:val="12"/>
                <w:szCs w:val="12"/>
                <w:b w:val="1"/>
                <w:bCs w:val="1"/>
                <w:color w:val="auto"/>
              </w:rPr>
              <w:t>derivatives</w:t>
            </w: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06" w:lineRule="exact"/>
              <w:rPr>
                <w:sz w:val="20"/>
                <w:szCs w:val="20"/>
                <w:color w:val="auto"/>
              </w:rPr>
            </w:pPr>
            <w:r>
              <w:rPr>
                <w:rFonts w:ascii="Arial" w:cs="Arial" w:eastAsia="Arial" w:hAnsi="Arial"/>
                <w:sz w:val="12"/>
                <w:szCs w:val="12"/>
                <w:b w:val="1"/>
                <w:bCs w:val="1"/>
                <w:color w:val="auto"/>
              </w:rPr>
              <w:t>(2,704)</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06" w:lineRule="exact"/>
              <w:rPr>
                <w:sz w:val="20"/>
                <w:szCs w:val="20"/>
                <w:color w:val="auto"/>
              </w:rPr>
            </w:pPr>
            <w:r>
              <w:rPr>
                <w:rFonts w:ascii="Arial" w:cs="Arial" w:eastAsia="Arial" w:hAnsi="Arial"/>
                <w:sz w:val="12"/>
                <w:szCs w:val="12"/>
                <w:b w:val="1"/>
                <w:bCs w:val="1"/>
                <w:color w:val="auto"/>
              </w:rPr>
              <w:t>(2,704)</w:t>
            </w:r>
          </w:p>
        </w:tc>
        <w:tc>
          <w:tcPr>
            <w:tcW w:w="0" w:type="dxa"/>
            <w:vAlign w:val="bottom"/>
          </w:tcPr>
          <w:p>
            <w:pPr>
              <w:spacing w:after="0"/>
              <w:rPr>
                <w:sz w:val="1"/>
                <w:szCs w:val="1"/>
                <w:color w:val="auto"/>
              </w:rPr>
            </w:pPr>
          </w:p>
        </w:tc>
      </w:tr>
      <w:tr>
        <w:trPr>
          <w:trHeight w:val="135"/>
        </w:trPr>
        <w:tc>
          <w:tcPr>
            <w:tcW w:w="1600" w:type="dxa"/>
            <w:vAlign w:val="bottom"/>
            <w:tcBorders>
              <w:top w:val="single" w:sz="8" w:color="CCEEFF"/>
              <w:bottom w:val="single" w:sz="8" w:color="CCEEFF"/>
            </w:tcBorders>
          </w:tcPr>
          <w:p>
            <w:pPr>
              <w:spacing w:after="0" w:line="129" w:lineRule="exact"/>
              <w:rPr>
                <w:sz w:val="20"/>
                <w:szCs w:val="20"/>
                <w:color w:val="auto"/>
              </w:rPr>
            </w:pPr>
            <w:r>
              <w:rPr>
                <w:rFonts w:ascii="Arial" w:cs="Arial" w:eastAsia="Arial" w:hAnsi="Arial"/>
                <w:sz w:val="13"/>
                <w:szCs w:val="13"/>
                <w:b w:val="1"/>
                <w:bCs w:val="1"/>
                <w:color w:val="auto"/>
              </w:rPr>
              <w:t>Comprehensive income</w:t>
            </w:r>
          </w:p>
        </w:tc>
        <w:tc>
          <w:tcPr>
            <w:tcW w:w="540" w:type="dxa"/>
            <w:vAlign w:val="bottom"/>
            <w:tcBorders>
              <w:top w:val="single" w:sz="8" w:color="CCEEFF"/>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480" w:type="dxa"/>
            <w:vAlign w:val="bottom"/>
            <w:tcBorders>
              <w:top w:val="single" w:sz="8" w:color="CCEEFF"/>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62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420" w:type="dxa"/>
            <w:vAlign w:val="bottom"/>
            <w:tcBorders>
              <w:top w:val="single" w:sz="8" w:color="CCEEFF"/>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66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660" w:type="dxa"/>
            <w:vAlign w:val="bottom"/>
            <w:tcBorders>
              <w:top w:val="single" w:sz="8" w:color="CCEEFF"/>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540" w:type="dxa"/>
            <w:vAlign w:val="bottom"/>
            <w:tcBorders>
              <w:top w:val="single" w:sz="8" w:color="CCEEFF"/>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58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580" w:type="dxa"/>
            <w:vAlign w:val="bottom"/>
            <w:tcBorders>
              <w:top w:val="single" w:sz="8" w:color="CCEEFF"/>
              <w:bottom w:val="single" w:sz="8" w:color="CCEEFF"/>
            </w:tcBorders>
            <w:gridSpan w:val="2"/>
          </w:tcPr>
          <w:p>
            <w:pPr>
              <w:spacing w:after="0"/>
              <w:rPr>
                <w:sz w:val="11"/>
                <w:szCs w:val="11"/>
                <w:color w:val="auto"/>
              </w:rPr>
            </w:pPr>
          </w:p>
        </w:tc>
        <w:tc>
          <w:tcPr>
            <w:tcW w:w="160" w:type="dxa"/>
            <w:vAlign w:val="bottom"/>
            <w:tcBorders>
              <w:top w:val="single" w:sz="8" w:color="auto"/>
              <w:bottom w:val="single" w:sz="8" w:color="auto"/>
            </w:tcBorders>
          </w:tcPr>
          <w:p>
            <w:pPr>
              <w:jc w:val="right"/>
              <w:ind w:right="17"/>
              <w:spacing w:after="0" w:line="115" w:lineRule="exact"/>
              <w:rPr>
                <w:sz w:val="20"/>
                <w:szCs w:val="20"/>
                <w:color w:val="auto"/>
              </w:rPr>
            </w:pPr>
            <w:r>
              <w:rPr>
                <w:rFonts w:ascii="Arial" w:cs="Arial" w:eastAsia="Arial" w:hAnsi="Arial"/>
                <w:sz w:val="13"/>
                <w:szCs w:val="13"/>
                <w:b w:val="1"/>
                <w:bCs w:val="1"/>
                <w:color w:val="auto"/>
                <w:w w:val="82"/>
              </w:rPr>
              <w:t>$</w:t>
            </w:r>
          </w:p>
        </w:tc>
        <w:tc>
          <w:tcPr>
            <w:tcW w:w="6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3"/>
                <w:szCs w:val="13"/>
                <w:b w:val="1"/>
                <w:bCs w:val="1"/>
                <w:color w:val="auto"/>
              </w:rPr>
              <w:t>134,950</w:t>
            </w:r>
          </w:p>
        </w:tc>
        <w:tc>
          <w:tcPr>
            <w:tcW w:w="180" w:type="dxa"/>
            <w:vAlign w:val="bottom"/>
            <w:tcBorders>
              <w:top w:val="single" w:sz="8" w:color="CCEEFF"/>
              <w:bottom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500" w:type="dxa"/>
            <w:vAlign w:val="bottom"/>
            <w:tcBorders>
              <w:top w:val="single" w:sz="8" w:color="CCEEFF"/>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60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1600" w:type="dxa"/>
            <w:vAlign w:val="bottom"/>
            <w:shd w:val="clear" w:color="auto" w:fill="CCEEFF"/>
          </w:tcPr>
          <w:p>
            <w:pPr>
              <w:ind w:left="440"/>
              <w:spacing w:after="0" w:line="98" w:lineRule="exact"/>
              <w:rPr>
                <w:sz w:val="20"/>
                <w:szCs w:val="20"/>
                <w:color w:val="auto"/>
              </w:rPr>
            </w:pPr>
            <w:r>
              <w:rPr>
                <w:rFonts w:ascii="Arial" w:cs="Arial" w:eastAsia="Arial" w:hAnsi="Arial"/>
                <w:sz w:val="10"/>
                <w:szCs w:val="10"/>
                <w:b w:val="1"/>
                <w:bCs w:val="1"/>
                <w:color w:val="auto"/>
              </w:rPr>
              <w:t>BALANCE AS OF</w:t>
            </w:r>
          </w:p>
        </w:tc>
        <w:tc>
          <w:tcPr>
            <w:tcW w:w="5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600" w:type="dxa"/>
            <w:vAlign w:val="bottom"/>
            <w:shd w:val="clear" w:color="auto" w:fill="CCEEFF"/>
          </w:tcPr>
          <w:p>
            <w:pPr>
              <w:ind w:left="660"/>
              <w:spacing w:after="0" w:line="135" w:lineRule="exact"/>
              <w:rPr>
                <w:sz w:val="20"/>
                <w:szCs w:val="20"/>
                <w:color w:val="auto"/>
              </w:rPr>
            </w:pPr>
            <w:r>
              <w:rPr>
                <w:rFonts w:ascii="Arial" w:cs="Arial" w:eastAsia="Arial" w:hAnsi="Arial"/>
                <w:sz w:val="13"/>
                <w:szCs w:val="13"/>
                <w:b w:val="1"/>
                <w:bCs w:val="1"/>
                <w:color w:val="auto"/>
              </w:rPr>
              <w:t>DECEMBER</w:t>
            </w: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600" w:type="dxa"/>
            <w:vAlign w:val="bottom"/>
            <w:shd w:val="clear" w:color="auto" w:fill="CCEEFF"/>
          </w:tcPr>
          <w:p>
            <w:pPr>
              <w:ind w:left="660"/>
              <w:spacing w:after="0"/>
              <w:rPr>
                <w:sz w:val="20"/>
                <w:szCs w:val="20"/>
                <w:color w:val="auto"/>
              </w:rPr>
            </w:pPr>
            <w:r>
              <w:rPr>
                <w:rFonts w:ascii="Arial" w:cs="Arial" w:eastAsia="Arial" w:hAnsi="Arial"/>
                <w:sz w:val="13"/>
                <w:szCs w:val="13"/>
                <w:b w:val="1"/>
                <w:bCs w:val="1"/>
                <w:color w:val="auto"/>
              </w:rPr>
              <w:t>31, 2018</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105,066</w:t>
            </w:r>
          </w:p>
        </w:tc>
        <w:tc>
          <w:tcPr>
            <w:tcW w:w="60" w:type="dxa"/>
            <w:vAlign w:val="bottom"/>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w w:val="97"/>
              </w:rPr>
              <w:t>418,492</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b w:val="1"/>
                <w:bCs w:val="1"/>
                <w:color w:val="auto"/>
                <w:w w:val="87"/>
              </w:rPr>
              <w:t>$ 1,380,396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b w:val="1"/>
                <w:bCs w:val="1"/>
                <w:color w:val="auto"/>
              </w:rPr>
              <w:t>20,758</w:t>
            </w:r>
          </w:p>
        </w:tc>
        <w:tc>
          <w:tcPr>
            <w:tcW w:w="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w w:val="82"/>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93,226</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3"/>
                <w:szCs w:val="13"/>
                <w:b w:val="1"/>
                <w:bCs w:val="1"/>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(672)</w:t>
            </w:r>
          </w:p>
        </w:tc>
        <w:tc>
          <w:tcPr>
            <w:tcW w:w="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w w:val="82"/>
              </w:rPr>
              <w:t>$</w:t>
            </w:r>
          </w:p>
        </w:tc>
        <w:tc>
          <w:tcPr>
            <w:tcW w:w="700" w:type="dxa"/>
            <w:vAlign w:val="bottom"/>
            <w:gridSpan w:val="2"/>
            <w:shd w:val="clear" w:color="auto" w:fill="CCEEFF"/>
          </w:tcPr>
          <w:p>
            <w:pPr>
              <w:jc w:val="right"/>
              <w:ind w:right="78"/>
              <w:spacing w:after="0"/>
              <w:rPr>
                <w:sz w:val="20"/>
                <w:szCs w:val="20"/>
                <w:color w:val="auto"/>
              </w:rPr>
            </w:pPr>
            <w:r>
              <w:rPr>
                <w:rFonts w:ascii="Arial" w:cs="Arial" w:eastAsia="Arial" w:hAnsi="Arial"/>
                <w:sz w:val="13"/>
                <w:szCs w:val="13"/>
                <w:b w:val="1"/>
                <w:bCs w:val="1"/>
                <w:color w:val="auto"/>
              </w:rPr>
              <w:t>(22,716)</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680" w:type="dxa"/>
            <w:vAlign w:val="bottom"/>
            <w:gridSpan w:val="2"/>
            <w:shd w:val="clear" w:color="auto" w:fill="CCEEFF"/>
          </w:tcPr>
          <w:p>
            <w:pPr>
              <w:jc w:val="right"/>
              <w:ind w:right="18"/>
              <w:spacing w:after="0"/>
              <w:rPr>
                <w:sz w:val="20"/>
                <w:szCs w:val="20"/>
                <w:color w:val="auto"/>
              </w:rPr>
            </w:pPr>
            <w:r>
              <w:rPr>
                <w:rFonts w:ascii="Arial" w:cs="Arial" w:eastAsia="Arial" w:hAnsi="Arial"/>
                <w:sz w:val="13"/>
                <w:szCs w:val="13"/>
                <w:b w:val="1"/>
                <w:bCs w:val="1"/>
                <w:color w:val="auto"/>
              </w:rPr>
              <w:t>(637,446)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580" w:type="dxa"/>
            <w:vAlign w:val="bottom"/>
            <w:gridSpan w:val="2"/>
            <w:shd w:val="clear" w:color="auto" w:fill="CCEEFF"/>
          </w:tcPr>
          <w:p>
            <w:pPr>
              <w:jc w:val="right"/>
              <w:ind w:right="78"/>
              <w:spacing w:after="0"/>
              <w:rPr>
                <w:sz w:val="20"/>
                <w:szCs w:val="20"/>
                <w:color w:val="auto"/>
              </w:rPr>
            </w:pPr>
            <w:r>
              <w:rPr>
                <w:rFonts w:ascii="Arial" w:cs="Arial" w:eastAsia="Arial" w:hAnsi="Arial"/>
                <w:sz w:val="13"/>
                <w:szCs w:val="13"/>
                <w:b w:val="1"/>
                <w:bCs w:val="1"/>
                <w:color w:val="auto"/>
              </w:rPr>
              <w:t>(9,072)</w:t>
            </w: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80" w:type="dxa"/>
            <w:vAlign w:val="bottom"/>
            <w:gridSpan w:val="2"/>
            <w:shd w:val="clear" w:color="auto" w:fill="CCEEFF"/>
          </w:tcPr>
          <w:p>
            <w:pPr>
              <w:jc w:val="right"/>
              <w:ind w:right="98"/>
              <w:spacing w:after="0"/>
              <w:rPr>
                <w:sz w:val="20"/>
                <w:szCs w:val="20"/>
                <w:color w:val="auto"/>
              </w:rPr>
            </w:pPr>
            <w:r>
              <w:rPr>
                <w:rFonts w:ascii="Arial" w:cs="Arial" w:eastAsia="Arial" w:hAnsi="Arial"/>
                <w:sz w:val="13"/>
                <w:szCs w:val="13"/>
                <w:b w:val="1"/>
                <w:bCs w:val="1"/>
                <w:color w:val="auto"/>
              </w:rPr>
              <w:t>(6,761)</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w w:val="84"/>
              </w:rPr>
              <w:t>$ 1,236,205</w:t>
            </w:r>
          </w:p>
        </w:tc>
        <w:tc>
          <w:tcPr>
            <w:tcW w:w="0" w:type="dxa"/>
            <w:vAlign w:val="bottom"/>
          </w:tcPr>
          <w:p>
            <w:pPr>
              <w:spacing w:after="0"/>
              <w:rPr>
                <w:sz w:val="1"/>
                <w:szCs w:val="1"/>
                <w:color w:val="auto"/>
              </w:rPr>
            </w:pPr>
          </w:p>
        </w:tc>
      </w:tr>
      <w:tr>
        <w:trPr>
          <w:trHeight w:val="135"/>
        </w:trPr>
        <w:tc>
          <w:tcPr>
            <w:tcW w:w="1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0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w w:val="93"/>
              </w:rPr>
              <w:t>Changes during the period:</w:t>
            </w: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600" w:type="dxa"/>
            <w:vAlign w:val="bottom"/>
            <w:shd w:val="clear" w:color="auto" w:fill="CCEEFF"/>
          </w:tcPr>
          <w:p>
            <w:pPr>
              <w:spacing w:after="0" w:line="117" w:lineRule="exact"/>
              <w:rPr>
                <w:sz w:val="20"/>
                <w:szCs w:val="20"/>
                <w:color w:val="auto"/>
              </w:rPr>
            </w:pPr>
            <w:r>
              <w:rPr>
                <w:rFonts w:ascii="Arial" w:cs="Arial" w:eastAsia="Arial" w:hAnsi="Arial"/>
                <w:sz w:val="13"/>
                <w:szCs w:val="13"/>
                <w:b w:val="1"/>
                <w:bCs w:val="1"/>
                <w:color w:val="auto"/>
              </w:rPr>
              <w:t>Exercise of options and</w:t>
            </w: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6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RSUs</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648</w:t>
            </w: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2,727</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b w:val="1"/>
                <w:bCs w:val="1"/>
                <w:color w:val="auto"/>
              </w:rPr>
              <w:t>(886)</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1,841</w:t>
            </w:r>
          </w:p>
        </w:tc>
        <w:tc>
          <w:tcPr>
            <w:tcW w:w="0" w:type="dxa"/>
            <w:vAlign w:val="bottom"/>
          </w:tcPr>
          <w:p>
            <w:pPr>
              <w:spacing w:after="0"/>
              <w:rPr>
                <w:sz w:val="1"/>
                <w:szCs w:val="1"/>
                <w:color w:val="auto"/>
              </w:rPr>
            </w:pPr>
          </w:p>
        </w:tc>
      </w:tr>
      <w:tr>
        <w:trPr>
          <w:trHeight w:val="117"/>
        </w:trPr>
        <w:tc>
          <w:tcPr>
            <w:tcW w:w="1600" w:type="dxa"/>
            <w:vAlign w:val="bottom"/>
          </w:tcPr>
          <w:p>
            <w:pPr>
              <w:spacing w:after="0" w:line="117" w:lineRule="exact"/>
              <w:rPr>
                <w:sz w:val="20"/>
                <w:szCs w:val="20"/>
                <w:color w:val="auto"/>
              </w:rPr>
            </w:pPr>
            <w:r>
              <w:rPr>
                <w:rFonts w:ascii="Arial" w:cs="Arial" w:eastAsia="Arial" w:hAnsi="Arial"/>
                <w:sz w:val="13"/>
                <w:szCs w:val="13"/>
                <w:b w:val="1"/>
                <w:bCs w:val="1"/>
                <w:color w:val="auto"/>
                <w:w w:val="90"/>
              </w:rPr>
              <w:t>Capital notes converted into</w:t>
            </w: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600" w:type="dxa"/>
            <w:vAlign w:val="bottom"/>
          </w:tcPr>
          <w:p>
            <w:pPr>
              <w:ind w:left="220"/>
              <w:spacing w:after="0"/>
              <w:rPr>
                <w:sz w:val="20"/>
                <w:szCs w:val="20"/>
                <w:color w:val="auto"/>
              </w:rPr>
            </w:pPr>
            <w:r>
              <w:rPr>
                <w:rFonts w:ascii="Arial" w:cs="Arial" w:eastAsia="Arial" w:hAnsi="Arial"/>
                <w:sz w:val="13"/>
                <w:szCs w:val="13"/>
                <w:b w:val="1"/>
                <w:bCs w:val="1"/>
                <w:color w:val="auto"/>
              </w:rPr>
              <w:t>share capital</w:t>
            </w:r>
          </w:p>
        </w:tc>
        <w:tc>
          <w:tcPr>
            <w:tcW w:w="7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1,181</w:t>
            </w:r>
          </w:p>
        </w:tc>
        <w:tc>
          <w:tcPr>
            <w:tcW w:w="60" w:type="dxa"/>
            <w:vAlign w:val="bottom"/>
          </w:tcPr>
          <w:p>
            <w:pPr>
              <w:spacing w:after="0"/>
              <w:rPr>
                <w:sz w:val="13"/>
                <w:szCs w:val="13"/>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4,892</w:t>
            </w:r>
          </w:p>
        </w:tc>
        <w:tc>
          <w:tcPr>
            <w:tcW w:w="70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15,866</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w w:val="90"/>
              </w:rPr>
              <w:t>(20,758)</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17"/>
        </w:trPr>
        <w:tc>
          <w:tcPr>
            <w:tcW w:w="1600" w:type="dxa"/>
            <w:vAlign w:val="bottom"/>
            <w:shd w:val="clear" w:color="auto" w:fill="CCEEFF"/>
          </w:tcPr>
          <w:p>
            <w:pPr>
              <w:spacing w:after="0" w:line="117" w:lineRule="exact"/>
              <w:rPr>
                <w:sz w:val="20"/>
                <w:szCs w:val="20"/>
                <w:color w:val="auto"/>
              </w:rPr>
            </w:pPr>
            <w:r>
              <w:rPr>
                <w:rFonts w:ascii="Arial" w:cs="Arial" w:eastAsia="Arial" w:hAnsi="Arial"/>
                <w:sz w:val="13"/>
                <w:szCs w:val="13"/>
                <w:b w:val="1"/>
                <w:bCs w:val="1"/>
                <w:color w:val="auto"/>
              </w:rPr>
              <w:t>Employee stock-based</w:t>
            </w: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600" w:type="dxa"/>
            <w:vAlign w:val="bottom"/>
            <w:shd w:val="clear" w:color="auto" w:fill="CCEEFF"/>
          </w:tcPr>
          <w:p>
            <w:pPr>
              <w:ind w:left="220"/>
              <w:spacing w:after="0"/>
              <w:rPr>
                <w:sz w:val="20"/>
                <w:szCs w:val="20"/>
                <w:color w:val="auto"/>
              </w:rPr>
            </w:pPr>
            <w:r>
              <w:rPr>
                <w:rFonts w:ascii="Arial" w:cs="Arial" w:eastAsia="Arial" w:hAnsi="Arial"/>
                <w:sz w:val="13"/>
                <w:szCs w:val="13"/>
                <w:b w:val="1"/>
                <w:bCs w:val="1"/>
                <w:color w:val="auto"/>
              </w:rPr>
              <w:t>compensation</w:t>
            </w: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14,548</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14,548</w:t>
            </w:r>
          </w:p>
        </w:tc>
        <w:tc>
          <w:tcPr>
            <w:tcW w:w="0" w:type="dxa"/>
            <w:vAlign w:val="bottom"/>
          </w:tcPr>
          <w:p>
            <w:pPr>
              <w:spacing w:after="0"/>
              <w:rPr>
                <w:sz w:val="1"/>
                <w:szCs w:val="1"/>
                <w:color w:val="auto"/>
              </w:rPr>
            </w:pPr>
          </w:p>
        </w:tc>
      </w:tr>
      <w:tr>
        <w:trPr>
          <w:trHeight w:val="117"/>
        </w:trPr>
        <w:tc>
          <w:tcPr>
            <w:tcW w:w="1600" w:type="dxa"/>
            <w:vAlign w:val="bottom"/>
          </w:tcPr>
          <w:p>
            <w:pPr>
              <w:ind w:left="220"/>
              <w:spacing w:after="0" w:line="117" w:lineRule="exact"/>
              <w:rPr>
                <w:sz w:val="20"/>
                <w:szCs w:val="20"/>
                <w:color w:val="auto"/>
              </w:rPr>
            </w:pPr>
            <w:r>
              <w:rPr>
                <w:rFonts w:ascii="Arial" w:cs="Arial" w:eastAsia="Arial" w:hAnsi="Arial"/>
                <w:sz w:val="13"/>
                <w:szCs w:val="13"/>
                <w:b w:val="1"/>
                <w:bCs w:val="1"/>
                <w:color w:val="auto"/>
              </w:rPr>
              <w:t>Other comprehensive</w:t>
            </w: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600" w:type="dxa"/>
            <w:vAlign w:val="bottom"/>
          </w:tcPr>
          <w:p>
            <w:pPr>
              <w:ind w:left="440"/>
              <w:spacing w:after="0"/>
              <w:rPr>
                <w:sz w:val="20"/>
                <w:szCs w:val="20"/>
                <w:color w:val="auto"/>
              </w:rPr>
            </w:pPr>
            <w:r>
              <w:rPr>
                <w:rFonts w:ascii="Arial" w:cs="Arial" w:eastAsia="Arial" w:hAnsi="Arial"/>
                <w:sz w:val="13"/>
                <w:szCs w:val="13"/>
                <w:b w:val="1"/>
                <w:bCs w:val="1"/>
                <w:color w:val="auto"/>
              </w:rPr>
              <w:t>income:</w:t>
            </w: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600" w:type="dxa"/>
            <w:vAlign w:val="bottom"/>
            <w:shd w:val="clear" w:color="auto" w:fill="CCEEFF"/>
          </w:tcPr>
          <w:p>
            <w:pPr>
              <w:ind w:left="440"/>
              <w:spacing w:after="0" w:line="135" w:lineRule="exact"/>
              <w:rPr>
                <w:sz w:val="20"/>
                <w:szCs w:val="20"/>
                <w:color w:val="auto"/>
              </w:rPr>
            </w:pPr>
            <w:r>
              <w:rPr>
                <w:rFonts w:ascii="Arial" w:cs="Arial" w:eastAsia="Arial" w:hAnsi="Arial"/>
                <w:sz w:val="13"/>
                <w:szCs w:val="13"/>
                <w:b w:val="1"/>
                <w:bCs w:val="1"/>
                <w:color w:val="auto"/>
              </w:rPr>
              <w:t>Profit</w:t>
            </w: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58"/>
              <w:spacing w:after="0" w:line="135" w:lineRule="exact"/>
              <w:rPr>
                <w:sz w:val="20"/>
                <w:szCs w:val="20"/>
                <w:color w:val="auto"/>
              </w:rPr>
            </w:pPr>
            <w:r>
              <w:rPr>
                <w:rFonts w:ascii="Arial" w:cs="Arial" w:eastAsia="Arial" w:hAnsi="Arial"/>
                <w:sz w:val="13"/>
                <w:szCs w:val="13"/>
                <w:b w:val="1"/>
                <w:bCs w:val="1"/>
                <w:color w:val="auto"/>
              </w:rPr>
              <w:t>90,048</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gridSpan w:val="3"/>
            <w:shd w:val="clear" w:color="auto" w:fill="CCEEFF"/>
          </w:tcPr>
          <w:p>
            <w:pPr>
              <w:jc w:val="right"/>
              <w:ind w:right="17"/>
              <w:spacing w:after="0" w:line="135" w:lineRule="exact"/>
              <w:rPr>
                <w:sz w:val="20"/>
                <w:szCs w:val="20"/>
                <w:color w:val="auto"/>
              </w:rPr>
            </w:pPr>
            <w:r>
              <w:rPr>
                <w:rFonts w:ascii="Arial" w:cs="Arial" w:eastAsia="Arial" w:hAnsi="Arial"/>
                <w:sz w:val="13"/>
                <w:szCs w:val="13"/>
                <w:b w:val="1"/>
                <w:bCs w:val="1"/>
                <w:color w:val="auto"/>
              </w:rPr>
              <w:t>$</w:t>
            </w: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b w:val="1"/>
                <w:bCs w:val="1"/>
                <w:color w:val="auto"/>
              </w:rPr>
              <w:t>90,048</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98"/>
              <w:spacing w:after="0" w:line="135" w:lineRule="exact"/>
              <w:rPr>
                <w:sz w:val="20"/>
                <w:szCs w:val="20"/>
                <w:color w:val="auto"/>
              </w:rPr>
            </w:pPr>
            <w:r>
              <w:rPr>
                <w:rFonts w:ascii="Arial" w:cs="Arial" w:eastAsia="Arial" w:hAnsi="Arial"/>
                <w:sz w:val="13"/>
                <w:szCs w:val="13"/>
                <w:b w:val="1"/>
                <w:bCs w:val="1"/>
                <w:color w:val="auto"/>
              </w:rPr>
              <w:t>(1,975)</w:t>
            </w:r>
          </w:p>
        </w:tc>
        <w:tc>
          <w:tcPr>
            <w:tcW w:w="7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b w:val="1"/>
                <w:bCs w:val="1"/>
                <w:color w:val="auto"/>
              </w:rPr>
              <w:t>88,073</w:t>
            </w:r>
          </w:p>
        </w:tc>
        <w:tc>
          <w:tcPr>
            <w:tcW w:w="0" w:type="dxa"/>
            <w:vAlign w:val="bottom"/>
          </w:tcPr>
          <w:p>
            <w:pPr>
              <w:spacing w:after="0"/>
              <w:rPr>
                <w:sz w:val="1"/>
                <w:szCs w:val="1"/>
                <w:color w:val="auto"/>
              </w:rPr>
            </w:pPr>
          </w:p>
        </w:tc>
      </w:tr>
      <w:tr>
        <w:trPr>
          <w:trHeight w:val="117"/>
        </w:trPr>
        <w:tc>
          <w:tcPr>
            <w:tcW w:w="1600" w:type="dxa"/>
            <w:vAlign w:val="bottom"/>
          </w:tcPr>
          <w:p>
            <w:pPr>
              <w:ind w:left="440"/>
              <w:spacing w:after="0" w:line="117" w:lineRule="exact"/>
              <w:rPr>
                <w:sz w:val="20"/>
                <w:szCs w:val="20"/>
                <w:color w:val="auto"/>
              </w:rPr>
            </w:pPr>
            <w:r>
              <w:rPr>
                <w:rFonts w:ascii="Arial" w:cs="Arial" w:eastAsia="Arial" w:hAnsi="Arial"/>
                <w:sz w:val="13"/>
                <w:szCs w:val="13"/>
                <w:b w:val="1"/>
                <w:bCs w:val="1"/>
                <w:color w:val="auto"/>
              </w:rPr>
              <w:t>Foreign currency</w:t>
            </w: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600" w:type="dxa"/>
            <w:vAlign w:val="bottom"/>
          </w:tcPr>
          <w:p>
            <w:pPr>
              <w:ind w:left="660"/>
              <w:spacing w:after="0" w:line="135" w:lineRule="exact"/>
              <w:rPr>
                <w:sz w:val="20"/>
                <w:szCs w:val="20"/>
                <w:color w:val="auto"/>
              </w:rPr>
            </w:pPr>
            <w:r>
              <w:rPr>
                <w:rFonts w:ascii="Arial" w:cs="Arial" w:eastAsia="Arial" w:hAnsi="Arial"/>
                <w:sz w:val="13"/>
                <w:szCs w:val="13"/>
                <w:b w:val="1"/>
                <w:bCs w:val="1"/>
                <w:color w:val="auto"/>
              </w:rPr>
              <w:t>translation</w:t>
            </w: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600" w:type="dxa"/>
            <w:vAlign w:val="bottom"/>
          </w:tcPr>
          <w:p>
            <w:pPr>
              <w:ind w:left="660"/>
              <w:spacing w:after="0"/>
              <w:rPr>
                <w:sz w:val="20"/>
                <w:szCs w:val="20"/>
                <w:color w:val="auto"/>
              </w:rPr>
            </w:pPr>
            <w:r>
              <w:rPr>
                <w:rFonts w:ascii="Arial" w:cs="Arial" w:eastAsia="Arial" w:hAnsi="Arial"/>
                <w:sz w:val="13"/>
                <w:szCs w:val="13"/>
                <w:b w:val="1"/>
                <w:bCs w:val="1"/>
                <w:color w:val="auto"/>
              </w:rPr>
              <w:t>adjustments</w:t>
            </w: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18"/>
              <w:spacing w:after="0"/>
              <w:rPr>
                <w:sz w:val="20"/>
                <w:szCs w:val="20"/>
                <w:color w:val="auto"/>
              </w:rPr>
            </w:pPr>
            <w:r>
              <w:rPr>
                <w:rFonts w:ascii="Arial" w:cs="Arial" w:eastAsia="Arial" w:hAnsi="Arial"/>
                <w:sz w:val="13"/>
                <w:szCs w:val="13"/>
                <w:b w:val="1"/>
                <w:bCs w:val="1"/>
                <w:color w:val="auto"/>
              </w:rPr>
              <w:t>2,566</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2,566</w:t>
            </w:r>
          </w:p>
        </w:tc>
        <w:tc>
          <w:tcPr>
            <w:tcW w:w="80" w:type="dxa"/>
            <w:vAlign w:val="bottom"/>
          </w:tcPr>
          <w:p>
            <w:pPr>
              <w:spacing w:after="0"/>
              <w:rPr>
                <w:sz w:val="13"/>
                <w:szCs w:val="13"/>
                <w:color w:val="auto"/>
              </w:rPr>
            </w:pPr>
          </w:p>
        </w:tc>
        <w:tc>
          <w:tcPr>
            <w:tcW w:w="680" w:type="dxa"/>
            <w:vAlign w:val="bottom"/>
            <w:gridSpan w:val="2"/>
          </w:tcPr>
          <w:p>
            <w:pPr>
              <w:jc w:val="right"/>
              <w:ind w:right="138"/>
              <w:spacing w:after="0"/>
              <w:rPr>
                <w:sz w:val="20"/>
                <w:szCs w:val="20"/>
                <w:color w:val="auto"/>
              </w:rPr>
            </w:pPr>
            <w:r>
              <w:rPr>
                <w:rFonts w:ascii="Arial" w:cs="Arial" w:eastAsia="Arial" w:hAnsi="Arial"/>
                <w:sz w:val="13"/>
                <w:szCs w:val="13"/>
                <w:b w:val="1"/>
                <w:bCs w:val="1"/>
                <w:color w:val="auto"/>
              </w:rPr>
              <w:t>912</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3,478</w:t>
            </w:r>
          </w:p>
        </w:tc>
        <w:tc>
          <w:tcPr>
            <w:tcW w:w="0" w:type="dxa"/>
            <w:vAlign w:val="bottom"/>
          </w:tcPr>
          <w:p>
            <w:pPr>
              <w:spacing w:after="0"/>
              <w:rPr>
                <w:sz w:val="1"/>
                <w:szCs w:val="1"/>
                <w:color w:val="auto"/>
              </w:rPr>
            </w:pPr>
          </w:p>
        </w:tc>
      </w:tr>
      <w:tr>
        <w:trPr>
          <w:trHeight w:val="117"/>
        </w:trPr>
        <w:tc>
          <w:tcPr>
            <w:tcW w:w="1600" w:type="dxa"/>
            <w:vAlign w:val="bottom"/>
            <w:shd w:val="clear" w:color="auto" w:fill="CCEEFF"/>
          </w:tcPr>
          <w:p>
            <w:pPr>
              <w:ind w:left="440"/>
              <w:spacing w:after="0" w:line="117" w:lineRule="exact"/>
              <w:rPr>
                <w:sz w:val="20"/>
                <w:szCs w:val="20"/>
                <w:color w:val="auto"/>
              </w:rPr>
            </w:pPr>
            <w:r>
              <w:rPr>
                <w:rFonts w:ascii="Arial" w:cs="Arial" w:eastAsia="Arial" w:hAnsi="Arial"/>
                <w:sz w:val="13"/>
                <w:szCs w:val="13"/>
                <w:b w:val="1"/>
                <w:bCs w:val="1"/>
                <w:color w:val="auto"/>
              </w:rPr>
              <w:t>Change in</w:t>
            </w: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600" w:type="dxa"/>
            <w:vAlign w:val="bottom"/>
            <w:shd w:val="clear" w:color="auto" w:fill="CCEEFF"/>
          </w:tcPr>
          <w:p>
            <w:pPr>
              <w:ind w:left="660"/>
              <w:spacing w:after="0" w:line="135" w:lineRule="exact"/>
              <w:rPr>
                <w:sz w:val="20"/>
                <w:szCs w:val="20"/>
                <w:color w:val="auto"/>
              </w:rPr>
            </w:pPr>
            <w:r>
              <w:rPr>
                <w:rFonts w:ascii="Arial" w:cs="Arial" w:eastAsia="Arial" w:hAnsi="Arial"/>
                <w:sz w:val="13"/>
                <w:szCs w:val="13"/>
                <w:b w:val="1"/>
                <w:bCs w:val="1"/>
                <w:color w:val="auto"/>
                <w:w w:val="94"/>
              </w:rPr>
              <w:t>employees plan</w:t>
            </w: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00" w:type="dxa"/>
            <w:vAlign w:val="bottom"/>
            <w:shd w:val="clear" w:color="auto" w:fill="CCEEFF"/>
          </w:tcPr>
          <w:p>
            <w:pPr>
              <w:ind w:left="660"/>
              <w:spacing w:after="0" w:line="135" w:lineRule="exact"/>
              <w:rPr>
                <w:sz w:val="20"/>
                <w:szCs w:val="20"/>
                <w:color w:val="auto"/>
              </w:rPr>
            </w:pPr>
            <w:r>
              <w:rPr>
                <w:rFonts w:ascii="Arial" w:cs="Arial" w:eastAsia="Arial" w:hAnsi="Arial"/>
                <w:sz w:val="13"/>
                <w:szCs w:val="13"/>
                <w:b w:val="1"/>
                <w:bCs w:val="1"/>
                <w:color w:val="auto"/>
              </w:rPr>
              <w:t>assets and</w:t>
            </w: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00" w:type="dxa"/>
            <w:vAlign w:val="bottom"/>
            <w:shd w:val="clear" w:color="auto" w:fill="CCEEFF"/>
          </w:tcPr>
          <w:p>
            <w:pPr>
              <w:ind w:left="660"/>
              <w:spacing w:after="0" w:line="135" w:lineRule="exact"/>
              <w:rPr>
                <w:sz w:val="20"/>
                <w:szCs w:val="20"/>
                <w:color w:val="auto"/>
              </w:rPr>
            </w:pPr>
            <w:r>
              <w:rPr>
                <w:rFonts w:ascii="Arial" w:cs="Arial" w:eastAsia="Arial" w:hAnsi="Arial"/>
                <w:sz w:val="13"/>
                <w:szCs w:val="13"/>
                <w:b w:val="1"/>
                <w:bCs w:val="1"/>
                <w:color w:val="auto"/>
              </w:rPr>
              <w:t>benefit</w:t>
            </w: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600" w:type="dxa"/>
            <w:vAlign w:val="bottom"/>
            <w:shd w:val="clear" w:color="auto" w:fill="CCEEFF"/>
          </w:tcPr>
          <w:p>
            <w:pPr>
              <w:ind w:left="660"/>
              <w:spacing w:after="0"/>
              <w:rPr>
                <w:sz w:val="20"/>
                <w:szCs w:val="20"/>
                <w:color w:val="auto"/>
              </w:rPr>
            </w:pPr>
            <w:r>
              <w:rPr>
                <w:rFonts w:ascii="Arial" w:cs="Arial" w:eastAsia="Arial" w:hAnsi="Arial"/>
                <w:sz w:val="13"/>
                <w:szCs w:val="13"/>
                <w:b w:val="1"/>
                <w:bCs w:val="1"/>
                <w:color w:val="auto"/>
              </w:rPr>
              <w:t>obligations</w:t>
            </w: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(1,118)</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b w:val="1"/>
                <w:bCs w:val="1"/>
                <w:color w:val="auto"/>
              </w:rPr>
              <w:t>(1,118)</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b w:val="1"/>
                <w:bCs w:val="1"/>
                <w:color w:val="auto"/>
              </w:rPr>
              <w:t>(1,118)</w:t>
            </w:r>
          </w:p>
        </w:tc>
        <w:tc>
          <w:tcPr>
            <w:tcW w:w="0" w:type="dxa"/>
            <w:vAlign w:val="bottom"/>
          </w:tcPr>
          <w:p>
            <w:pPr>
              <w:spacing w:after="0"/>
              <w:rPr>
                <w:sz w:val="1"/>
                <w:szCs w:val="1"/>
                <w:color w:val="auto"/>
              </w:rPr>
            </w:pPr>
          </w:p>
        </w:tc>
      </w:tr>
      <w:tr>
        <w:trPr>
          <w:trHeight w:val="117"/>
        </w:trPr>
        <w:tc>
          <w:tcPr>
            <w:tcW w:w="1600" w:type="dxa"/>
            <w:vAlign w:val="bottom"/>
          </w:tcPr>
          <w:p>
            <w:pPr>
              <w:ind w:left="440"/>
              <w:spacing w:after="0" w:line="117" w:lineRule="exact"/>
              <w:rPr>
                <w:sz w:val="20"/>
                <w:szCs w:val="20"/>
                <w:color w:val="auto"/>
              </w:rPr>
            </w:pPr>
            <w:r>
              <w:rPr>
                <w:rFonts w:ascii="Arial" w:cs="Arial" w:eastAsia="Arial" w:hAnsi="Arial"/>
                <w:sz w:val="13"/>
                <w:szCs w:val="13"/>
                <w:b w:val="1"/>
                <w:bCs w:val="1"/>
                <w:color w:val="auto"/>
                <w:w w:val="98"/>
              </w:rPr>
              <w:t>Unrealized gain on</w:t>
            </w: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3"/>
                <w:szCs w:val="13"/>
                <w:b w:val="1"/>
                <w:bCs w:val="1"/>
                <w:color w:val="auto"/>
              </w:rPr>
              <w:t>3,696</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1600" w:type="dxa"/>
            <w:vAlign w:val="bottom"/>
          </w:tcPr>
          <w:p>
            <w:pPr>
              <w:ind w:left="660"/>
              <w:spacing w:after="0" w:line="106" w:lineRule="exact"/>
              <w:rPr>
                <w:sz w:val="20"/>
                <w:szCs w:val="20"/>
                <w:color w:val="auto"/>
              </w:rPr>
            </w:pPr>
            <w:r>
              <w:rPr>
                <w:rFonts w:ascii="Arial" w:cs="Arial" w:eastAsia="Arial" w:hAnsi="Arial"/>
                <w:sz w:val="12"/>
                <w:szCs w:val="12"/>
                <w:b w:val="1"/>
                <w:bCs w:val="1"/>
                <w:color w:val="auto"/>
              </w:rPr>
              <w:t>derivatives</w:t>
            </w: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jc w:val="right"/>
              <w:ind w:right="160"/>
              <w:spacing w:after="0" w:line="106" w:lineRule="exact"/>
              <w:rPr>
                <w:sz w:val="20"/>
                <w:szCs w:val="20"/>
                <w:color w:val="auto"/>
              </w:rPr>
            </w:pPr>
            <w:r>
              <w:rPr>
                <w:rFonts w:ascii="Arial" w:cs="Arial" w:eastAsia="Arial" w:hAnsi="Arial"/>
                <w:sz w:val="12"/>
                <w:szCs w:val="12"/>
                <w:b w:val="1"/>
                <w:bCs w:val="1"/>
                <w:color w:val="auto"/>
              </w:rPr>
              <w:t>3,696</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gridSpan w:val="2"/>
          </w:tcPr>
          <w:p>
            <w:pPr>
              <w:jc w:val="right"/>
              <w:ind w:right="100"/>
              <w:spacing w:after="0" w:line="106" w:lineRule="exact"/>
              <w:rPr>
                <w:sz w:val="20"/>
                <w:szCs w:val="20"/>
                <w:color w:val="auto"/>
              </w:rPr>
            </w:pPr>
            <w:r>
              <w:rPr>
                <w:rFonts w:ascii="Arial" w:cs="Arial" w:eastAsia="Arial" w:hAnsi="Arial"/>
                <w:sz w:val="12"/>
                <w:szCs w:val="12"/>
                <w:b w:val="1"/>
                <w:bCs w:val="1"/>
                <w:color w:val="auto"/>
              </w:rPr>
              <w:t>3,696</w:t>
            </w:r>
          </w:p>
        </w:tc>
        <w:tc>
          <w:tcPr>
            <w:tcW w:w="0" w:type="dxa"/>
            <w:vAlign w:val="bottom"/>
          </w:tcPr>
          <w:p>
            <w:pPr>
              <w:spacing w:after="0"/>
              <w:rPr>
                <w:sz w:val="1"/>
                <w:szCs w:val="1"/>
                <w:color w:val="auto"/>
              </w:rPr>
            </w:pPr>
          </w:p>
        </w:tc>
      </w:tr>
      <w:tr>
        <w:trPr>
          <w:trHeight w:val="175"/>
        </w:trPr>
        <w:tc>
          <w:tcPr>
            <w:tcW w:w="1600" w:type="dxa"/>
            <w:vAlign w:val="bottom"/>
            <w:tcBorders>
              <w:bottom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Comprehensive income</w:t>
            </w:r>
          </w:p>
        </w:tc>
        <w:tc>
          <w:tcPr>
            <w:tcW w:w="5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gridSpan w:val="2"/>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7"/>
              <w:spacing w:after="0" w:line="115" w:lineRule="exact"/>
              <w:rPr>
                <w:sz w:val="20"/>
                <w:szCs w:val="20"/>
                <w:color w:val="auto"/>
              </w:rPr>
            </w:pPr>
            <w:r>
              <w:rPr>
                <w:rFonts w:ascii="Arial" w:cs="Arial" w:eastAsia="Arial" w:hAnsi="Arial"/>
                <w:sz w:val="13"/>
                <w:szCs w:val="13"/>
                <w:b w:val="1"/>
                <w:bCs w:val="1"/>
                <w:color w:val="auto"/>
                <w:w w:val="82"/>
              </w:rPr>
              <w:t>$</w:t>
            </w:r>
          </w:p>
        </w:tc>
        <w:tc>
          <w:tcPr>
            <w:tcW w:w="6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3"/>
                <w:szCs w:val="13"/>
                <w:b w:val="1"/>
                <w:bCs w:val="1"/>
                <w:color w:val="auto"/>
              </w:rPr>
              <w:t>95,192</w:t>
            </w:r>
          </w:p>
        </w:tc>
        <w:tc>
          <w:tcPr>
            <w:tcW w:w="1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1600" w:type="dxa"/>
            <w:vAlign w:val="bottom"/>
          </w:tcPr>
          <w:p>
            <w:pPr>
              <w:ind w:left="440"/>
              <w:spacing w:after="0" w:line="98" w:lineRule="exact"/>
              <w:rPr>
                <w:sz w:val="20"/>
                <w:szCs w:val="20"/>
                <w:color w:val="auto"/>
              </w:rPr>
            </w:pPr>
            <w:r>
              <w:rPr>
                <w:rFonts w:ascii="Arial" w:cs="Arial" w:eastAsia="Arial" w:hAnsi="Arial"/>
                <w:sz w:val="10"/>
                <w:szCs w:val="10"/>
                <w:b w:val="1"/>
                <w:bCs w:val="1"/>
                <w:color w:val="auto"/>
              </w:rPr>
              <w:t>BALANCE AS OF</w:t>
            </w: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600" w:type="dxa"/>
            <w:vAlign w:val="bottom"/>
          </w:tcPr>
          <w:p>
            <w:pPr>
              <w:ind w:left="660"/>
              <w:spacing w:after="0" w:line="135" w:lineRule="exact"/>
              <w:rPr>
                <w:sz w:val="20"/>
                <w:szCs w:val="20"/>
                <w:color w:val="auto"/>
              </w:rPr>
            </w:pPr>
            <w:r>
              <w:rPr>
                <w:rFonts w:ascii="Arial" w:cs="Arial" w:eastAsia="Arial" w:hAnsi="Arial"/>
                <w:sz w:val="13"/>
                <w:szCs w:val="13"/>
                <w:b w:val="1"/>
                <w:bCs w:val="1"/>
                <w:color w:val="auto"/>
              </w:rPr>
              <w:t>DECEMBER</w:t>
            </w: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600" w:type="dxa"/>
            <w:vAlign w:val="bottom"/>
          </w:tcPr>
          <w:p>
            <w:pPr>
              <w:ind w:left="660"/>
              <w:spacing w:after="0"/>
              <w:rPr>
                <w:sz w:val="20"/>
                <w:szCs w:val="20"/>
                <w:color w:val="auto"/>
              </w:rPr>
            </w:pPr>
            <w:r>
              <w:rPr>
                <w:rFonts w:ascii="Arial" w:cs="Arial" w:eastAsia="Arial" w:hAnsi="Arial"/>
                <w:sz w:val="13"/>
                <w:szCs w:val="13"/>
                <w:b w:val="1"/>
                <w:bCs w:val="1"/>
                <w:color w:val="auto"/>
              </w:rPr>
              <w:t>31, 2019</w:t>
            </w:r>
          </w:p>
        </w:tc>
        <w:tc>
          <w:tcPr>
            <w:tcW w:w="7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106,895</w:t>
            </w:r>
          </w:p>
        </w:tc>
        <w:tc>
          <w:tcPr>
            <w:tcW w:w="60" w:type="dxa"/>
            <w:vAlign w:val="bottom"/>
          </w:tcPr>
          <w:p>
            <w:pPr>
              <w:spacing w:after="0"/>
              <w:rPr>
                <w:sz w:val="20"/>
                <w:szCs w:val="20"/>
                <w:color w:val="auto"/>
              </w:rPr>
            </w:pPr>
            <w:r>
              <w:rPr>
                <w:rFonts w:ascii="Arial" w:cs="Arial" w:eastAsia="Arial" w:hAnsi="Arial"/>
                <w:sz w:val="10"/>
                <w:szCs w:val="10"/>
                <w:b w:val="1"/>
                <w:bCs w:val="1"/>
                <w:color w:val="auto"/>
                <w:w w:val="71"/>
              </w:rPr>
              <w:t>$</w:t>
            </w:r>
          </w:p>
        </w:tc>
        <w:tc>
          <w:tcPr>
            <w:tcW w:w="64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w w:val="97"/>
              </w:rPr>
              <w:t>426,111</w:t>
            </w:r>
          </w:p>
        </w:tc>
        <w:tc>
          <w:tcPr>
            <w:tcW w:w="70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w w:val="87"/>
              </w:rPr>
              <w:t>$ 1,395,376</w:t>
            </w:r>
          </w:p>
        </w:tc>
        <w:tc>
          <w:tcPr>
            <w:tcW w:w="16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p>
        </w:tc>
        <w:tc>
          <w:tcPr>
            <w:tcW w:w="60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20"/>
                <w:szCs w:val="20"/>
                <w:color w:val="auto"/>
              </w:rPr>
            </w:pPr>
            <w:r>
              <w:rPr>
                <w:rFonts w:ascii="Arial" w:cs="Arial" w:eastAsia="Arial" w:hAnsi="Arial"/>
                <w:sz w:val="13"/>
                <w:szCs w:val="13"/>
                <w:b w:val="1"/>
                <w:bCs w:val="1"/>
                <w:color w:val="auto"/>
                <w:w w:val="82"/>
              </w:rPr>
              <w:t>$</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107,774</w:t>
            </w:r>
          </w:p>
        </w:tc>
        <w:tc>
          <w:tcPr>
            <w:tcW w:w="260" w:type="dxa"/>
            <w:vAlign w:val="bottom"/>
            <w:gridSpan w:val="2"/>
          </w:tcPr>
          <w:p>
            <w:pPr>
              <w:ind w:left="100"/>
              <w:spacing w:after="0"/>
              <w:rPr>
                <w:sz w:val="20"/>
                <w:szCs w:val="20"/>
                <w:color w:val="auto"/>
              </w:rPr>
            </w:pPr>
            <w:r>
              <w:rPr>
                <w:rFonts w:ascii="Arial" w:cs="Arial" w:eastAsia="Arial" w:hAnsi="Arial"/>
                <w:sz w:val="13"/>
                <w:szCs w:val="13"/>
                <w:b w:val="1"/>
                <w:bCs w:val="1"/>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1,906</w:t>
            </w:r>
          </w:p>
        </w:tc>
        <w:tc>
          <w:tcPr>
            <w:tcW w:w="80" w:type="dxa"/>
            <w:vAlign w:val="bottom"/>
          </w:tcPr>
          <w:p>
            <w:pPr>
              <w:spacing w:after="0"/>
              <w:rPr>
                <w:sz w:val="20"/>
                <w:szCs w:val="20"/>
                <w:color w:val="auto"/>
              </w:rPr>
            </w:pPr>
            <w:r>
              <w:rPr>
                <w:rFonts w:ascii="Arial" w:cs="Arial" w:eastAsia="Arial" w:hAnsi="Arial"/>
                <w:sz w:val="13"/>
                <w:szCs w:val="13"/>
                <w:b w:val="1"/>
                <w:bCs w:val="1"/>
                <w:color w:val="auto"/>
                <w:w w:val="82"/>
              </w:rPr>
              <w:t>$</w:t>
            </w:r>
          </w:p>
        </w:tc>
        <w:tc>
          <w:tcPr>
            <w:tcW w:w="700" w:type="dxa"/>
            <w:vAlign w:val="bottom"/>
            <w:gridSpan w:val="2"/>
          </w:tcPr>
          <w:p>
            <w:pPr>
              <w:jc w:val="right"/>
              <w:ind w:right="78"/>
              <w:spacing w:after="0"/>
              <w:rPr>
                <w:sz w:val="20"/>
                <w:szCs w:val="20"/>
                <w:color w:val="auto"/>
              </w:rPr>
            </w:pPr>
            <w:r>
              <w:rPr>
                <w:rFonts w:ascii="Arial" w:cs="Arial" w:eastAsia="Arial" w:hAnsi="Arial"/>
                <w:sz w:val="13"/>
                <w:szCs w:val="13"/>
                <w:b w:val="1"/>
                <w:bCs w:val="1"/>
                <w:color w:val="auto"/>
              </w:rPr>
              <w:t>(20,150)</w:t>
            </w: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680" w:type="dxa"/>
            <w:vAlign w:val="bottom"/>
            <w:gridSpan w:val="2"/>
          </w:tcPr>
          <w:p>
            <w:pPr>
              <w:jc w:val="right"/>
              <w:ind w:right="18"/>
              <w:spacing w:after="0"/>
              <w:rPr>
                <w:sz w:val="20"/>
                <w:szCs w:val="20"/>
                <w:color w:val="auto"/>
              </w:rPr>
            </w:pPr>
            <w:r>
              <w:rPr>
                <w:rFonts w:ascii="Arial" w:cs="Arial" w:eastAsia="Arial" w:hAnsi="Arial"/>
                <w:sz w:val="13"/>
                <w:szCs w:val="13"/>
                <w:b w:val="1"/>
                <w:bCs w:val="1"/>
                <w:color w:val="auto"/>
              </w:rPr>
              <w:t>(547,398)</w:t>
            </w:r>
          </w:p>
        </w:tc>
        <w:tc>
          <w:tcPr>
            <w:tcW w:w="18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p>
        </w:tc>
        <w:tc>
          <w:tcPr>
            <w:tcW w:w="580" w:type="dxa"/>
            <w:vAlign w:val="bottom"/>
            <w:gridSpan w:val="2"/>
          </w:tcPr>
          <w:p>
            <w:pPr>
              <w:jc w:val="right"/>
              <w:ind w:right="78"/>
              <w:spacing w:after="0"/>
              <w:rPr>
                <w:sz w:val="20"/>
                <w:szCs w:val="20"/>
                <w:color w:val="auto"/>
              </w:rPr>
            </w:pPr>
            <w:r>
              <w:rPr>
                <w:rFonts w:ascii="Arial" w:cs="Arial" w:eastAsia="Arial" w:hAnsi="Arial"/>
                <w:sz w:val="13"/>
                <w:szCs w:val="13"/>
                <w:b w:val="1"/>
                <w:bCs w:val="1"/>
                <w:color w:val="auto"/>
              </w:rPr>
              <w:t>(9,072)</w:t>
            </w: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680" w:type="dxa"/>
            <w:vAlign w:val="bottom"/>
            <w:gridSpan w:val="2"/>
          </w:tcPr>
          <w:p>
            <w:pPr>
              <w:jc w:val="right"/>
              <w:ind w:right="98"/>
              <w:spacing w:after="0"/>
              <w:rPr>
                <w:sz w:val="20"/>
                <w:szCs w:val="20"/>
                <w:color w:val="auto"/>
              </w:rPr>
            </w:pPr>
            <w:r>
              <w:rPr>
                <w:rFonts w:ascii="Arial" w:cs="Arial" w:eastAsia="Arial" w:hAnsi="Arial"/>
                <w:sz w:val="13"/>
                <w:szCs w:val="13"/>
                <w:b w:val="1"/>
                <w:bCs w:val="1"/>
                <w:color w:val="auto"/>
              </w:rPr>
              <w:t>(7,824)</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w w:val="84"/>
              </w:rPr>
              <w:t>$ 1,346,723</w:t>
            </w:r>
          </w:p>
        </w:tc>
        <w:tc>
          <w:tcPr>
            <w:tcW w:w="0" w:type="dxa"/>
            <w:vAlign w:val="bottom"/>
          </w:tcPr>
          <w:p>
            <w:pPr>
              <w:spacing w:after="0"/>
              <w:rPr>
                <w:sz w:val="1"/>
                <w:szCs w:val="1"/>
                <w:color w:val="auto"/>
              </w:rPr>
            </w:pPr>
          </w:p>
        </w:tc>
      </w:tr>
      <w:tr>
        <w:trPr>
          <w:trHeight w:val="135"/>
        </w:trPr>
        <w:tc>
          <w:tcPr>
            <w:tcW w:w="16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00" w:type="dxa"/>
            <w:vAlign w:val="bottom"/>
          </w:tcPr>
          <w:p>
            <w:pPr>
              <w:spacing w:after="0" w:line="135" w:lineRule="exact"/>
              <w:rPr>
                <w:sz w:val="20"/>
                <w:szCs w:val="20"/>
                <w:color w:val="auto"/>
              </w:rPr>
            </w:pPr>
            <w:r>
              <w:rPr>
                <w:rFonts w:ascii="Arial" w:cs="Arial" w:eastAsia="Arial" w:hAnsi="Arial"/>
                <w:sz w:val="13"/>
                <w:szCs w:val="13"/>
                <w:b w:val="1"/>
                <w:bCs w:val="1"/>
                <w:color w:val="auto"/>
                <w:w w:val="93"/>
              </w:rPr>
              <w:t>Changes during the period:</w:t>
            </w: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600" w:type="dxa"/>
            <w:vAlign w:val="bottom"/>
          </w:tcPr>
          <w:p>
            <w:pPr>
              <w:spacing w:after="0" w:line="117" w:lineRule="exact"/>
              <w:rPr>
                <w:sz w:val="20"/>
                <w:szCs w:val="20"/>
                <w:color w:val="auto"/>
              </w:rPr>
            </w:pPr>
            <w:r>
              <w:rPr>
                <w:rFonts w:ascii="Arial" w:cs="Arial" w:eastAsia="Arial" w:hAnsi="Arial"/>
                <w:sz w:val="13"/>
                <w:szCs w:val="13"/>
                <w:b w:val="1"/>
                <w:bCs w:val="1"/>
                <w:color w:val="auto"/>
              </w:rPr>
              <w:t>Exercise of options and</w:t>
            </w: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600" w:type="dxa"/>
            <w:vAlign w:val="bottom"/>
          </w:tcPr>
          <w:p>
            <w:pPr>
              <w:spacing w:after="0"/>
              <w:rPr>
                <w:sz w:val="20"/>
                <w:szCs w:val="20"/>
                <w:color w:val="auto"/>
              </w:rPr>
            </w:pPr>
            <w:r>
              <w:rPr>
                <w:rFonts w:ascii="Arial" w:cs="Arial" w:eastAsia="Arial" w:hAnsi="Arial"/>
                <w:sz w:val="13"/>
                <w:szCs w:val="13"/>
                <w:b w:val="1"/>
                <w:bCs w:val="1"/>
                <w:color w:val="auto"/>
              </w:rPr>
              <w:t>RSUs</w:t>
            </w:r>
          </w:p>
        </w:tc>
        <w:tc>
          <w:tcPr>
            <w:tcW w:w="7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1,115</w:t>
            </w:r>
          </w:p>
        </w:tc>
        <w:tc>
          <w:tcPr>
            <w:tcW w:w="60" w:type="dxa"/>
            <w:vAlign w:val="bottom"/>
          </w:tcPr>
          <w:p>
            <w:pPr>
              <w:spacing w:after="0"/>
              <w:rPr>
                <w:sz w:val="13"/>
                <w:szCs w:val="13"/>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4,885</w:t>
            </w:r>
          </w:p>
        </w:tc>
        <w:tc>
          <w:tcPr>
            <w:tcW w:w="70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(2,281)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2,604</w:t>
            </w:r>
          </w:p>
        </w:tc>
        <w:tc>
          <w:tcPr>
            <w:tcW w:w="0" w:type="dxa"/>
            <w:vAlign w:val="bottom"/>
          </w:tcPr>
          <w:p>
            <w:pPr>
              <w:spacing w:after="0"/>
              <w:rPr>
                <w:sz w:val="1"/>
                <w:szCs w:val="1"/>
                <w:color w:val="auto"/>
              </w:rPr>
            </w:pPr>
          </w:p>
        </w:tc>
      </w:tr>
      <w:tr>
        <w:trPr>
          <w:trHeight w:val="117"/>
        </w:trPr>
        <w:tc>
          <w:tcPr>
            <w:tcW w:w="1600" w:type="dxa"/>
            <w:vAlign w:val="bottom"/>
            <w:shd w:val="clear" w:color="auto" w:fill="CCEEFF"/>
          </w:tcPr>
          <w:p>
            <w:pPr>
              <w:spacing w:after="0" w:line="117" w:lineRule="exact"/>
              <w:rPr>
                <w:sz w:val="20"/>
                <w:szCs w:val="20"/>
                <w:color w:val="auto"/>
              </w:rPr>
            </w:pPr>
            <w:r>
              <w:rPr>
                <w:rFonts w:ascii="Arial" w:cs="Arial" w:eastAsia="Arial" w:hAnsi="Arial"/>
                <w:sz w:val="13"/>
                <w:szCs w:val="13"/>
                <w:b w:val="1"/>
                <w:bCs w:val="1"/>
                <w:color w:val="auto"/>
              </w:rPr>
              <w:t>Employee stock-based</w:t>
            </w: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600" w:type="dxa"/>
            <w:vAlign w:val="bottom"/>
            <w:shd w:val="clear" w:color="auto" w:fill="CCEEFF"/>
          </w:tcPr>
          <w:p>
            <w:pPr>
              <w:ind w:left="220"/>
              <w:spacing w:after="0"/>
              <w:rPr>
                <w:sz w:val="20"/>
                <w:szCs w:val="20"/>
                <w:color w:val="auto"/>
              </w:rPr>
            </w:pPr>
            <w:r>
              <w:rPr>
                <w:rFonts w:ascii="Arial" w:cs="Arial" w:eastAsia="Arial" w:hAnsi="Arial"/>
                <w:sz w:val="13"/>
                <w:szCs w:val="13"/>
                <w:b w:val="1"/>
                <w:bCs w:val="1"/>
                <w:color w:val="auto"/>
              </w:rPr>
              <w:t>compensation</w:t>
            </w: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16,988</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16,988</w:t>
            </w:r>
          </w:p>
        </w:tc>
        <w:tc>
          <w:tcPr>
            <w:tcW w:w="0" w:type="dxa"/>
            <w:vAlign w:val="bottom"/>
          </w:tcPr>
          <w:p>
            <w:pPr>
              <w:spacing w:after="0"/>
              <w:rPr>
                <w:sz w:val="1"/>
                <w:szCs w:val="1"/>
                <w:color w:val="auto"/>
              </w:rPr>
            </w:pPr>
          </w:p>
        </w:tc>
      </w:tr>
      <w:tr>
        <w:trPr>
          <w:trHeight w:val="117"/>
        </w:trPr>
        <w:tc>
          <w:tcPr>
            <w:tcW w:w="1600" w:type="dxa"/>
            <w:vAlign w:val="bottom"/>
          </w:tcPr>
          <w:p>
            <w:pPr>
              <w:spacing w:after="0" w:line="117" w:lineRule="exact"/>
              <w:rPr>
                <w:sz w:val="20"/>
                <w:szCs w:val="20"/>
                <w:color w:val="auto"/>
              </w:rPr>
            </w:pPr>
            <w:r>
              <w:rPr>
                <w:rFonts w:ascii="Arial" w:cs="Arial" w:eastAsia="Arial" w:hAnsi="Arial"/>
                <w:sz w:val="13"/>
                <w:szCs w:val="13"/>
                <w:b w:val="1"/>
                <w:bCs w:val="1"/>
                <w:color w:val="auto"/>
              </w:rPr>
              <w:t>Cumulative effect upon</w:t>
            </w: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600" w:type="dxa"/>
            <w:vAlign w:val="bottom"/>
          </w:tcPr>
          <w:p>
            <w:pPr>
              <w:ind w:left="220"/>
              <w:spacing w:after="0" w:line="135" w:lineRule="exact"/>
              <w:rPr>
                <w:sz w:val="20"/>
                <w:szCs w:val="20"/>
                <w:color w:val="auto"/>
              </w:rPr>
            </w:pPr>
            <w:r>
              <w:rPr>
                <w:rFonts w:ascii="Arial" w:cs="Arial" w:eastAsia="Arial" w:hAnsi="Arial"/>
                <w:sz w:val="13"/>
                <w:szCs w:val="13"/>
                <w:b w:val="1"/>
                <w:bCs w:val="1"/>
                <w:color w:val="auto"/>
              </w:rPr>
              <w:t>adoption of ASC 326 -</w:t>
            </w: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600" w:type="dxa"/>
            <w:vAlign w:val="bottom"/>
          </w:tcPr>
          <w:p>
            <w:pPr>
              <w:ind w:left="220"/>
              <w:spacing w:after="0"/>
              <w:rPr>
                <w:sz w:val="20"/>
                <w:szCs w:val="20"/>
                <w:color w:val="auto"/>
              </w:rPr>
            </w:pPr>
            <w:r>
              <w:rPr>
                <w:rFonts w:ascii="Arial" w:cs="Arial" w:eastAsia="Arial" w:hAnsi="Arial"/>
                <w:sz w:val="13"/>
                <w:szCs w:val="13"/>
                <w:b w:val="1"/>
                <w:bCs w:val="1"/>
                <w:color w:val="auto"/>
              </w:rPr>
              <w:t>see note 2X</w:t>
            </w: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right"/>
              <w:ind w:right="18"/>
              <w:spacing w:after="0"/>
              <w:rPr>
                <w:sz w:val="20"/>
                <w:szCs w:val="20"/>
                <w:color w:val="auto"/>
              </w:rPr>
            </w:pPr>
            <w:r>
              <w:rPr>
                <w:rFonts w:ascii="Arial" w:cs="Arial" w:eastAsia="Arial" w:hAnsi="Arial"/>
                <w:sz w:val="13"/>
                <w:szCs w:val="13"/>
                <w:b w:val="1"/>
                <w:bCs w:val="1"/>
                <w:color w:val="auto"/>
              </w:rPr>
              <w:t>(364)</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(364)</w:t>
            </w:r>
          </w:p>
        </w:tc>
        <w:tc>
          <w:tcPr>
            <w:tcW w:w="0" w:type="dxa"/>
            <w:vAlign w:val="bottom"/>
          </w:tcPr>
          <w:p>
            <w:pPr>
              <w:spacing w:after="0"/>
              <w:rPr>
                <w:sz w:val="1"/>
                <w:szCs w:val="1"/>
                <w:color w:val="auto"/>
              </w:rPr>
            </w:pPr>
          </w:p>
        </w:tc>
      </w:tr>
      <w:tr>
        <w:trPr>
          <w:trHeight w:val="117"/>
        </w:trPr>
        <w:tc>
          <w:tcPr>
            <w:tcW w:w="1600" w:type="dxa"/>
            <w:vAlign w:val="bottom"/>
            <w:shd w:val="clear" w:color="auto" w:fill="CCEEFF"/>
          </w:tcPr>
          <w:p>
            <w:pPr>
              <w:ind w:left="220"/>
              <w:spacing w:after="0" w:line="117" w:lineRule="exact"/>
              <w:rPr>
                <w:sz w:val="20"/>
                <w:szCs w:val="20"/>
                <w:color w:val="auto"/>
              </w:rPr>
            </w:pPr>
            <w:r>
              <w:rPr>
                <w:rFonts w:ascii="Arial" w:cs="Arial" w:eastAsia="Arial" w:hAnsi="Arial"/>
                <w:sz w:val="13"/>
                <w:szCs w:val="13"/>
                <w:b w:val="1"/>
                <w:bCs w:val="1"/>
                <w:color w:val="auto"/>
              </w:rPr>
              <w:t>Other comprehensive</w:t>
            </w: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600" w:type="dxa"/>
            <w:vAlign w:val="bottom"/>
            <w:shd w:val="clear" w:color="auto" w:fill="CCEEFF"/>
          </w:tcPr>
          <w:p>
            <w:pPr>
              <w:ind w:left="440"/>
              <w:spacing w:after="0"/>
              <w:rPr>
                <w:sz w:val="20"/>
                <w:szCs w:val="20"/>
                <w:color w:val="auto"/>
              </w:rPr>
            </w:pPr>
            <w:r>
              <w:rPr>
                <w:rFonts w:ascii="Arial" w:cs="Arial" w:eastAsia="Arial" w:hAnsi="Arial"/>
                <w:sz w:val="13"/>
                <w:szCs w:val="13"/>
                <w:b w:val="1"/>
                <w:bCs w:val="1"/>
                <w:color w:val="auto"/>
              </w:rPr>
              <w:t>income:</w:t>
            </w: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600" w:type="dxa"/>
            <w:vAlign w:val="bottom"/>
          </w:tcPr>
          <w:p>
            <w:pPr>
              <w:ind w:left="440"/>
              <w:spacing w:after="0" w:line="135" w:lineRule="exact"/>
              <w:rPr>
                <w:sz w:val="20"/>
                <w:szCs w:val="20"/>
                <w:color w:val="auto"/>
              </w:rPr>
            </w:pPr>
            <w:r>
              <w:rPr>
                <w:rFonts w:ascii="Arial" w:cs="Arial" w:eastAsia="Arial" w:hAnsi="Arial"/>
                <w:sz w:val="13"/>
                <w:szCs w:val="13"/>
                <w:b w:val="1"/>
                <w:bCs w:val="1"/>
                <w:color w:val="auto"/>
              </w:rPr>
              <w:t>Profit</w:t>
            </w: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jc w:val="right"/>
              <w:ind w:right="58"/>
              <w:spacing w:after="0" w:line="135" w:lineRule="exact"/>
              <w:rPr>
                <w:sz w:val="20"/>
                <w:szCs w:val="20"/>
                <w:color w:val="auto"/>
              </w:rPr>
            </w:pPr>
            <w:r>
              <w:rPr>
                <w:rFonts w:ascii="Arial" w:cs="Arial" w:eastAsia="Arial" w:hAnsi="Arial"/>
                <w:sz w:val="13"/>
                <w:szCs w:val="13"/>
                <w:b w:val="1"/>
                <w:bCs w:val="1"/>
                <w:color w:val="auto"/>
              </w:rPr>
              <w:t>82,302</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3"/>
          </w:tcPr>
          <w:p>
            <w:pPr>
              <w:jc w:val="right"/>
              <w:ind w:right="17"/>
              <w:spacing w:after="0" w:line="135" w:lineRule="exact"/>
              <w:rPr>
                <w:sz w:val="20"/>
                <w:szCs w:val="20"/>
                <w:color w:val="auto"/>
              </w:rPr>
            </w:pPr>
            <w:r>
              <w:rPr>
                <w:rFonts w:ascii="Arial" w:cs="Arial" w:eastAsia="Arial" w:hAnsi="Arial"/>
                <w:sz w:val="13"/>
                <w:szCs w:val="13"/>
                <w:b w:val="1"/>
                <w:bCs w:val="1"/>
                <w:color w:val="auto"/>
              </w:rPr>
              <w:t>$</w:t>
            </w: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3"/>
                <w:szCs w:val="13"/>
                <w:b w:val="1"/>
                <w:bCs w:val="1"/>
                <w:color w:val="auto"/>
              </w:rPr>
              <w:t>82,302</w:t>
            </w:r>
          </w:p>
        </w:tc>
        <w:tc>
          <w:tcPr>
            <w:tcW w:w="80" w:type="dxa"/>
            <w:vAlign w:val="bottom"/>
          </w:tcPr>
          <w:p>
            <w:pPr>
              <w:spacing w:after="0"/>
              <w:rPr>
                <w:sz w:val="11"/>
                <w:szCs w:val="11"/>
                <w:color w:val="auto"/>
              </w:rPr>
            </w:pPr>
          </w:p>
        </w:tc>
        <w:tc>
          <w:tcPr>
            <w:tcW w:w="680" w:type="dxa"/>
            <w:vAlign w:val="bottom"/>
            <w:gridSpan w:val="2"/>
          </w:tcPr>
          <w:p>
            <w:pPr>
              <w:jc w:val="right"/>
              <w:ind w:right="138"/>
              <w:spacing w:after="0" w:line="135" w:lineRule="exact"/>
              <w:rPr>
                <w:sz w:val="20"/>
                <w:szCs w:val="20"/>
                <w:color w:val="auto"/>
              </w:rPr>
            </w:pPr>
            <w:r>
              <w:rPr>
                <w:rFonts w:ascii="Arial" w:cs="Arial" w:eastAsia="Arial" w:hAnsi="Arial"/>
                <w:sz w:val="13"/>
                <w:szCs w:val="13"/>
                <w:b w:val="1"/>
                <w:bCs w:val="1"/>
                <w:color w:val="auto"/>
              </w:rPr>
              <w:t>987</w:t>
            </w:r>
          </w:p>
        </w:tc>
        <w:tc>
          <w:tcPr>
            <w:tcW w:w="700" w:type="dxa"/>
            <w:vAlign w:val="bottom"/>
            <w:gridSpan w:val="2"/>
          </w:tcPr>
          <w:p>
            <w:pPr>
              <w:jc w:val="right"/>
              <w:ind w:right="100"/>
              <w:spacing w:after="0" w:line="135" w:lineRule="exact"/>
              <w:rPr>
                <w:sz w:val="20"/>
                <w:szCs w:val="20"/>
                <w:color w:val="auto"/>
              </w:rPr>
            </w:pPr>
            <w:r>
              <w:rPr>
                <w:rFonts w:ascii="Arial" w:cs="Arial" w:eastAsia="Arial" w:hAnsi="Arial"/>
                <w:sz w:val="13"/>
                <w:szCs w:val="13"/>
                <w:b w:val="1"/>
                <w:bCs w:val="1"/>
                <w:color w:val="auto"/>
              </w:rPr>
              <w:t>83,289</w:t>
            </w:r>
          </w:p>
        </w:tc>
        <w:tc>
          <w:tcPr>
            <w:tcW w:w="0" w:type="dxa"/>
            <w:vAlign w:val="bottom"/>
          </w:tcPr>
          <w:p>
            <w:pPr>
              <w:spacing w:after="0"/>
              <w:rPr>
                <w:sz w:val="1"/>
                <w:szCs w:val="1"/>
                <w:color w:val="auto"/>
              </w:rPr>
            </w:pPr>
          </w:p>
        </w:tc>
      </w:tr>
      <w:tr>
        <w:trPr>
          <w:trHeight w:val="117"/>
        </w:trPr>
        <w:tc>
          <w:tcPr>
            <w:tcW w:w="1600" w:type="dxa"/>
            <w:vAlign w:val="bottom"/>
            <w:shd w:val="clear" w:color="auto" w:fill="CCEEFF"/>
          </w:tcPr>
          <w:p>
            <w:pPr>
              <w:ind w:left="440"/>
              <w:spacing w:after="0" w:line="117" w:lineRule="exact"/>
              <w:rPr>
                <w:sz w:val="20"/>
                <w:szCs w:val="20"/>
                <w:color w:val="auto"/>
              </w:rPr>
            </w:pPr>
            <w:r>
              <w:rPr>
                <w:rFonts w:ascii="Arial" w:cs="Arial" w:eastAsia="Arial" w:hAnsi="Arial"/>
                <w:sz w:val="13"/>
                <w:szCs w:val="13"/>
                <w:b w:val="1"/>
                <w:bCs w:val="1"/>
                <w:color w:val="auto"/>
              </w:rPr>
              <w:t>Foreign currency</w:t>
            </w: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600" w:type="dxa"/>
            <w:vAlign w:val="bottom"/>
            <w:shd w:val="clear" w:color="auto" w:fill="CCEEFF"/>
          </w:tcPr>
          <w:p>
            <w:pPr>
              <w:ind w:left="660"/>
              <w:spacing w:after="0" w:line="135" w:lineRule="exact"/>
              <w:rPr>
                <w:sz w:val="20"/>
                <w:szCs w:val="20"/>
                <w:color w:val="auto"/>
              </w:rPr>
            </w:pPr>
            <w:r>
              <w:rPr>
                <w:rFonts w:ascii="Arial" w:cs="Arial" w:eastAsia="Arial" w:hAnsi="Arial"/>
                <w:sz w:val="13"/>
                <w:szCs w:val="13"/>
                <w:b w:val="1"/>
                <w:bCs w:val="1"/>
                <w:color w:val="auto"/>
              </w:rPr>
              <w:t>translation</w:t>
            </w: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600" w:type="dxa"/>
            <w:vAlign w:val="bottom"/>
            <w:shd w:val="clear" w:color="auto" w:fill="CCEEFF"/>
          </w:tcPr>
          <w:p>
            <w:pPr>
              <w:ind w:left="660"/>
              <w:spacing w:after="0"/>
              <w:rPr>
                <w:sz w:val="20"/>
                <w:szCs w:val="20"/>
                <w:color w:val="auto"/>
              </w:rPr>
            </w:pPr>
            <w:r>
              <w:rPr>
                <w:rFonts w:ascii="Arial" w:cs="Arial" w:eastAsia="Arial" w:hAnsi="Arial"/>
                <w:sz w:val="13"/>
                <w:szCs w:val="13"/>
                <w:b w:val="1"/>
                <w:bCs w:val="1"/>
                <w:color w:val="auto"/>
              </w:rPr>
              <w:t>adjustments</w:t>
            </w: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18"/>
              <w:spacing w:after="0"/>
              <w:rPr>
                <w:sz w:val="20"/>
                <w:szCs w:val="20"/>
                <w:color w:val="auto"/>
              </w:rPr>
            </w:pPr>
            <w:r>
              <w:rPr>
                <w:rFonts w:ascii="Arial" w:cs="Arial" w:eastAsia="Arial" w:hAnsi="Arial"/>
                <w:sz w:val="13"/>
                <w:szCs w:val="13"/>
                <w:b w:val="1"/>
                <w:bCs w:val="1"/>
                <w:color w:val="auto"/>
              </w:rPr>
              <w:t>3,903</w:t>
            </w: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b w:val="1"/>
                <w:bCs w:val="1"/>
                <w:color w:val="auto"/>
              </w:rPr>
              <w:t>3,903</w:t>
            </w: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38"/>
              <w:spacing w:after="0"/>
              <w:rPr>
                <w:sz w:val="20"/>
                <w:szCs w:val="20"/>
                <w:color w:val="auto"/>
              </w:rPr>
            </w:pPr>
            <w:r>
              <w:rPr>
                <w:rFonts w:ascii="Arial" w:cs="Arial" w:eastAsia="Arial" w:hAnsi="Arial"/>
                <w:sz w:val="13"/>
                <w:szCs w:val="13"/>
                <w:b w:val="1"/>
                <w:bCs w:val="1"/>
                <w:color w:val="auto"/>
              </w:rPr>
              <w:t>3,927</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7,830</w:t>
            </w:r>
          </w:p>
        </w:tc>
        <w:tc>
          <w:tcPr>
            <w:tcW w:w="0" w:type="dxa"/>
            <w:vAlign w:val="bottom"/>
          </w:tcPr>
          <w:p>
            <w:pPr>
              <w:spacing w:after="0"/>
              <w:rPr>
                <w:sz w:val="1"/>
                <w:szCs w:val="1"/>
                <w:color w:val="auto"/>
              </w:rPr>
            </w:pPr>
          </w:p>
        </w:tc>
      </w:tr>
      <w:tr>
        <w:trPr>
          <w:trHeight w:val="117"/>
        </w:trPr>
        <w:tc>
          <w:tcPr>
            <w:tcW w:w="1600" w:type="dxa"/>
            <w:vAlign w:val="bottom"/>
          </w:tcPr>
          <w:p>
            <w:pPr>
              <w:ind w:left="440"/>
              <w:spacing w:after="0" w:line="117" w:lineRule="exact"/>
              <w:rPr>
                <w:sz w:val="20"/>
                <w:szCs w:val="20"/>
                <w:color w:val="auto"/>
              </w:rPr>
            </w:pPr>
            <w:r>
              <w:rPr>
                <w:rFonts w:ascii="Arial" w:cs="Arial" w:eastAsia="Arial" w:hAnsi="Arial"/>
                <w:sz w:val="13"/>
                <w:szCs w:val="13"/>
                <w:b w:val="1"/>
                <w:bCs w:val="1"/>
                <w:color w:val="auto"/>
              </w:rPr>
              <w:t>Change in</w:t>
            </w: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600" w:type="dxa"/>
            <w:vAlign w:val="bottom"/>
          </w:tcPr>
          <w:p>
            <w:pPr>
              <w:ind w:left="660"/>
              <w:spacing w:after="0" w:line="135" w:lineRule="exact"/>
              <w:rPr>
                <w:sz w:val="20"/>
                <w:szCs w:val="20"/>
                <w:color w:val="auto"/>
              </w:rPr>
            </w:pPr>
            <w:r>
              <w:rPr>
                <w:rFonts w:ascii="Arial" w:cs="Arial" w:eastAsia="Arial" w:hAnsi="Arial"/>
                <w:sz w:val="13"/>
                <w:szCs w:val="13"/>
                <w:b w:val="1"/>
                <w:bCs w:val="1"/>
                <w:color w:val="auto"/>
                <w:w w:val="94"/>
              </w:rPr>
              <w:t>employees plan</w:t>
            </w: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00" w:type="dxa"/>
            <w:vAlign w:val="bottom"/>
          </w:tcPr>
          <w:p>
            <w:pPr>
              <w:ind w:left="660"/>
              <w:spacing w:after="0" w:line="135" w:lineRule="exact"/>
              <w:rPr>
                <w:sz w:val="20"/>
                <w:szCs w:val="20"/>
                <w:color w:val="auto"/>
              </w:rPr>
            </w:pPr>
            <w:r>
              <w:rPr>
                <w:rFonts w:ascii="Arial" w:cs="Arial" w:eastAsia="Arial" w:hAnsi="Arial"/>
                <w:sz w:val="13"/>
                <w:szCs w:val="13"/>
                <w:b w:val="1"/>
                <w:bCs w:val="1"/>
                <w:color w:val="auto"/>
              </w:rPr>
              <w:t>assets and</w:t>
            </w: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00" w:type="dxa"/>
            <w:vAlign w:val="bottom"/>
          </w:tcPr>
          <w:p>
            <w:pPr>
              <w:ind w:left="660"/>
              <w:spacing w:after="0" w:line="135" w:lineRule="exact"/>
              <w:rPr>
                <w:sz w:val="20"/>
                <w:szCs w:val="20"/>
                <w:color w:val="auto"/>
              </w:rPr>
            </w:pPr>
            <w:r>
              <w:rPr>
                <w:rFonts w:ascii="Arial" w:cs="Arial" w:eastAsia="Arial" w:hAnsi="Arial"/>
                <w:sz w:val="13"/>
                <w:szCs w:val="13"/>
                <w:b w:val="1"/>
                <w:bCs w:val="1"/>
                <w:color w:val="auto"/>
              </w:rPr>
              <w:t>benefit</w:t>
            </w: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600" w:type="dxa"/>
            <w:vAlign w:val="bottom"/>
          </w:tcPr>
          <w:p>
            <w:pPr>
              <w:ind w:left="660"/>
              <w:spacing w:after="0"/>
              <w:rPr>
                <w:sz w:val="20"/>
                <w:szCs w:val="20"/>
                <w:color w:val="auto"/>
              </w:rPr>
            </w:pPr>
            <w:r>
              <w:rPr>
                <w:rFonts w:ascii="Arial" w:cs="Arial" w:eastAsia="Arial" w:hAnsi="Arial"/>
                <w:sz w:val="13"/>
                <w:szCs w:val="13"/>
                <w:b w:val="1"/>
                <w:bCs w:val="1"/>
                <w:color w:val="auto"/>
              </w:rPr>
              <w:t>obligations</w:t>
            </w: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(394)</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(394)</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(394)</w:t>
            </w:r>
          </w:p>
        </w:tc>
        <w:tc>
          <w:tcPr>
            <w:tcW w:w="0" w:type="dxa"/>
            <w:vAlign w:val="bottom"/>
          </w:tcPr>
          <w:p>
            <w:pPr>
              <w:spacing w:after="0"/>
              <w:rPr>
                <w:sz w:val="1"/>
                <w:szCs w:val="1"/>
                <w:color w:val="auto"/>
              </w:rPr>
            </w:pPr>
          </w:p>
        </w:tc>
      </w:tr>
      <w:tr>
        <w:trPr>
          <w:trHeight w:val="117"/>
        </w:trPr>
        <w:tc>
          <w:tcPr>
            <w:tcW w:w="1600" w:type="dxa"/>
            <w:vAlign w:val="bottom"/>
            <w:shd w:val="clear" w:color="auto" w:fill="CCEEFF"/>
          </w:tcPr>
          <w:p>
            <w:pPr>
              <w:ind w:left="440"/>
              <w:spacing w:after="0" w:line="117" w:lineRule="exact"/>
              <w:rPr>
                <w:sz w:val="20"/>
                <w:szCs w:val="20"/>
                <w:color w:val="auto"/>
              </w:rPr>
            </w:pPr>
            <w:r>
              <w:rPr>
                <w:rFonts w:ascii="Arial" w:cs="Arial" w:eastAsia="Arial" w:hAnsi="Arial"/>
                <w:sz w:val="13"/>
                <w:szCs w:val="13"/>
                <w:b w:val="1"/>
                <w:bCs w:val="1"/>
                <w:color w:val="auto"/>
                <w:w w:val="99"/>
              </w:rPr>
              <w:t>Unrealized loss on</w:t>
            </w: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b w:val="1"/>
                <w:bCs w:val="1"/>
                <w:color w:val="auto"/>
              </w:rPr>
              <w:t>(1,774)</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1600" w:type="dxa"/>
            <w:vAlign w:val="bottom"/>
            <w:shd w:val="clear" w:color="auto" w:fill="CCEEFF"/>
          </w:tcPr>
          <w:p>
            <w:pPr>
              <w:ind w:left="660"/>
              <w:spacing w:after="0" w:line="106" w:lineRule="exact"/>
              <w:rPr>
                <w:sz w:val="20"/>
                <w:szCs w:val="20"/>
                <w:color w:val="auto"/>
              </w:rPr>
            </w:pPr>
            <w:r>
              <w:rPr>
                <w:rFonts w:ascii="Arial" w:cs="Arial" w:eastAsia="Arial" w:hAnsi="Arial"/>
                <w:sz w:val="12"/>
                <w:szCs w:val="12"/>
                <w:b w:val="1"/>
                <w:bCs w:val="1"/>
                <w:color w:val="auto"/>
              </w:rPr>
              <w:t>derivatives</w:t>
            </w: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06" w:lineRule="exact"/>
              <w:rPr>
                <w:sz w:val="20"/>
                <w:szCs w:val="20"/>
                <w:color w:val="auto"/>
              </w:rPr>
            </w:pPr>
            <w:r>
              <w:rPr>
                <w:rFonts w:ascii="Arial" w:cs="Arial" w:eastAsia="Arial" w:hAnsi="Arial"/>
                <w:sz w:val="12"/>
                <w:szCs w:val="12"/>
                <w:b w:val="1"/>
                <w:bCs w:val="1"/>
                <w:color w:val="auto"/>
              </w:rPr>
              <w:t>(1,774)</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06" w:lineRule="exact"/>
              <w:rPr>
                <w:sz w:val="20"/>
                <w:szCs w:val="20"/>
                <w:color w:val="auto"/>
              </w:rPr>
            </w:pPr>
            <w:r>
              <w:rPr>
                <w:rFonts w:ascii="Arial" w:cs="Arial" w:eastAsia="Arial" w:hAnsi="Arial"/>
                <w:sz w:val="12"/>
                <w:szCs w:val="12"/>
                <w:b w:val="1"/>
                <w:bCs w:val="1"/>
                <w:color w:val="auto"/>
              </w:rPr>
              <w:t>(1,774)</w:t>
            </w:r>
          </w:p>
        </w:tc>
        <w:tc>
          <w:tcPr>
            <w:tcW w:w="0" w:type="dxa"/>
            <w:vAlign w:val="bottom"/>
          </w:tcPr>
          <w:p>
            <w:pPr>
              <w:spacing w:after="0"/>
              <w:rPr>
                <w:sz w:val="1"/>
                <w:szCs w:val="1"/>
                <w:color w:val="auto"/>
              </w:rPr>
            </w:pPr>
          </w:p>
        </w:tc>
      </w:tr>
      <w:tr>
        <w:trPr>
          <w:trHeight w:val="135"/>
        </w:trPr>
        <w:tc>
          <w:tcPr>
            <w:tcW w:w="1600" w:type="dxa"/>
            <w:vAlign w:val="bottom"/>
            <w:tcBorders>
              <w:top w:val="single" w:sz="8" w:color="CCEEFF"/>
              <w:bottom w:val="single" w:sz="8" w:color="CCEEFF"/>
            </w:tcBorders>
          </w:tcPr>
          <w:p>
            <w:pPr>
              <w:spacing w:after="0" w:line="129" w:lineRule="exact"/>
              <w:rPr>
                <w:sz w:val="20"/>
                <w:szCs w:val="20"/>
                <w:color w:val="auto"/>
              </w:rPr>
            </w:pPr>
            <w:r>
              <w:rPr>
                <w:rFonts w:ascii="Arial" w:cs="Arial" w:eastAsia="Arial" w:hAnsi="Arial"/>
                <w:sz w:val="13"/>
                <w:szCs w:val="13"/>
                <w:b w:val="1"/>
                <w:bCs w:val="1"/>
                <w:color w:val="auto"/>
              </w:rPr>
              <w:t>Comprehensive income</w:t>
            </w:r>
          </w:p>
        </w:tc>
        <w:tc>
          <w:tcPr>
            <w:tcW w:w="540" w:type="dxa"/>
            <w:vAlign w:val="bottom"/>
            <w:tcBorders>
              <w:top w:val="single" w:sz="8" w:color="CCEEFF"/>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480" w:type="dxa"/>
            <w:vAlign w:val="bottom"/>
            <w:tcBorders>
              <w:top w:val="single" w:sz="8" w:color="CCEEFF"/>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62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420" w:type="dxa"/>
            <w:vAlign w:val="bottom"/>
            <w:tcBorders>
              <w:top w:val="single" w:sz="8" w:color="CCEEFF"/>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66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660" w:type="dxa"/>
            <w:vAlign w:val="bottom"/>
            <w:tcBorders>
              <w:top w:val="single" w:sz="8" w:color="CCEEFF"/>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540" w:type="dxa"/>
            <w:vAlign w:val="bottom"/>
            <w:tcBorders>
              <w:top w:val="single" w:sz="8" w:color="CCEEFF"/>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58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580" w:type="dxa"/>
            <w:vAlign w:val="bottom"/>
            <w:tcBorders>
              <w:top w:val="single" w:sz="8" w:color="CCEEFF"/>
              <w:bottom w:val="single" w:sz="8" w:color="CCEEFF"/>
            </w:tcBorders>
            <w:gridSpan w:val="2"/>
          </w:tcPr>
          <w:p>
            <w:pPr>
              <w:spacing w:after="0"/>
              <w:rPr>
                <w:sz w:val="11"/>
                <w:szCs w:val="11"/>
                <w:color w:val="auto"/>
              </w:rPr>
            </w:pPr>
          </w:p>
        </w:tc>
        <w:tc>
          <w:tcPr>
            <w:tcW w:w="160" w:type="dxa"/>
            <w:vAlign w:val="bottom"/>
            <w:tcBorders>
              <w:top w:val="single" w:sz="8" w:color="auto"/>
              <w:bottom w:val="single" w:sz="8" w:color="auto"/>
            </w:tcBorders>
          </w:tcPr>
          <w:p>
            <w:pPr>
              <w:jc w:val="right"/>
              <w:ind w:right="17"/>
              <w:spacing w:after="0" w:line="115" w:lineRule="exact"/>
              <w:rPr>
                <w:sz w:val="20"/>
                <w:szCs w:val="20"/>
                <w:color w:val="auto"/>
              </w:rPr>
            </w:pPr>
            <w:r>
              <w:rPr>
                <w:rFonts w:ascii="Arial" w:cs="Arial" w:eastAsia="Arial" w:hAnsi="Arial"/>
                <w:sz w:val="13"/>
                <w:szCs w:val="13"/>
                <w:b w:val="1"/>
                <w:bCs w:val="1"/>
                <w:color w:val="auto"/>
                <w:w w:val="82"/>
              </w:rPr>
              <w:t>$</w:t>
            </w:r>
          </w:p>
        </w:tc>
        <w:tc>
          <w:tcPr>
            <w:tcW w:w="6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3"/>
                <w:szCs w:val="13"/>
                <w:b w:val="1"/>
                <w:bCs w:val="1"/>
                <w:color w:val="auto"/>
              </w:rPr>
              <w:t>84,037</w:t>
            </w:r>
          </w:p>
        </w:tc>
        <w:tc>
          <w:tcPr>
            <w:tcW w:w="180" w:type="dxa"/>
            <w:vAlign w:val="bottom"/>
            <w:tcBorders>
              <w:top w:val="single" w:sz="8" w:color="CCEEFF"/>
              <w:bottom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500" w:type="dxa"/>
            <w:vAlign w:val="bottom"/>
            <w:tcBorders>
              <w:top w:val="single" w:sz="8" w:color="CCEEFF"/>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60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1600" w:type="dxa"/>
            <w:vAlign w:val="bottom"/>
            <w:shd w:val="clear" w:color="auto" w:fill="CCEEFF"/>
          </w:tcPr>
          <w:p>
            <w:pPr>
              <w:ind w:left="440"/>
              <w:spacing w:after="0" w:line="98" w:lineRule="exact"/>
              <w:rPr>
                <w:sz w:val="20"/>
                <w:szCs w:val="20"/>
                <w:color w:val="auto"/>
              </w:rPr>
            </w:pPr>
            <w:r>
              <w:rPr>
                <w:rFonts w:ascii="Arial" w:cs="Arial" w:eastAsia="Arial" w:hAnsi="Arial"/>
                <w:sz w:val="10"/>
                <w:szCs w:val="10"/>
                <w:b w:val="1"/>
                <w:bCs w:val="1"/>
                <w:color w:val="auto"/>
              </w:rPr>
              <w:t>BALANCE AS OF</w:t>
            </w:r>
          </w:p>
        </w:tc>
        <w:tc>
          <w:tcPr>
            <w:tcW w:w="5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600" w:type="dxa"/>
            <w:vAlign w:val="bottom"/>
            <w:shd w:val="clear" w:color="auto" w:fill="CCEEFF"/>
          </w:tcPr>
          <w:p>
            <w:pPr>
              <w:ind w:left="660"/>
              <w:spacing w:after="0" w:line="135" w:lineRule="exact"/>
              <w:rPr>
                <w:sz w:val="20"/>
                <w:szCs w:val="20"/>
                <w:color w:val="auto"/>
              </w:rPr>
            </w:pPr>
            <w:r>
              <w:rPr>
                <w:rFonts w:ascii="Arial" w:cs="Arial" w:eastAsia="Arial" w:hAnsi="Arial"/>
                <w:sz w:val="13"/>
                <w:szCs w:val="13"/>
                <w:b w:val="1"/>
                <w:bCs w:val="1"/>
                <w:color w:val="auto"/>
              </w:rPr>
              <w:t>DECEMBER</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108,010</w:t>
            </w:r>
          </w:p>
        </w:tc>
        <w:tc>
          <w:tcPr>
            <w:tcW w:w="160" w:type="dxa"/>
            <w:vAlign w:val="bottom"/>
            <w:shd w:val="clear" w:color="auto" w:fill="CCEEFF"/>
          </w:tcPr>
          <w:p>
            <w:pPr>
              <w:spacing w:after="0"/>
              <w:rPr>
                <w:sz w:val="11"/>
                <w:szCs w:val="11"/>
                <w:color w:val="auto"/>
              </w:rPr>
            </w:pPr>
          </w:p>
        </w:tc>
        <w:tc>
          <w:tcPr>
            <w:tcW w:w="60" w:type="dxa"/>
            <w:vAlign w:val="bottom"/>
            <w:vMerge w:val="restart"/>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w w:val="97"/>
              </w:rPr>
              <w:t>430,996</w:t>
            </w:r>
          </w:p>
        </w:tc>
        <w:tc>
          <w:tcPr>
            <w:tcW w:w="16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w w:val="87"/>
              </w:rPr>
              <w:t>$ 1,393,095</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80" w:type="dxa"/>
            <w:vAlign w:val="bottom"/>
            <w:shd w:val="clear" w:color="auto" w:fill="CCEEFF"/>
          </w:tcPr>
          <w:p>
            <w:pPr>
              <w:spacing w:after="0"/>
              <w:rPr>
                <w:sz w:val="11"/>
                <w:szCs w:val="11"/>
                <w:color w:val="auto"/>
              </w:rPr>
            </w:pPr>
          </w:p>
        </w:tc>
        <w:tc>
          <w:tcPr>
            <w:tcW w:w="80" w:type="dxa"/>
            <w:vAlign w:val="bottom"/>
            <w:vMerge w:val="restart"/>
            <w:shd w:val="clear" w:color="auto" w:fill="CCEEFF"/>
          </w:tcPr>
          <w:p>
            <w:pPr>
              <w:spacing w:after="0"/>
              <w:rPr>
                <w:sz w:val="20"/>
                <w:szCs w:val="20"/>
                <w:color w:val="auto"/>
              </w:rPr>
            </w:pPr>
            <w:r>
              <w:rPr>
                <w:rFonts w:ascii="Arial" w:cs="Arial" w:eastAsia="Arial" w:hAnsi="Arial"/>
                <w:sz w:val="13"/>
                <w:szCs w:val="13"/>
                <w:b w:val="1"/>
                <w:bCs w:val="1"/>
                <w:color w:val="auto"/>
                <w:w w:val="82"/>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124,762</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spacing w:after="0"/>
              <w:rPr>
                <w:sz w:val="20"/>
                <w:szCs w:val="20"/>
                <w:color w:val="auto"/>
              </w:rPr>
            </w:pPr>
            <w:r>
              <w:rPr>
                <w:rFonts w:ascii="Arial" w:cs="Arial" w:eastAsia="Arial" w:hAnsi="Arial"/>
                <w:sz w:val="13"/>
                <w:szCs w:val="13"/>
                <w:b w:val="1"/>
                <w:bCs w:val="1"/>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(262)</w:t>
            </w:r>
          </w:p>
        </w:tc>
        <w:tc>
          <w:tcPr>
            <w:tcW w:w="160" w:type="dxa"/>
            <w:vAlign w:val="bottom"/>
            <w:shd w:val="clear" w:color="auto" w:fill="CCEEFF"/>
          </w:tcPr>
          <w:p>
            <w:pPr>
              <w:spacing w:after="0"/>
              <w:rPr>
                <w:sz w:val="11"/>
                <w:szCs w:val="11"/>
                <w:color w:val="auto"/>
              </w:rPr>
            </w:pPr>
          </w:p>
        </w:tc>
        <w:tc>
          <w:tcPr>
            <w:tcW w:w="80" w:type="dxa"/>
            <w:vAlign w:val="bottom"/>
            <w:vMerge w:val="restart"/>
            <w:shd w:val="clear" w:color="auto" w:fill="CCEEFF"/>
          </w:tcPr>
          <w:p>
            <w:pPr>
              <w:spacing w:after="0"/>
              <w:rPr>
                <w:sz w:val="20"/>
                <w:szCs w:val="20"/>
                <w:color w:val="auto"/>
              </w:rPr>
            </w:pPr>
            <w:r>
              <w:rPr>
                <w:rFonts w:ascii="Arial" w:cs="Arial" w:eastAsia="Arial" w:hAnsi="Arial"/>
                <w:sz w:val="13"/>
                <w:szCs w:val="13"/>
                <w:b w:val="1"/>
                <w:bCs w:val="1"/>
                <w:color w:val="auto"/>
                <w:w w:val="82"/>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(16,247</w:t>
            </w:r>
          </w:p>
        </w:tc>
        <w:tc>
          <w:tcPr>
            <w:tcW w:w="160" w:type="dxa"/>
            <w:vAlign w:val="bottom"/>
            <w:vMerge w:val="restart"/>
            <w:shd w:val="clear" w:color="auto" w:fill="CCEEFF"/>
          </w:tcPr>
          <w:p>
            <w:pPr>
              <w:jc w:val="right"/>
              <w:ind w:right="78"/>
              <w:spacing w:after="0"/>
              <w:rPr>
                <w:sz w:val="20"/>
                <w:szCs w:val="20"/>
                <w:color w:val="auto"/>
              </w:rPr>
            </w:pPr>
            <w:r>
              <w:rPr>
                <w:rFonts w:ascii="Arial" w:cs="Arial" w:eastAsia="Arial" w:hAnsi="Arial"/>
                <w:sz w:val="8"/>
                <w:szCs w:val="8"/>
                <w:b w:val="1"/>
                <w:bCs w:val="1"/>
                <w:color w:val="auto"/>
                <w:w w:val="73"/>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(465,460</w:t>
            </w:r>
          </w:p>
        </w:tc>
        <w:tc>
          <w:tcPr>
            <w:tcW w:w="100" w:type="dxa"/>
            <w:vAlign w:val="bottom"/>
            <w:vMerge w:val="restart"/>
            <w:shd w:val="clear" w:color="auto" w:fill="CCEEFF"/>
          </w:tcPr>
          <w:p>
            <w:pPr>
              <w:jc w:val="right"/>
              <w:ind w:right="18"/>
              <w:spacing w:after="0"/>
              <w:rPr>
                <w:sz w:val="20"/>
                <w:szCs w:val="20"/>
                <w:color w:val="auto"/>
              </w:rPr>
            </w:pPr>
            <w:r>
              <w:rPr>
                <w:rFonts w:ascii="Arial" w:cs="Arial" w:eastAsia="Arial" w:hAnsi="Arial"/>
                <w:sz w:val="8"/>
                <w:szCs w:val="8"/>
                <w:b w:val="1"/>
                <w:bCs w:val="1"/>
                <w:color w:val="auto"/>
                <w:w w:val="73"/>
              </w:rPr>
              <w:t>)</w:t>
            </w:r>
          </w:p>
        </w:tc>
        <w:tc>
          <w:tcPr>
            <w:tcW w:w="6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(9,072</w:t>
            </w:r>
          </w:p>
        </w:tc>
        <w:tc>
          <w:tcPr>
            <w:tcW w:w="160" w:type="dxa"/>
            <w:vAlign w:val="bottom"/>
            <w:vMerge w:val="restart"/>
            <w:shd w:val="clear" w:color="auto" w:fill="CCEEFF"/>
          </w:tcPr>
          <w:p>
            <w:pPr>
              <w:jc w:val="right"/>
              <w:ind w:right="78"/>
              <w:spacing w:after="0"/>
              <w:rPr>
                <w:sz w:val="20"/>
                <w:szCs w:val="20"/>
                <w:color w:val="auto"/>
              </w:rPr>
            </w:pPr>
            <w:r>
              <w:rPr>
                <w:rFonts w:ascii="Arial" w:cs="Arial" w:eastAsia="Arial" w:hAnsi="Arial"/>
                <w:sz w:val="8"/>
                <w:szCs w:val="8"/>
                <w:b w:val="1"/>
                <w:bCs w:val="1"/>
                <w:color w:val="auto"/>
                <w:w w:val="73"/>
              </w:rPr>
              <w:t>)</w:t>
            </w: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(2,910</w:t>
            </w:r>
          </w:p>
        </w:tc>
        <w:tc>
          <w:tcPr>
            <w:tcW w:w="180" w:type="dxa"/>
            <w:vAlign w:val="bottom"/>
            <w:vMerge w:val="restart"/>
            <w:shd w:val="clear" w:color="auto" w:fill="CCEEFF"/>
          </w:tcPr>
          <w:p>
            <w:pPr>
              <w:jc w:val="right"/>
              <w:ind w:right="98"/>
              <w:spacing w:after="0"/>
              <w:rPr>
                <w:sz w:val="20"/>
                <w:szCs w:val="20"/>
                <w:color w:val="auto"/>
              </w:rPr>
            </w:pPr>
            <w:r>
              <w:rPr>
                <w:rFonts w:ascii="Arial" w:cs="Arial" w:eastAsia="Arial" w:hAnsi="Arial"/>
                <w:sz w:val="8"/>
                <w:szCs w:val="8"/>
                <w:b w:val="1"/>
                <w:bCs w:val="1"/>
                <w:color w:val="auto"/>
                <w:w w:val="73"/>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w w:val="84"/>
              </w:rPr>
              <w:t>$ 1,454,902</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600" w:type="dxa"/>
            <w:vAlign w:val="bottom"/>
            <w:tcBorders>
              <w:bottom w:val="single" w:sz="8" w:color="CCEEFF"/>
            </w:tcBorders>
            <w:shd w:val="clear" w:color="auto" w:fill="CCEEFF"/>
          </w:tcPr>
          <w:p>
            <w:pPr>
              <w:ind w:left="660"/>
              <w:spacing w:after="0" w:line="106" w:lineRule="exact"/>
              <w:rPr>
                <w:sz w:val="20"/>
                <w:szCs w:val="20"/>
                <w:color w:val="auto"/>
              </w:rPr>
            </w:pPr>
            <w:r>
              <w:rPr>
                <w:rFonts w:ascii="Arial" w:cs="Arial" w:eastAsia="Arial" w:hAnsi="Arial"/>
                <w:sz w:val="12"/>
                <w:szCs w:val="12"/>
                <w:b w:val="1"/>
                <w:bCs w:val="1"/>
                <w:color w:val="auto"/>
              </w:rPr>
              <w:t>31, 2020</w:t>
            </w:r>
          </w:p>
        </w:tc>
        <w:tc>
          <w:tcPr>
            <w:tcW w:w="540" w:type="dxa"/>
            <w:vAlign w:val="bottom"/>
            <w:tcBorders>
              <w:bottom w:val="single" w:sz="8" w:color="auto"/>
            </w:tcBorders>
            <w:vMerge w:val="continue"/>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auto"/>
            </w:tcBorders>
            <w:vMerge w:val="continue"/>
            <w:shd w:val="clear" w:color="auto" w:fill="CCEEFF"/>
          </w:tcPr>
          <w:p>
            <w:pPr>
              <w:spacing w:after="0"/>
              <w:rPr>
                <w:sz w:val="13"/>
                <w:szCs w:val="13"/>
                <w:color w:val="auto"/>
              </w:rPr>
            </w:pPr>
          </w:p>
        </w:tc>
        <w:tc>
          <w:tcPr>
            <w:tcW w:w="480" w:type="dxa"/>
            <w:vAlign w:val="bottom"/>
            <w:tcBorders>
              <w:bottom w:val="single" w:sz="8" w:color="auto"/>
            </w:tcBorders>
            <w:vMerge w:val="continue"/>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vMerge w:val="continue"/>
            <w:shd w:val="clear" w:color="auto" w:fill="CCEEFF"/>
          </w:tcPr>
          <w:p>
            <w:pPr>
              <w:spacing w:after="0"/>
              <w:rPr>
                <w:sz w:val="13"/>
                <w:szCs w:val="13"/>
                <w:color w:val="auto"/>
              </w:rPr>
            </w:pPr>
          </w:p>
        </w:tc>
        <w:tc>
          <w:tcPr>
            <w:tcW w:w="420" w:type="dxa"/>
            <w:vAlign w:val="bottom"/>
            <w:tcBorders>
              <w:bottom w:val="single" w:sz="8" w:color="auto"/>
            </w:tcBorders>
            <w:vMerge w:val="continue"/>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vMerge w:val="continue"/>
            <w:shd w:val="clear" w:color="auto" w:fill="CCEEFF"/>
          </w:tcPr>
          <w:p>
            <w:pPr>
              <w:spacing w:after="0"/>
              <w:rPr>
                <w:sz w:val="13"/>
                <w:szCs w:val="13"/>
                <w:color w:val="auto"/>
              </w:rPr>
            </w:pPr>
          </w:p>
        </w:tc>
        <w:tc>
          <w:tcPr>
            <w:tcW w:w="660" w:type="dxa"/>
            <w:vAlign w:val="bottom"/>
            <w:tcBorders>
              <w:bottom w:val="single" w:sz="8" w:color="auto"/>
            </w:tcBorders>
            <w:vMerge w:val="continue"/>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vMerge w:val="continue"/>
            <w:shd w:val="clear" w:color="auto" w:fill="CCEEFF"/>
          </w:tcPr>
          <w:p>
            <w:pPr>
              <w:spacing w:after="0"/>
              <w:rPr>
                <w:sz w:val="13"/>
                <w:szCs w:val="13"/>
                <w:color w:val="auto"/>
              </w:rPr>
            </w:pPr>
          </w:p>
        </w:tc>
        <w:tc>
          <w:tcPr>
            <w:tcW w:w="660" w:type="dxa"/>
            <w:vAlign w:val="bottom"/>
            <w:tcBorders>
              <w:bottom w:val="single" w:sz="8" w:color="auto"/>
            </w:tcBorders>
            <w:vMerge w:val="continue"/>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vMerge w:val="continue"/>
            <w:shd w:val="clear" w:color="auto" w:fill="CCEEFF"/>
          </w:tcPr>
          <w:p>
            <w:pPr>
              <w:spacing w:after="0"/>
              <w:rPr>
                <w:sz w:val="13"/>
                <w:szCs w:val="13"/>
                <w:color w:val="auto"/>
              </w:rPr>
            </w:pPr>
          </w:p>
        </w:tc>
        <w:tc>
          <w:tcPr>
            <w:tcW w:w="540" w:type="dxa"/>
            <w:vAlign w:val="bottom"/>
            <w:tcBorders>
              <w:bottom w:val="single" w:sz="8" w:color="auto"/>
            </w:tcBorders>
            <w:vMerge w:val="continue"/>
            <w:shd w:val="clear" w:color="auto" w:fill="CCEEFF"/>
          </w:tcPr>
          <w:p>
            <w:pPr>
              <w:spacing w:after="0"/>
              <w:rPr>
                <w:sz w:val="13"/>
                <w:szCs w:val="13"/>
                <w:color w:val="auto"/>
              </w:rPr>
            </w:pPr>
          </w:p>
        </w:tc>
        <w:tc>
          <w:tcPr>
            <w:tcW w:w="160" w:type="dxa"/>
            <w:vAlign w:val="bottom"/>
            <w:tcBorders>
              <w:bottom w:val="single" w:sz="8" w:color="CCEEFF"/>
            </w:tcBorders>
            <w:vMerge w:val="continue"/>
            <w:shd w:val="clear" w:color="auto" w:fill="CCEEFF"/>
          </w:tcPr>
          <w:p>
            <w:pPr>
              <w:spacing w:after="0"/>
              <w:rPr>
                <w:sz w:val="13"/>
                <w:szCs w:val="13"/>
                <w:color w:val="auto"/>
              </w:rPr>
            </w:pPr>
          </w:p>
        </w:tc>
        <w:tc>
          <w:tcPr>
            <w:tcW w:w="140" w:type="dxa"/>
            <w:vAlign w:val="bottom"/>
            <w:tcBorders>
              <w:bottom w:val="single" w:sz="8" w:color="auto"/>
            </w:tcBorders>
            <w:vMerge w:val="continue"/>
            <w:shd w:val="clear" w:color="auto" w:fill="CCEEFF"/>
          </w:tcPr>
          <w:p>
            <w:pPr>
              <w:spacing w:after="0"/>
              <w:rPr>
                <w:sz w:val="13"/>
                <w:szCs w:val="13"/>
                <w:color w:val="auto"/>
              </w:rPr>
            </w:pPr>
          </w:p>
        </w:tc>
        <w:tc>
          <w:tcPr>
            <w:tcW w:w="58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tcBorders>
            <w:vMerge w:val="continue"/>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vMerge w:val="continue"/>
            <w:shd w:val="clear" w:color="auto" w:fill="CCEEFF"/>
          </w:tcPr>
          <w:p>
            <w:pPr>
              <w:spacing w:after="0"/>
              <w:rPr>
                <w:sz w:val="13"/>
                <w:szCs w:val="13"/>
                <w:color w:val="auto"/>
              </w:rPr>
            </w:pPr>
          </w:p>
        </w:tc>
        <w:tc>
          <w:tcPr>
            <w:tcW w:w="420" w:type="dxa"/>
            <w:vAlign w:val="bottom"/>
            <w:tcBorders>
              <w:bottom w:val="single" w:sz="8" w:color="auto"/>
            </w:tcBorders>
            <w:vMerge w:val="continue"/>
            <w:shd w:val="clear" w:color="auto" w:fill="CCEEFF"/>
          </w:tcPr>
          <w:p>
            <w:pPr>
              <w:spacing w:after="0"/>
              <w:rPr>
                <w:sz w:val="13"/>
                <w:szCs w:val="13"/>
                <w:color w:val="auto"/>
              </w:rPr>
            </w:pPr>
          </w:p>
        </w:tc>
        <w:tc>
          <w:tcPr>
            <w:tcW w:w="160" w:type="dxa"/>
            <w:vAlign w:val="bottom"/>
            <w:tcBorders>
              <w:bottom w:val="single" w:sz="8" w:color="CCEEFF"/>
            </w:tcBorders>
            <w:vMerge w:val="continue"/>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vMerge w:val="continue"/>
            <w:shd w:val="clear" w:color="auto" w:fill="CCEEFF"/>
          </w:tcPr>
          <w:p>
            <w:pPr>
              <w:spacing w:after="0"/>
              <w:rPr>
                <w:sz w:val="13"/>
                <w:szCs w:val="13"/>
                <w:color w:val="auto"/>
              </w:rPr>
            </w:pPr>
          </w:p>
        </w:tc>
        <w:tc>
          <w:tcPr>
            <w:tcW w:w="500" w:type="dxa"/>
            <w:vAlign w:val="bottom"/>
            <w:tcBorders>
              <w:bottom w:val="single" w:sz="8" w:color="auto"/>
            </w:tcBorders>
            <w:vMerge w:val="continue"/>
            <w:shd w:val="clear" w:color="auto" w:fill="CCEEFF"/>
          </w:tcPr>
          <w:p>
            <w:pPr>
              <w:spacing w:after="0"/>
              <w:rPr>
                <w:sz w:val="13"/>
                <w:szCs w:val="13"/>
                <w:color w:val="auto"/>
              </w:rPr>
            </w:pPr>
          </w:p>
        </w:tc>
        <w:tc>
          <w:tcPr>
            <w:tcW w:w="180" w:type="dxa"/>
            <w:vAlign w:val="bottom"/>
            <w:tcBorders>
              <w:bottom w:val="single" w:sz="8" w:color="CCEEFF"/>
            </w:tcBorders>
            <w:vMerge w:val="continue"/>
            <w:shd w:val="clear" w:color="auto" w:fill="CCEEFF"/>
          </w:tcPr>
          <w:p>
            <w:pPr>
              <w:spacing w:after="0"/>
              <w:rPr>
                <w:sz w:val="13"/>
                <w:szCs w:val="13"/>
                <w:color w:val="auto"/>
              </w:rPr>
            </w:pPr>
          </w:p>
        </w:tc>
        <w:tc>
          <w:tcPr>
            <w:tcW w:w="60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16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600" w:type="dxa"/>
            <w:vAlign w:val="bottom"/>
            <w:shd w:val="clear" w:color="auto" w:fill="CCEEFF"/>
          </w:tcPr>
          <w:p>
            <w:pPr>
              <w:spacing w:after="0" w:line="117" w:lineRule="exact"/>
              <w:rPr>
                <w:sz w:val="20"/>
                <w:szCs w:val="20"/>
                <w:color w:val="auto"/>
              </w:rPr>
            </w:pPr>
            <w:r>
              <w:rPr>
                <w:rFonts w:ascii="Arial" w:cs="Arial" w:eastAsia="Arial" w:hAnsi="Arial"/>
                <w:sz w:val="13"/>
                <w:szCs w:val="13"/>
                <w:b w:val="1"/>
                <w:bCs w:val="1"/>
                <w:color w:val="auto"/>
              </w:rPr>
              <w:t>OUTSTANDING SHARES,</w:t>
            </w: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600" w:type="dxa"/>
            <w:vAlign w:val="bottom"/>
            <w:shd w:val="clear" w:color="auto" w:fill="CCEEFF"/>
          </w:tcPr>
          <w:p>
            <w:pPr>
              <w:ind w:left="220"/>
              <w:spacing w:after="0" w:line="135" w:lineRule="exact"/>
              <w:rPr>
                <w:sz w:val="20"/>
                <w:szCs w:val="20"/>
                <w:color w:val="auto"/>
              </w:rPr>
            </w:pPr>
            <w:r>
              <w:rPr>
                <w:rFonts w:ascii="Arial" w:cs="Arial" w:eastAsia="Arial" w:hAnsi="Arial"/>
                <w:sz w:val="13"/>
                <w:szCs w:val="13"/>
                <w:b w:val="1"/>
                <w:bCs w:val="1"/>
                <w:color w:val="auto"/>
              </w:rPr>
              <w:t>NET OF TREASURY</w:t>
            </w: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00" w:type="dxa"/>
            <w:vAlign w:val="bottom"/>
            <w:shd w:val="clear" w:color="auto" w:fill="CCEEFF"/>
          </w:tcPr>
          <w:p>
            <w:pPr>
              <w:ind w:left="220"/>
              <w:spacing w:after="0" w:line="135" w:lineRule="exact"/>
              <w:rPr>
                <w:sz w:val="20"/>
                <w:szCs w:val="20"/>
                <w:color w:val="auto"/>
              </w:rPr>
            </w:pPr>
            <w:r>
              <w:rPr>
                <w:rFonts w:ascii="Arial" w:cs="Arial" w:eastAsia="Arial" w:hAnsi="Arial"/>
                <w:sz w:val="13"/>
                <w:szCs w:val="13"/>
                <w:b w:val="1"/>
                <w:bCs w:val="1"/>
                <w:color w:val="auto"/>
              </w:rPr>
              <w:t>STOCK AS OF</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107,923</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600" w:type="dxa"/>
            <w:vAlign w:val="bottom"/>
            <w:tcBorders>
              <w:bottom w:val="single" w:sz="8" w:color="CCEEFF"/>
            </w:tcBorders>
            <w:shd w:val="clear" w:color="auto" w:fill="CCEEFF"/>
          </w:tcPr>
          <w:p>
            <w:pPr>
              <w:ind w:left="220"/>
              <w:spacing w:after="0" w:line="106" w:lineRule="exact"/>
              <w:rPr>
                <w:sz w:val="20"/>
                <w:szCs w:val="20"/>
                <w:color w:val="auto"/>
              </w:rPr>
            </w:pPr>
            <w:r>
              <w:rPr>
                <w:rFonts w:ascii="Arial" w:cs="Arial" w:eastAsia="Arial" w:hAnsi="Arial"/>
                <w:sz w:val="12"/>
                <w:szCs w:val="12"/>
                <w:b w:val="1"/>
                <w:bCs w:val="1"/>
                <w:color w:val="auto"/>
              </w:rPr>
              <w:t>DECEMBER 31, 2020</w:t>
            </w:r>
          </w:p>
        </w:tc>
        <w:tc>
          <w:tcPr>
            <w:tcW w:w="540" w:type="dxa"/>
            <w:vAlign w:val="bottom"/>
            <w:tcBorders>
              <w:bottom w:val="single" w:sz="8" w:color="auto"/>
            </w:tcBorders>
            <w:vMerge w:val="continue"/>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Year ended</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6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8"/>
                <w:szCs w:val="18"/>
                <w:b w:val="1"/>
                <w:bCs w:val="1"/>
                <w:color w:val="auto"/>
                <w:w w:val="88"/>
              </w:rPr>
              <w:t>December 31,</w:t>
            </w: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6760" w:type="dxa"/>
            <w:vAlign w:val="bottom"/>
          </w:tcPr>
          <w:p>
            <w:pPr>
              <w:spacing w:after="0"/>
              <w:rPr>
                <w:sz w:val="20"/>
                <w:szCs w:val="20"/>
                <w:color w:val="auto"/>
              </w:rPr>
            </w:pPr>
            <w:r>
              <w:rPr>
                <w:rFonts w:ascii="Arial" w:cs="Arial" w:eastAsia="Arial" w:hAnsi="Arial"/>
                <w:sz w:val="18"/>
                <w:szCs w:val="18"/>
                <w:b w:val="1"/>
                <w:bCs w:val="1"/>
                <w:color w:val="auto"/>
              </w:rPr>
              <w:t>CASH FLOWS - OPERATING ACTIVITIES</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6760" w:type="dxa"/>
            <w:vAlign w:val="bottom"/>
          </w:tcPr>
          <w:p>
            <w:pPr>
              <w:spacing w:after="0"/>
              <w:rPr>
                <w:sz w:val="18"/>
                <w:szCs w:val="18"/>
                <w:color w:val="auto"/>
              </w:rPr>
            </w:pPr>
          </w:p>
        </w:tc>
        <w:tc>
          <w:tcPr>
            <w:tcW w:w="500" w:type="dxa"/>
            <w:vAlign w:val="bottom"/>
            <w:gridSpan w:val="2"/>
          </w:tcPr>
          <w:p>
            <w:pPr>
              <w:spacing w:after="0"/>
              <w:rPr>
                <w:sz w:val="18"/>
                <w:szCs w:val="18"/>
                <w:color w:val="auto"/>
              </w:rPr>
            </w:pPr>
          </w:p>
        </w:tc>
        <w:tc>
          <w:tcPr>
            <w:tcW w:w="12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34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7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Net profit</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83,289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88,073</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133,379</w:t>
            </w:r>
          </w:p>
        </w:tc>
        <w:tc>
          <w:tcPr>
            <w:tcW w:w="2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8"/>
        </w:trPr>
        <w:tc>
          <w:tcPr>
            <w:tcW w:w="6760" w:type="dxa"/>
            <w:vAlign w:val="bottom"/>
            <w:shd w:val="clear" w:color="auto" w:fill="CCEEFF"/>
          </w:tcPr>
          <w:p>
            <w:pPr>
              <w:ind w:left="160"/>
              <w:spacing w:after="0" w:line="198" w:lineRule="exact"/>
              <w:rPr>
                <w:sz w:val="20"/>
                <w:szCs w:val="20"/>
                <w:color w:val="auto"/>
              </w:rPr>
            </w:pPr>
            <w:r>
              <w:rPr>
                <w:rFonts w:ascii="Arial" w:cs="Arial" w:eastAsia="Arial" w:hAnsi="Arial"/>
                <w:sz w:val="18"/>
                <w:szCs w:val="18"/>
                <w:b w:val="1"/>
                <w:bCs w:val="1"/>
                <w:color w:val="auto"/>
                <w:w w:val="92"/>
              </w:rPr>
              <w:t>Adjustments to reconcile net profit for the period to net cash provided by operating</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34"/>
        </w:trPr>
        <w:tc>
          <w:tcPr>
            <w:tcW w:w="676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activities:</w:t>
            </w: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r>
      <w:tr>
        <w:trPr>
          <w:trHeight w:val="216"/>
        </w:trPr>
        <w:tc>
          <w:tcPr>
            <w:tcW w:w="6760" w:type="dxa"/>
            <w:vAlign w:val="bottom"/>
          </w:tcPr>
          <w:p>
            <w:pPr>
              <w:ind w:left="300"/>
              <w:spacing w:after="0"/>
              <w:rPr>
                <w:sz w:val="20"/>
                <w:szCs w:val="20"/>
                <w:color w:val="auto"/>
              </w:rPr>
            </w:pPr>
            <w:r>
              <w:rPr>
                <w:rFonts w:ascii="Arial" w:cs="Arial" w:eastAsia="Arial" w:hAnsi="Arial"/>
                <w:sz w:val="18"/>
                <w:szCs w:val="18"/>
                <w:b w:val="1"/>
                <w:bCs w:val="1"/>
                <w:color w:val="auto"/>
              </w:rPr>
              <w:t>Income and expense items not involving cash flows:</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76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Depreciation and amortization</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240,531</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214,474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214,391</w:t>
            </w:r>
          </w:p>
        </w:tc>
        <w:tc>
          <w:tcPr>
            <w:tcW w:w="20" w:type="dxa"/>
            <w:vAlign w:val="bottom"/>
            <w:shd w:val="clear" w:color="auto" w:fill="CCEEFF"/>
          </w:tcPr>
          <w:p>
            <w:pPr>
              <w:spacing w:after="0"/>
              <w:rPr>
                <w:sz w:val="18"/>
                <w:szCs w:val="18"/>
                <w:color w:val="auto"/>
              </w:rPr>
            </w:pPr>
          </w:p>
        </w:tc>
      </w:tr>
      <w:tr>
        <w:trPr>
          <w:trHeight w:val="216"/>
        </w:trPr>
        <w:tc>
          <w:tcPr>
            <w:tcW w:w="6760" w:type="dxa"/>
            <w:vAlign w:val="bottom"/>
          </w:tcPr>
          <w:p>
            <w:pPr>
              <w:ind w:left="440"/>
              <w:spacing w:after="0"/>
              <w:rPr>
                <w:sz w:val="20"/>
                <w:szCs w:val="20"/>
                <w:color w:val="auto"/>
              </w:rPr>
            </w:pPr>
            <w:r>
              <w:rPr>
                <w:rFonts w:ascii="Arial" w:cs="Arial" w:eastAsia="Arial" w:hAnsi="Arial"/>
                <w:sz w:val="18"/>
                <w:szCs w:val="18"/>
                <w:b w:val="1"/>
                <w:bCs w:val="1"/>
                <w:color w:val="auto"/>
              </w:rPr>
              <w:t>Effect of exchange rate differences on debentures</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6,645</w:t>
            </w: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10,294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(9,791)</w:t>
            </w:r>
          </w:p>
        </w:tc>
        <w:tc>
          <w:tcPr>
            <w:tcW w:w="20" w:type="dxa"/>
            <w:vAlign w:val="bottom"/>
          </w:tcPr>
          <w:p>
            <w:pPr>
              <w:spacing w:after="0"/>
              <w:rPr>
                <w:sz w:val="18"/>
                <w:szCs w:val="18"/>
                <w:color w:val="auto"/>
              </w:rPr>
            </w:pPr>
          </w:p>
        </w:tc>
      </w:tr>
      <w:tr>
        <w:trPr>
          <w:trHeight w:val="216"/>
        </w:trPr>
        <w:tc>
          <w:tcPr>
            <w:tcW w:w="676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Other expense (income), net</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5,215</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(4,293)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2,442</w:t>
            </w:r>
          </w:p>
        </w:tc>
        <w:tc>
          <w:tcPr>
            <w:tcW w:w="20" w:type="dxa"/>
            <w:vAlign w:val="bottom"/>
            <w:shd w:val="clear" w:color="auto" w:fill="CCEEFF"/>
          </w:tcPr>
          <w:p>
            <w:pPr>
              <w:spacing w:after="0"/>
              <w:rPr>
                <w:sz w:val="18"/>
                <w:szCs w:val="18"/>
                <w:color w:val="auto"/>
              </w:rPr>
            </w:pPr>
          </w:p>
        </w:tc>
      </w:tr>
      <w:tr>
        <w:trPr>
          <w:trHeight w:val="216"/>
        </w:trPr>
        <w:tc>
          <w:tcPr>
            <w:tcW w:w="6760" w:type="dxa"/>
            <w:vAlign w:val="bottom"/>
          </w:tcPr>
          <w:p>
            <w:pPr>
              <w:ind w:left="300"/>
              <w:spacing w:after="0"/>
              <w:rPr>
                <w:sz w:val="20"/>
                <w:szCs w:val="20"/>
                <w:color w:val="auto"/>
              </w:rPr>
            </w:pPr>
            <w:r>
              <w:rPr>
                <w:rFonts w:ascii="Arial" w:cs="Arial" w:eastAsia="Arial" w:hAnsi="Arial"/>
                <w:sz w:val="18"/>
                <w:szCs w:val="18"/>
                <w:b w:val="1"/>
                <w:bCs w:val="1"/>
                <w:color w:val="auto"/>
              </w:rPr>
              <w:t>Changes in assets and liabilities:</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76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Trade accounts receivable</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(33,087)</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27,317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(3,096)</w:t>
            </w:r>
          </w:p>
        </w:tc>
        <w:tc>
          <w:tcPr>
            <w:tcW w:w="20" w:type="dxa"/>
            <w:vAlign w:val="bottom"/>
            <w:shd w:val="clear" w:color="auto" w:fill="CCEEFF"/>
          </w:tcPr>
          <w:p>
            <w:pPr>
              <w:spacing w:after="0"/>
              <w:rPr>
                <w:sz w:val="18"/>
                <w:szCs w:val="18"/>
                <w:color w:val="auto"/>
              </w:rPr>
            </w:pPr>
          </w:p>
        </w:tc>
      </w:tr>
      <w:tr>
        <w:trPr>
          <w:trHeight w:val="216"/>
        </w:trPr>
        <w:tc>
          <w:tcPr>
            <w:tcW w:w="6760" w:type="dxa"/>
            <w:vAlign w:val="bottom"/>
          </w:tcPr>
          <w:p>
            <w:pPr>
              <w:ind w:left="440"/>
              <w:spacing w:after="0"/>
              <w:rPr>
                <w:sz w:val="20"/>
                <w:szCs w:val="20"/>
                <w:color w:val="auto"/>
              </w:rPr>
            </w:pPr>
            <w:r>
              <w:rPr>
                <w:rFonts w:ascii="Arial" w:cs="Arial" w:eastAsia="Arial" w:hAnsi="Arial"/>
                <w:sz w:val="18"/>
                <w:szCs w:val="18"/>
                <w:b w:val="1"/>
                <w:bCs w:val="1"/>
                <w:color w:val="auto"/>
              </w:rPr>
              <w:t>Other current assets</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(7,999)</w:t>
            </w:r>
          </w:p>
        </w:tc>
        <w:tc>
          <w:tcPr>
            <w:tcW w:w="12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(4,600)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11,260</w:t>
            </w:r>
          </w:p>
        </w:tc>
        <w:tc>
          <w:tcPr>
            <w:tcW w:w="20" w:type="dxa"/>
            <w:vAlign w:val="bottom"/>
          </w:tcPr>
          <w:p>
            <w:pPr>
              <w:spacing w:after="0"/>
              <w:rPr>
                <w:sz w:val="18"/>
                <w:szCs w:val="18"/>
                <w:color w:val="auto"/>
              </w:rPr>
            </w:pPr>
          </w:p>
        </w:tc>
      </w:tr>
      <w:tr>
        <w:trPr>
          <w:trHeight w:val="216"/>
        </w:trPr>
        <w:tc>
          <w:tcPr>
            <w:tcW w:w="676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Inventories</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(2,891)</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(21,021)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(26,344)</w:t>
            </w:r>
          </w:p>
        </w:tc>
        <w:tc>
          <w:tcPr>
            <w:tcW w:w="20" w:type="dxa"/>
            <w:vAlign w:val="bottom"/>
            <w:shd w:val="clear" w:color="auto" w:fill="CCEEFF"/>
          </w:tcPr>
          <w:p>
            <w:pPr>
              <w:spacing w:after="0"/>
              <w:rPr>
                <w:sz w:val="18"/>
                <w:szCs w:val="18"/>
                <w:color w:val="auto"/>
              </w:rPr>
            </w:pPr>
          </w:p>
        </w:tc>
      </w:tr>
      <w:tr>
        <w:trPr>
          <w:trHeight w:val="216"/>
        </w:trPr>
        <w:tc>
          <w:tcPr>
            <w:tcW w:w="6760" w:type="dxa"/>
            <w:vAlign w:val="bottom"/>
          </w:tcPr>
          <w:p>
            <w:pPr>
              <w:ind w:left="440"/>
              <w:spacing w:after="0"/>
              <w:rPr>
                <w:sz w:val="20"/>
                <w:szCs w:val="20"/>
                <w:color w:val="auto"/>
              </w:rPr>
            </w:pPr>
            <w:r>
              <w:rPr>
                <w:rFonts w:ascii="Arial" w:cs="Arial" w:eastAsia="Arial" w:hAnsi="Arial"/>
                <w:sz w:val="18"/>
                <w:szCs w:val="18"/>
                <w:b w:val="1"/>
                <w:bCs w:val="1"/>
                <w:color w:val="auto"/>
              </w:rPr>
              <w:t>Trade accounts payable</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(18,576)</w:t>
            </w:r>
          </w:p>
        </w:tc>
        <w:tc>
          <w:tcPr>
            <w:tcW w:w="12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(339)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(3,562)</w:t>
            </w:r>
          </w:p>
        </w:tc>
        <w:tc>
          <w:tcPr>
            <w:tcW w:w="20" w:type="dxa"/>
            <w:vAlign w:val="bottom"/>
          </w:tcPr>
          <w:p>
            <w:pPr>
              <w:spacing w:after="0"/>
              <w:rPr>
                <w:sz w:val="18"/>
                <w:szCs w:val="18"/>
                <w:color w:val="auto"/>
              </w:rPr>
            </w:pPr>
          </w:p>
        </w:tc>
      </w:tr>
      <w:tr>
        <w:trPr>
          <w:trHeight w:val="216"/>
        </w:trPr>
        <w:tc>
          <w:tcPr>
            <w:tcW w:w="676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Deferred revenue and customers' advances</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(3,072)</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(10,331)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2,625</w:t>
            </w:r>
          </w:p>
        </w:tc>
        <w:tc>
          <w:tcPr>
            <w:tcW w:w="20" w:type="dxa"/>
            <w:vAlign w:val="bottom"/>
            <w:shd w:val="clear" w:color="auto" w:fill="CCEEFF"/>
          </w:tcPr>
          <w:p>
            <w:pPr>
              <w:spacing w:after="0"/>
              <w:rPr>
                <w:sz w:val="18"/>
                <w:szCs w:val="18"/>
                <w:color w:val="auto"/>
              </w:rPr>
            </w:pPr>
          </w:p>
        </w:tc>
      </w:tr>
      <w:tr>
        <w:trPr>
          <w:trHeight w:val="216"/>
        </w:trPr>
        <w:tc>
          <w:tcPr>
            <w:tcW w:w="6760" w:type="dxa"/>
            <w:vAlign w:val="bottom"/>
          </w:tcPr>
          <w:p>
            <w:pPr>
              <w:ind w:left="440"/>
              <w:spacing w:after="0"/>
              <w:rPr>
                <w:sz w:val="20"/>
                <w:szCs w:val="20"/>
                <w:color w:val="auto"/>
              </w:rPr>
            </w:pPr>
            <w:r>
              <w:rPr>
                <w:rFonts w:ascii="Arial" w:cs="Arial" w:eastAsia="Arial" w:hAnsi="Arial"/>
                <w:sz w:val="18"/>
                <w:szCs w:val="18"/>
                <w:b w:val="1"/>
                <w:bCs w:val="1"/>
                <w:color w:val="auto"/>
              </w:rPr>
              <w:t>Employee related liabilities and other current liabilities</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347</w:t>
            </w:r>
          </w:p>
        </w:tc>
        <w:tc>
          <w:tcPr>
            <w:tcW w:w="12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(9,435)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(867)</w:t>
            </w:r>
          </w:p>
        </w:tc>
        <w:tc>
          <w:tcPr>
            <w:tcW w:w="20" w:type="dxa"/>
            <w:vAlign w:val="bottom"/>
          </w:tcPr>
          <w:p>
            <w:pPr>
              <w:spacing w:after="0"/>
              <w:rPr>
                <w:sz w:val="18"/>
                <w:szCs w:val="18"/>
                <w:color w:val="auto"/>
              </w:rPr>
            </w:pPr>
          </w:p>
        </w:tc>
      </w:tr>
      <w:tr>
        <w:trPr>
          <w:trHeight w:val="216"/>
        </w:trPr>
        <w:tc>
          <w:tcPr>
            <w:tcW w:w="676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Long-term employee related liabilities</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3,936</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(310)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(795)</w:t>
            </w:r>
          </w:p>
        </w:tc>
        <w:tc>
          <w:tcPr>
            <w:tcW w:w="20" w:type="dxa"/>
            <w:vAlign w:val="bottom"/>
            <w:shd w:val="clear" w:color="auto" w:fill="CCEEFF"/>
          </w:tcPr>
          <w:p>
            <w:pPr>
              <w:spacing w:after="0"/>
              <w:rPr>
                <w:sz w:val="18"/>
                <w:szCs w:val="18"/>
                <w:color w:val="auto"/>
              </w:rPr>
            </w:pPr>
          </w:p>
        </w:tc>
      </w:tr>
      <w:tr>
        <w:trPr>
          <w:trHeight w:val="216"/>
        </w:trPr>
        <w:tc>
          <w:tcPr>
            <w:tcW w:w="6760" w:type="dxa"/>
            <w:vAlign w:val="bottom"/>
          </w:tcPr>
          <w:p>
            <w:pPr>
              <w:ind w:left="440"/>
              <w:spacing w:after="0"/>
              <w:rPr>
                <w:sz w:val="20"/>
                <w:szCs w:val="20"/>
                <w:color w:val="auto"/>
              </w:rPr>
            </w:pPr>
            <w:r>
              <w:rPr>
                <w:rFonts w:ascii="Arial" w:cs="Arial" w:eastAsia="Arial" w:hAnsi="Arial"/>
                <w:sz w:val="18"/>
                <w:szCs w:val="18"/>
                <w:b w:val="1"/>
                <w:bCs w:val="1"/>
                <w:color w:val="auto"/>
              </w:rPr>
              <w:t>Deferred tax, net and other long-term liabilities</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2,223</w:t>
            </w: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1,491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(6,745)</w:t>
            </w:r>
          </w:p>
        </w:tc>
        <w:tc>
          <w:tcPr>
            <w:tcW w:w="20" w:type="dxa"/>
            <w:vAlign w:val="bottom"/>
          </w:tcPr>
          <w:p>
            <w:pPr>
              <w:spacing w:after="0"/>
              <w:rPr>
                <w:sz w:val="18"/>
                <w:szCs w:val="18"/>
                <w:color w:val="auto"/>
              </w:rPr>
            </w:pPr>
          </w:p>
        </w:tc>
      </w:tr>
      <w:tr>
        <w:trPr>
          <w:trHeight w:val="27"/>
        </w:trPr>
        <w:tc>
          <w:tcPr>
            <w:tcW w:w="6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6760" w:type="dxa"/>
            <w:vAlign w:val="bottom"/>
            <w:shd w:val="clear" w:color="auto" w:fill="CCEEFF"/>
          </w:tcPr>
          <w:p>
            <w:pPr>
              <w:ind w:left="580"/>
              <w:spacing w:after="0"/>
              <w:rPr>
                <w:sz w:val="20"/>
                <w:szCs w:val="20"/>
                <w:color w:val="auto"/>
              </w:rPr>
            </w:pPr>
            <w:r>
              <w:rPr>
                <w:rFonts w:ascii="Arial" w:cs="Arial" w:eastAsia="Arial" w:hAnsi="Arial"/>
                <w:sz w:val="18"/>
                <w:szCs w:val="18"/>
                <w:b w:val="1"/>
                <w:bCs w:val="1"/>
                <w:color w:val="auto"/>
              </w:rPr>
              <w:t>Net cash provided by operating activities</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276,561</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291,320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312,897</w:t>
            </w:r>
          </w:p>
        </w:tc>
        <w:tc>
          <w:tcPr>
            <w:tcW w:w="20" w:type="dxa"/>
            <w:vAlign w:val="bottom"/>
            <w:shd w:val="clear" w:color="auto" w:fill="CCEEFF"/>
          </w:tcPr>
          <w:p>
            <w:pPr>
              <w:spacing w:after="0"/>
              <w:rPr>
                <w:sz w:val="19"/>
                <w:szCs w:val="19"/>
                <w:color w:val="auto"/>
              </w:rPr>
            </w:pPr>
          </w:p>
        </w:tc>
      </w:tr>
      <w:tr>
        <w:trPr>
          <w:trHeight w:val="216"/>
        </w:trPr>
        <w:tc>
          <w:tcPr>
            <w:tcW w:w="67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 INVESTING ACTIVITIES</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7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Investments in property and equipment</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(313,656)</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(191,396)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(210,192)</w:t>
            </w:r>
          </w:p>
        </w:tc>
        <w:tc>
          <w:tcPr>
            <w:tcW w:w="20" w:type="dxa"/>
            <w:vAlign w:val="bottom"/>
            <w:shd w:val="clear" w:color="auto" w:fill="CCEEFF"/>
          </w:tcPr>
          <w:p>
            <w:pPr>
              <w:spacing w:after="0"/>
              <w:rPr>
                <w:sz w:val="18"/>
                <w:szCs w:val="18"/>
                <w:color w:val="auto"/>
              </w:rPr>
            </w:pPr>
          </w:p>
        </w:tc>
      </w:tr>
      <w:tr>
        <w:trPr>
          <w:trHeight w:val="216"/>
        </w:trPr>
        <w:tc>
          <w:tcPr>
            <w:tcW w:w="6760" w:type="dxa"/>
            <w:vAlign w:val="bottom"/>
          </w:tcPr>
          <w:p>
            <w:pPr>
              <w:ind w:left="160"/>
              <w:spacing w:after="0"/>
              <w:rPr>
                <w:sz w:val="20"/>
                <w:szCs w:val="20"/>
                <w:color w:val="auto"/>
              </w:rPr>
            </w:pPr>
            <w:r>
              <w:rPr>
                <w:rFonts w:ascii="Arial" w:cs="Arial" w:eastAsia="Arial" w:hAnsi="Arial"/>
                <w:sz w:val="18"/>
                <w:szCs w:val="18"/>
                <w:b w:val="1"/>
                <w:bCs w:val="1"/>
                <w:color w:val="auto"/>
              </w:rPr>
              <w:t>Proceeds related to sale and disposal of property and equipment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57,117</w:t>
            </w: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19,230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40,451</w:t>
            </w:r>
          </w:p>
        </w:tc>
        <w:tc>
          <w:tcPr>
            <w:tcW w:w="20" w:type="dxa"/>
            <w:vAlign w:val="bottom"/>
          </w:tcPr>
          <w:p>
            <w:pPr>
              <w:spacing w:after="0"/>
              <w:rPr>
                <w:sz w:val="18"/>
                <w:szCs w:val="18"/>
                <w:color w:val="auto"/>
              </w:rPr>
            </w:pPr>
          </w:p>
        </w:tc>
      </w:tr>
      <w:tr>
        <w:trPr>
          <w:trHeight w:val="216"/>
        </w:trPr>
        <w:tc>
          <w:tcPr>
            <w:tcW w:w="67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Investments in other assets</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(1,450)</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(413)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(14,536)</w:t>
            </w:r>
          </w:p>
        </w:tc>
        <w:tc>
          <w:tcPr>
            <w:tcW w:w="20" w:type="dxa"/>
            <w:vAlign w:val="bottom"/>
            <w:shd w:val="clear" w:color="auto" w:fill="CCEEFF"/>
          </w:tcPr>
          <w:p>
            <w:pPr>
              <w:spacing w:after="0"/>
              <w:rPr>
                <w:sz w:val="18"/>
                <w:szCs w:val="18"/>
                <w:color w:val="auto"/>
              </w:rPr>
            </w:pPr>
          </w:p>
        </w:tc>
      </w:tr>
      <w:tr>
        <w:trPr>
          <w:trHeight w:val="216"/>
        </w:trPr>
        <w:tc>
          <w:tcPr>
            <w:tcW w:w="6760" w:type="dxa"/>
            <w:vAlign w:val="bottom"/>
          </w:tcPr>
          <w:p>
            <w:pPr>
              <w:ind w:left="160"/>
              <w:spacing w:after="0"/>
              <w:rPr>
                <w:sz w:val="20"/>
                <w:szCs w:val="20"/>
                <w:color w:val="auto"/>
              </w:rPr>
            </w:pPr>
            <w:r>
              <w:rPr>
                <w:rFonts w:ascii="Arial" w:cs="Arial" w:eastAsia="Arial" w:hAnsi="Arial"/>
                <w:sz w:val="18"/>
                <w:szCs w:val="18"/>
                <w:b w:val="1"/>
                <w:bCs w:val="1"/>
                <w:color w:val="auto"/>
              </w:rPr>
              <w:t>Deposits and marketable securities, net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(105,620)</w:t>
            </w:r>
          </w:p>
        </w:tc>
        <w:tc>
          <w:tcPr>
            <w:tcW w:w="12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(132,515)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(143,940)</w:t>
            </w:r>
          </w:p>
        </w:tc>
        <w:tc>
          <w:tcPr>
            <w:tcW w:w="20" w:type="dxa"/>
            <w:vAlign w:val="bottom"/>
          </w:tcPr>
          <w:p>
            <w:pPr>
              <w:spacing w:after="0"/>
              <w:rPr>
                <w:sz w:val="18"/>
                <w:szCs w:val="18"/>
                <w:color w:val="auto"/>
              </w:rPr>
            </w:pPr>
          </w:p>
        </w:tc>
      </w:tr>
      <w:tr>
        <w:trPr>
          <w:trHeight w:val="27"/>
        </w:trPr>
        <w:tc>
          <w:tcPr>
            <w:tcW w:w="6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6760" w:type="dxa"/>
            <w:vAlign w:val="bottom"/>
            <w:shd w:val="clear" w:color="auto" w:fill="CCEEFF"/>
          </w:tcPr>
          <w:p>
            <w:pPr>
              <w:ind w:left="580"/>
              <w:spacing w:after="0"/>
              <w:rPr>
                <w:sz w:val="20"/>
                <w:szCs w:val="20"/>
                <w:color w:val="auto"/>
              </w:rPr>
            </w:pPr>
            <w:r>
              <w:rPr>
                <w:rFonts w:ascii="Arial" w:cs="Arial" w:eastAsia="Arial" w:hAnsi="Arial"/>
                <w:sz w:val="18"/>
                <w:szCs w:val="18"/>
                <w:b w:val="1"/>
                <w:bCs w:val="1"/>
                <w:color w:val="auto"/>
              </w:rPr>
              <w:t>Net cash used in investing activities</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(363,609)</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(305,094)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(328,217)</w:t>
            </w:r>
          </w:p>
        </w:tc>
        <w:tc>
          <w:tcPr>
            <w:tcW w:w="20" w:type="dxa"/>
            <w:vAlign w:val="bottom"/>
            <w:shd w:val="clear" w:color="auto" w:fill="CCEEFF"/>
          </w:tcPr>
          <w:p>
            <w:pPr>
              <w:spacing w:after="0"/>
              <w:rPr>
                <w:sz w:val="19"/>
                <w:szCs w:val="19"/>
                <w:color w:val="auto"/>
              </w:rPr>
            </w:pPr>
          </w:p>
        </w:tc>
      </w:tr>
      <w:tr>
        <w:trPr>
          <w:trHeight w:val="216"/>
        </w:trPr>
        <w:tc>
          <w:tcPr>
            <w:tcW w:w="67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 FINANCING ACTIVITIES</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7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Exercise of options, net</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2,512</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1,842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714</w:t>
            </w:r>
          </w:p>
        </w:tc>
        <w:tc>
          <w:tcPr>
            <w:tcW w:w="20" w:type="dxa"/>
            <w:vAlign w:val="bottom"/>
            <w:shd w:val="clear" w:color="auto" w:fill="CCEEFF"/>
          </w:tcPr>
          <w:p>
            <w:pPr>
              <w:spacing w:after="0"/>
              <w:rPr>
                <w:sz w:val="18"/>
                <w:szCs w:val="18"/>
                <w:color w:val="auto"/>
              </w:rPr>
            </w:pPr>
          </w:p>
        </w:tc>
      </w:tr>
      <w:tr>
        <w:trPr>
          <w:trHeight w:val="216"/>
        </w:trPr>
        <w:tc>
          <w:tcPr>
            <w:tcW w:w="6760" w:type="dxa"/>
            <w:vAlign w:val="bottom"/>
          </w:tcPr>
          <w:p>
            <w:pPr>
              <w:ind w:left="160"/>
              <w:spacing w:after="0"/>
              <w:rPr>
                <w:sz w:val="20"/>
                <w:szCs w:val="20"/>
                <w:color w:val="auto"/>
              </w:rPr>
            </w:pPr>
            <w:r>
              <w:rPr>
                <w:rFonts w:ascii="Arial" w:cs="Arial" w:eastAsia="Arial" w:hAnsi="Arial"/>
                <w:sz w:val="18"/>
                <w:szCs w:val="18"/>
                <w:b w:val="1"/>
                <w:bCs w:val="1"/>
                <w:color w:val="auto"/>
              </w:rPr>
              <w:t>Proceeds from loans</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98,990</w:t>
            </w:r>
          </w:p>
        </w:tc>
        <w:tc>
          <w:tcPr>
            <w:tcW w:w="20" w:type="dxa"/>
            <w:vAlign w:val="bottom"/>
          </w:tcPr>
          <w:p>
            <w:pPr>
              <w:spacing w:after="0"/>
              <w:rPr>
                <w:sz w:val="18"/>
                <w:szCs w:val="18"/>
                <w:color w:val="auto"/>
              </w:rPr>
            </w:pPr>
          </w:p>
        </w:tc>
      </w:tr>
      <w:tr>
        <w:trPr>
          <w:trHeight w:val="216"/>
        </w:trPr>
        <w:tc>
          <w:tcPr>
            <w:tcW w:w="67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Loans repayment</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(142,285)</w:t>
            </w:r>
          </w:p>
        </w:tc>
        <w:tc>
          <w:tcPr>
            <w:tcW w:w="20" w:type="dxa"/>
            <w:vAlign w:val="bottom"/>
            <w:shd w:val="clear" w:color="auto" w:fill="CCEEFF"/>
          </w:tcPr>
          <w:p>
            <w:pPr>
              <w:spacing w:after="0"/>
              <w:rPr>
                <w:sz w:val="18"/>
                <w:szCs w:val="18"/>
                <w:color w:val="auto"/>
              </w:rPr>
            </w:pPr>
          </w:p>
        </w:tc>
      </w:tr>
      <w:tr>
        <w:trPr>
          <w:trHeight w:val="216"/>
        </w:trPr>
        <w:tc>
          <w:tcPr>
            <w:tcW w:w="6760" w:type="dxa"/>
            <w:vAlign w:val="bottom"/>
          </w:tcPr>
          <w:p>
            <w:pPr>
              <w:ind w:left="160"/>
              <w:spacing w:after="0"/>
              <w:rPr>
                <w:sz w:val="20"/>
                <w:szCs w:val="20"/>
                <w:color w:val="auto"/>
              </w:rPr>
            </w:pPr>
            <w:r>
              <w:rPr>
                <w:rFonts w:ascii="Arial" w:cs="Arial" w:eastAsia="Arial" w:hAnsi="Arial"/>
                <w:sz w:val="18"/>
                <w:szCs w:val="18"/>
                <w:b w:val="1"/>
                <w:bCs w:val="1"/>
                <w:color w:val="auto"/>
              </w:rPr>
              <w:t>Principal payments on account of capital lease obligation</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(25,364)</w:t>
            </w:r>
          </w:p>
        </w:tc>
        <w:tc>
          <w:tcPr>
            <w:tcW w:w="12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(19,402)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(5,554)</w:t>
            </w:r>
          </w:p>
        </w:tc>
        <w:tc>
          <w:tcPr>
            <w:tcW w:w="20" w:type="dxa"/>
            <w:vAlign w:val="bottom"/>
          </w:tcPr>
          <w:p>
            <w:pPr>
              <w:spacing w:after="0"/>
              <w:rPr>
                <w:sz w:val="18"/>
                <w:szCs w:val="18"/>
                <w:color w:val="auto"/>
              </w:rPr>
            </w:pPr>
          </w:p>
        </w:tc>
      </w:tr>
      <w:tr>
        <w:trPr>
          <w:trHeight w:val="216"/>
        </w:trPr>
        <w:tc>
          <w:tcPr>
            <w:tcW w:w="67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Debentures repayment</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38,335)</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CEEFF"/>
          </w:tcPr>
          <w:p>
            <w:pPr>
              <w:spacing w:after="0"/>
              <w:rPr>
                <w:sz w:val="18"/>
                <w:szCs w:val="18"/>
                <w:color w:val="auto"/>
              </w:rPr>
            </w:pPr>
          </w:p>
        </w:tc>
      </w:tr>
      <w:tr>
        <w:trPr>
          <w:trHeight w:val="27"/>
        </w:trPr>
        <w:tc>
          <w:tcPr>
            <w:tcW w:w="67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223"/>
        </w:trPr>
        <w:tc>
          <w:tcPr>
            <w:tcW w:w="6760" w:type="dxa"/>
            <w:vAlign w:val="bottom"/>
          </w:tcPr>
          <w:p>
            <w:pPr>
              <w:ind w:left="580"/>
              <w:spacing w:after="0"/>
              <w:rPr>
                <w:sz w:val="20"/>
                <w:szCs w:val="20"/>
                <w:color w:val="auto"/>
              </w:rPr>
            </w:pPr>
            <w:r>
              <w:rPr>
                <w:rFonts w:ascii="Arial" w:cs="Arial" w:eastAsia="Arial" w:hAnsi="Arial"/>
                <w:sz w:val="18"/>
                <w:szCs w:val="18"/>
                <w:b w:val="1"/>
                <w:bCs w:val="1"/>
                <w:color w:val="auto"/>
              </w:rPr>
              <w:t>Net cash used in financing activities</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(61,187)</w:t>
            </w:r>
          </w:p>
        </w:tc>
        <w:tc>
          <w:tcPr>
            <w:tcW w:w="12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(17,560)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(48,135)</w:t>
            </w:r>
          </w:p>
        </w:tc>
        <w:tc>
          <w:tcPr>
            <w:tcW w:w="20" w:type="dxa"/>
            <w:vAlign w:val="bottom"/>
          </w:tcPr>
          <w:p>
            <w:pPr>
              <w:spacing w:after="0"/>
              <w:rPr>
                <w:sz w:val="19"/>
                <w:szCs w:val="19"/>
                <w:color w:val="auto"/>
              </w:rPr>
            </w:pPr>
          </w:p>
        </w:tc>
      </w:tr>
      <w:tr>
        <w:trPr>
          <w:trHeight w:val="216"/>
        </w:trPr>
        <w:tc>
          <w:tcPr>
            <w:tcW w:w="6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b w:val="1"/>
                <w:bCs w:val="1"/>
                <w:color w:val="auto"/>
              </w:rPr>
              <w:t>EFFECT OF FOREIGN CURRENCY EXCHANGE RATE CHANGE</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4,357</w:t>
            </w: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1,804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2,585</w:t>
            </w:r>
          </w:p>
        </w:tc>
        <w:tc>
          <w:tcPr>
            <w:tcW w:w="20" w:type="dxa"/>
            <w:vAlign w:val="bottom"/>
          </w:tcPr>
          <w:p>
            <w:pPr>
              <w:spacing w:after="0"/>
              <w:rPr>
                <w:sz w:val="18"/>
                <w:szCs w:val="18"/>
                <w:color w:val="auto"/>
              </w:rPr>
            </w:pPr>
          </w:p>
        </w:tc>
      </w:tr>
      <w:tr>
        <w:trPr>
          <w:trHeight w:val="20"/>
        </w:trPr>
        <w:tc>
          <w:tcPr>
            <w:tcW w:w="6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7"/>
        </w:trPr>
        <w:tc>
          <w:tcPr>
            <w:tcW w:w="6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b w:val="1"/>
                <w:bCs w:val="1"/>
                <w:color w:val="auto"/>
              </w:rPr>
              <w:t>DECREASE IN CASH AND CASH EQUIVALENTS</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(143,878)</w:t>
            </w:r>
          </w:p>
        </w:tc>
        <w:tc>
          <w:tcPr>
            <w:tcW w:w="12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(29,530)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(60,870)</w:t>
            </w:r>
          </w:p>
        </w:tc>
        <w:tc>
          <w:tcPr>
            <w:tcW w:w="20" w:type="dxa"/>
            <w:vAlign w:val="bottom"/>
          </w:tcPr>
          <w:p>
            <w:pPr>
              <w:spacing w:after="0"/>
              <w:rPr>
                <w:sz w:val="18"/>
                <w:szCs w:val="18"/>
                <w:color w:val="auto"/>
              </w:rPr>
            </w:pPr>
          </w:p>
        </w:tc>
      </w:tr>
      <w:tr>
        <w:trPr>
          <w:trHeight w:val="223"/>
        </w:trPr>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 BEGINNING OF PERIOD</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355,561</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385,091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445,961</w:t>
            </w:r>
          </w:p>
        </w:tc>
        <w:tc>
          <w:tcPr>
            <w:tcW w:w="20" w:type="dxa"/>
            <w:vAlign w:val="bottom"/>
            <w:shd w:val="clear" w:color="auto" w:fill="CCEEFF"/>
          </w:tcPr>
          <w:p>
            <w:pPr>
              <w:spacing w:after="0"/>
              <w:rPr>
                <w:sz w:val="19"/>
                <w:szCs w:val="19"/>
                <w:color w:val="auto"/>
              </w:rPr>
            </w:pPr>
          </w:p>
        </w:tc>
      </w:tr>
      <w:tr>
        <w:trPr>
          <w:trHeight w:val="216"/>
        </w:trPr>
        <w:tc>
          <w:tcPr>
            <w:tcW w:w="67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56"/>
        </w:trPr>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 END OF PERIOD</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211,683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355,561</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385,091</w:t>
            </w:r>
          </w:p>
        </w:tc>
        <w:tc>
          <w:tcPr>
            <w:tcW w:w="20" w:type="dxa"/>
            <w:vAlign w:val="bottom"/>
            <w:shd w:val="clear" w:color="auto" w:fill="CCEEFF"/>
          </w:tcPr>
          <w:p>
            <w:pPr>
              <w:spacing w:after="0"/>
              <w:rPr>
                <w:sz w:val="22"/>
                <w:szCs w:val="22"/>
                <w:color w:val="auto"/>
              </w:rPr>
            </w:pPr>
          </w:p>
        </w:tc>
      </w:tr>
      <w:tr>
        <w:trPr>
          <w:trHeight w:val="412"/>
        </w:trPr>
        <w:tc>
          <w:tcPr>
            <w:tcW w:w="6760" w:type="dxa"/>
            <w:vAlign w:val="bottom"/>
            <w:tcBorders>
              <w:top w:val="single" w:sz="8" w:color="CCEEFF"/>
            </w:tcBorders>
          </w:tcPr>
          <w:p>
            <w:pPr>
              <w:ind w:left="5460"/>
              <w:spacing w:after="0"/>
              <w:rPr>
                <w:sz w:val="20"/>
                <w:szCs w:val="20"/>
                <w:color w:val="auto"/>
              </w:rPr>
            </w:pPr>
            <w:r>
              <w:rPr>
                <w:rFonts w:ascii="Arial" w:cs="Arial" w:eastAsia="Arial" w:hAnsi="Arial"/>
                <w:sz w:val="18"/>
                <w:szCs w:val="18"/>
                <w:color w:val="auto"/>
              </w:rPr>
              <w:t>F - 8</w:t>
            </w:r>
          </w:p>
        </w:tc>
        <w:tc>
          <w:tcPr>
            <w:tcW w:w="22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16"/>
        </w:trPr>
        <w:tc>
          <w:tcPr>
            <w:tcW w:w="6760" w:type="dxa"/>
            <w:vAlign w:val="bottom"/>
            <w:tcBorders>
              <w:bottom w:val="single" w:sz="8" w:color="EEEEEE"/>
            </w:tcBorders>
          </w:tcPr>
          <w:p>
            <w:pPr>
              <w:spacing w:after="0"/>
              <w:rPr>
                <w:sz w:val="18"/>
                <w:szCs w:val="18"/>
                <w:color w:val="auto"/>
              </w:rPr>
            </w:pPr>
          </w:p>
        </w:tc>
        <w:tc>
          <w:tcPr>
            <w:tcW w:w="220" w:type="dxa"/>
            <w:vAlign w:val="bottom"/>
            <w:tcBorders>
              <w:bottom w:val="single" w:sz="8" w:color="EEEEEE"/>
            </w:tcBorders>
          </w:tcPr>
          <w:p>
            <w:pPr>
              <w:spacing w:after="0"/>
              <w:rPr>
                <w:sz w:val="18"/>
                <w:szCs w:val="18"/>
                <w:color w:val="auto"/>
              </w:rPr>
            </w:pPr>
          </w:p>
        </w:tc>
        <w:tc>
          <w:tcPr>
            <w:tcW w:w="280" w:type="dxa"/>
            <w:vAlign w:val="bottom"/>
            <w:tcBorders>
              <w:bottom w:val="single" w:sz="8" w:color="EEEEEE"/>
            </w:tcBorders>
          </w:tcPr>
          <w:p>
            <w:pPr>
              <w:spacing w:after="0"/>
              <w:rPr>
                <w:sz w:val="18"/>
                <w:szCs w:val="18"/>
                <w:color w:val="auto"/>
              </w:rPr>
            </w:pPr>
          </w:p>
        </w:tc>
        <w:tc>
          <w:tcPr>
            <w:tcW w:w="980" w:type="dxa"/>
            <w:vAlign w:val="bottom"/>
            <w:tcBorders>
              <w:bottom w:val="single" w:sz="8" w:color="EEEEEE"/>
            </w:tcBorders>
          </w:tcPr>
          <w:p>
            <w:pPr>
              <w:spacing w:after="0"/>
              <w:rPr>
                <w:sz w:val="18"/>
                <w:szCs w:val="18"/>
                <w:color w:val="auto"/>
              </w:rPr>
            </w:pPr>
          </w:p>
        </w:tc>
        <w:tc>
          <w:tcPr>
            <w:tcW w:w="220" w:type="dxa"/>
            <w:vAlign w:val="bottom"/>
            <w:tcBorders>
              <w:bottom w:val="single" w:sz="8" w:color="EEEEEE"/>
            </w:tcBorders>
          </w:tcPr>
          <w:p>
            <w:pPr>
              <w:spacing w:after="0"/>
              <w:rPr>
                <w:sz w:val="18"/>
                <w:szCs w:val="18"/>
                <w:color w:val="auto"/>
              </w:rPr>
            </w:pPr>
          </w:p>
        </w:tc>
        <w:tc>
          <w:tcPr>
            <w:tcW w:w="120" w:type="dxa"/>
            <w:vAlign w:val="bottom"/>
            <w:tcBorders>
              <w:bottom w:val="single" w:sz="8" w:color="EEEEEE"/>
            </w:tcBorders>
          </w:tcPr>
          <w:p>
            <w:pPr>
              <w:spacing w:after="0"/>
              <w:rPr>
                <w:sz w:val="18"/>
                <w:szCs w:val="18"/>
                <w:color w:val="auto"/>
              </w:rPr>
            </w:pPr>
          </w:p>
        </w:tc>
        <w:tc>
          <w:tcPr>
            <w:tcW w:w="1100" w:type="dxa"/>
            <w:vAlign w:val="bottom"/>
            <w:tcBorders>
              <w:bottom w:val="single" w:sz="8" w:color="EEEEEE"/>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80" w:type="dxa"/>
            <w:vAlign w:val="bottom"/>
            <w:tcBorders>
              <w:bottom w:val="single" w:sz="8" w:color="EEEEEE"/>
            </w:tcBorders>
          </w:tcPr>
          <w:p>
            <w:pPr>
              <w:spacing w:after="0"/>
              <w:rPr>
                <w:sz w:val="18"/>
                <w:szCs w:val="18"/>
                <w:color w:val="auto"/>
              </w:rPr>
            </w:pPr>
          </w:p>
        </w:tc>
        <w:tc>
          <w:tcPr>
            <w:tcW w:w="260" w:type="dxa"/>
            <w:vAlign w:val="bottom"/>
            <w:tcBorders>
              <w:bottom w:val="single" w:sz="8" w:color="EEEEEE"/>
            </w:tcBorders>
          </w:tcPr>
          <w:p>
            <w:pPr>
              <w:spacing w:after="0"/>
              <w:rPr>
                <w:sz w:val="18"/>
                <w:szCs w:val="18"/>
                <w:color w:val="auto"/>
              </w:rPr>
            </w:pPr>
          </w:p>
        </w:tc>
        <w:tc>
          <w:tcPr>
            <w:tcW w:w="980" w:type="dxa"/>
            <w:vAlign w:val="bottom"/>
            <w:tcBorders>
              <w:bottom w:val="single" w:sz="8" w:color="EEEEEE"/>
            </w:tcBorders>
          </w:tcPr>
          <w:p>
            <w:pPr>
              <w:spacing w:after="0"/>
              <w:rPr>
                <w:sz w:val="18"/>
                <w:szCs w:val="18"/>
                <w:color w:val="auto"/>
              </w:rPr>
            </w:pPr>
          </w:p>
        </w:tc>
        <w:tc>
          <w:tcPr>
            <w:tcW w:w="80" w:type="dxa"/>
            <w:vAlign w:val="bottom"/>
            <w:tcBorders>
              <w:bottom w:val="single" w:sz="8" w:color="EEEEEE"/>
            </w:tcBorders>
          </w:tcPr>
          <w:p>
            <w:pPr>
              <w:spacing w:after="0"/>
              <w:rPr>
                <w:sz w:val="18"/>
                <w:szCs w:val="18"/>
                <w:color w:val="auto"/>
              </w:rPr>
            </w:pP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Year ended</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41"/>
        </w:trPr>
        <w:tc>
          <w:tcPr>
            <w:tcW w:w="69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8"/>
                <w:szCs w:val="18"/>
                <w:b w:val="1"/>
                <w:bCs w:val="1"/>
                <w:color w:val="auto"/>
                <w:w w:val="90"/>
              </w:rPr>
              <w:t>December 31,</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69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2019</w:t>
            </w:r>
          </w:p>
        </w:tc>
        <w:tc>
          <w:tcPr>
            <w:tcW w:w="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9"/>
                <w:szCs w:val="19"/>
                <w:color w:val="auto"/>
              </w:rPr>
            </w:pPr>
          </w:p>
        </w:tc>
      </w:tr>
      <w:tr>
        <w:trPr>
          <w:trHeight w:val="216"/>
        </w:trPr>
        <w:tc>
          <w:tcPr>
            <w:tcW w:w="6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ACTIVITIES: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20" w:type="dxa"/>
            <w:vAlign w:val="bottom"/>
            <w:gridSpan w:val="2"/>
          </w:tcPr>
          <w:p>
            <w:pPr>
              <w:spacing w:after="0"/>
              <w:rPr>
                <w:sz w:val="18"/>
                <w:szCs w:val="18"/>
                <w:color w:val="auto"/>
              </w:rPr>
            </w:pPr>
          </w:p>
        </w:tc>
        <w:tc>
          <w:tcPr>
            <w:tcW w:w="130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r>
      <w:tr>
        <w:trPr>
          <w:trHeight w:val="236"/>
        </w:trPr>
        <w:tc>
          <w:tcPr>
            <w:tcW w:w="69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Investments in property and equipment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35,271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39,184</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28,052</w:t>
            </w:r>
          </w:p>
        </w:tc>
      </w:tr>
      <w:tr>
        <w:trPr>
          <w:trHeight w:val="20"/>
        </w:trPr>
        <w:tc>
          <w:tcPr>
            <w:tcW w:w="69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6980" w:type="dxa"/>
            <w:vAlign w:val="bottom"/>
          </w:tcPr>
          <w:p>
            <w:pPr>
              <w:ind w:left="160"/>
              <w:spacing w:after="0" w:line="196" w:lineRule="exact"/>
              <w:rPr>
                <w:sz w:val="20"/>
                <w:szCs w:val="20"/>
                <w:color w:val="auto"/>
              </w:rPr>
            </w:pPr>
            <w:r>
              <w:rPr>
                <w:rFonts w:ascii="Arial" w:cs="Arial" w:eastAsia="Arial" w:hAnsi="Arial"/>
                <w:sz w:val="18"/>
                <w:szCs w:val="18"/>
                <w:b w:val="1"/>
                <w:bCs w:val="1"/>
                <w:color w:val="auto"/>
              </w:rPr>
              <w:t>Conversion of notes into share capital</w:t>
            </w:r>
          </w:p>
        </w:tc>
        <w:tc>
          <w:tcPr>
            <w:tcW w:w="280" w:type="dxa"/>
            <w:vAlign w:val="bottom"/>
          </w:tcPr>
          <w:p>
            <w:pPr>
              <w:jc w:val="right"/>
              <w:ind w:right="90"/>
              <w:spacing w:after="0" w:line="196" w:lineRule="exact"/>
              <w:rPr>
                <w:sz w:val="20"/>
                <w:szCs w:val="20"/>
                <w:color w:val="auto"/>
              </w:rPr>
            </w:pPr>
            <w:r>
              <w:rPr>
                <w:rFonts w:ascii="Arial" w:cs="Arial" w:eastAsia="Arial" w:hAnsi="Arial"/>
                <w:sz w:val="18"/>
                <w:szCs w:val="18"/>
                <w:b w:val="1"/>
                <w:bCs w:val="1"/>
                <w:color w:val="auto"/>
                <w:w w:val="79"/>
              </w:rPr>
              <w:t>$</w:t>
            </w:r>
          </w:p>
        </w:tc>
        <w:tc>
          <w:tcPr>
            <w:tcW w:w="1100" w:type="dxa"/>
            <w:vAlign w:val="bottom"/>
            <w:gridSpan w:val="2"/>
          </w:tcPr>
          <w:p>
            <w:pPr>
              <w:jc w:val="right"/>
              <w:ind w:right="140"/>
              <w:spacing w:after="0" w:line="196" w:lineRule="exact"/>
              <w:rPr>
                <w:sz w:val="20"/>
                <w:szCs w:val="20"/>
                <w:color w:val="auto"/>
              </w:rPr>
            </w:pPr>
            <w:r>
              <w:rPr>
                <w:rFonts w:ascii="Arial" w:cs="Arial" w:eastAsia="Arial" w:hAnsi="Arial"/>
                <w:sz w:val="18"/>
                <w:szCs w:val="18"/>
                <w:b w:val="1"/>
                <w:bCs w:val="1"/>
                <w:color w:val="auto"/>
              </w:rPr>
              <w:t>--</w:t>
            </w:r>
          </w:p>
        </w:tc>
        <w:tc>
          <w:tcPr>
            <w:tcW w:w="22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300" w:type="dxa"/>
            <w:vAlign w:val="bottom"/>
            <w:gridSpan w:val="2"/>
          </w:tcPr>
          <w:p>
            <w:pPr>
              <w:jc w:val="right"/>
              <w:ind w:right="200"/>
              <w:spacing w:after="0" w:line="196" w:lineRule="exact"/>
              <w:rPr>
                <w:sz w:val="20"/>
                <w:szCs w:val="20"/>
                <w:color w:val="auto"/>
              </w:rPr>
            </w:pPr>
            <w:r>
              <w:rPr>
                <w:rFonts w:ascii="Arial" w:cs="Arial" w:eastAsia="Arial" w:hAnsi="Arial"/>
                <w:sz w:val="18"/>
                <w:szCs w:val="18"/>
                <w:b w:val="1"/>
                <w:bCs w:val="1"/>
                <w:color w:val="auto"/>
              </w:rPr>
              <w:t>22,600</w:t>
            </w:r>
          </w:p>
        </w:tc>
        <w:tc>
          <w:tcPr>
            <w:tcW w:w="280" w:type="dxa"/>
            <w:vAlign w:val="bottom"/>
          </w:tcPr>
          <w:p>
            <w:pPr>
              <w:jc w:val="right"/>
              <w:ind w:right="90"/>
              <w:spacing w:after="0" w:line="196" w:lineRule="exact"/>
              <w:rPr>
                <w:sz w:val="20"/>
                <w:szCs w:val="20"/>
                <w:color w:val="auto"/>
              </w:rPr>
            </w:pPr>
            <w:r>
              <w:rPr>
                <w:rFonts w:ascii="Arial" w:cs="Arial" w:eastAsia="Arial" w:hAnsi="Arial"/>
                <w:sz w:val="18"/>
                <w:szCs w:val="18"/>
                <w:b w:val="1"/>
                <w:bCs w:val="1"/>
                <w:color w:val="auto"/>
                <w:w w:val="79"/>
              </w:rPr>
              <w:t>$</w:t>
            </w:r>
          </w:p>
        </w:tc>
        <w:tc>
          <w:tcPr>
            <w:tcW w:w="1080" w:type="dxa"/>
            <w:vAlign w:val="bottom"/>
            <w:gridSpan w:val="2"/>
          </w:tcPr>
          <w:p>
            <w:pPr>
              <w:jc w:val="right"/>
              <w:ind w:right="120"/>
              <w:spacing w:after="0" w:line="196" w:lineRule="exact"/>
              <w:rPr>
                <w:sz w:val="20"/>
                <w:szCs w:val="20"/>
                <w:color w:val="auto"/>
              </w:rPr>
            </w:pPr>
            <w:r>
              <w:rPr>
                <w:rFonts w:ascii="Arial" w:cs="Arial" w:eastAsia="Arial" w:hAnsi="Arial"/>
                <w:sz w:val="18"/>
                <w:szCs w:val="18"/>
                <w:b w:val="1"/>
                <w:bCs w:val="1"/>
                <w:color w:val="auto"/>
              </w:rPr>
              <w:t>58,586</w:t>
            </w:r>
          </w:p>
        </w:tc>
      </w:tr>
      <w:tr>
        <w:trPr>
          <w:trHeight w:val="20"/>
        </w:trPr>
        <w:tc>
          <w:tcPr>
            <w:tcW w:w="69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6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1300" w:type="dxa"/>
            <w:vAlign w:val="bottom"/>
            <w:gridSpan w:val="2"/>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r>
      <w:tr>
        <w:trPr>
          <w:trHeight w:val="216"/>
        </w:trPr>
        <w:tc>
          <w:tcPr>
            <w:tcW w:w="6980" w:type="dxa"/>
            <w:vAlign w:val="bottom"/>
          </w:tcPr>
          <w:p>
            <w:pPr>
              <w:ind w:left="160"/>
              <w:spacing w:after="0"/>
              <w:rPr>
                <w:sz w:val="20"/>
                <w:szCs w:val="20"/>
                <w:color w:val="auto"/>
              </w:rPr>
            </w:pPr>
            <w:r>
              <w:rPr>
                <w:rFonts w:ascii="Arial" w:cs="Arial" w:eastAsia="Arial" w:hAnsi="Arial"/>
                <w:sz w:val="18"/>
                <w:szCs w:val="18"/>
                <w:b w:val="1"/>
                <w:bCs w:val="1"/>
                <w:color w:val="auto"/>
              </w:rPr>
              <w:t>Cash received during the period from interest</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10,524</w:t>
            </w: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14,436</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8,818</w:t>
            </w:r>
          </w:p>
        </w:tc>
      </w:tr>
      <w:tr>
        <w:trPr>
          <w:trHeight w:val="20"/>
        </w:trPr>
        <w:tc>
          <w:tcPr>
            <w:tcW w:w="69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7"/>
        </w:trPr>
        <w:tc>
          <w:tcPr>
            <w:tcW w:w="6980" w:type="dxa"/>
            <w:vAlign w:val="bottom"/>
            <w:shd w:val="clear" w:color="auto" w:fill="CCEEFF"/>
          </w:tcPr>
          <w:p>
            <w:pPr>
              <w:ind w:left="160"/>
              <w:spacing w:after="0" w:line="196" w:lineRule="exact"/>
              <w:rPr>
                <w:sz w:val="20"/>
                <w:szCs w:val="20"/>
                <w:color w:val="auto"/>
              </w:rPr>
            </w:pPr>
            <w:r>
              <w:rPr>
                <w:rFonts w:ascii="Arial" w:cs="Arial" w:eastAsia="Arial" w:hAnsi="Arial"/>
                <w:sz w:val="18"/>
                <w:szCs w:val="18"/>
                <w:b w:val="1"/>
                <w:bCs w:val="1"/>
                <w:color w:val="auto"/>
              </w:rPr>
              <w:t>Cash paid during the period for interest</w:t>
            </w:r>
          </w:p>
        </w:tc>
        <w:tc>
          <w:tcPr>
            <w:tcW w:w="2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b w:val="1"/>
                <w:bCs w:val="1"/>
                <w:color w:val="auto"/>
                <w:w w:val="79"/>
              </w:rPr>
              <w:t>$</w:t>
            </w:r>
          </w:p>
        </w:tc>
        <w:tc>
          <w:tcPr>
            <w:tcW w:w="110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b w:val="1"/>
                <w:bCs w:val="1"/>
                <w:color w:val="auto"/>
              </w:rPr>
              <w:t>6,633</w:t>
            </w:r>
          </w:p>
        </w:tc>
        <w:tc>
          <w:tcPr>
            <w:tcW w:w="2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30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b w:val="1"/>
                <w:bCs w:val="1"/>
                <w:color w:val="auto"/>
              </w:rPr>
              <w:t>7,456</w:t>
            </w:r>
          </w:p>
        </w:tc>
        <w:tc>
          <w:tcPr>
            <w:tcW w:w="2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b w:val="1"/>
                <w:bCs w:val="1"/>
                <w:color w:val="auto"/>
              </w:rPr>
              <w:t>11,835</w:t>
            </w:r>
          </w:p>
        </w:tc>
      </w:tr>
      <w:tr>
        <w:trPr>
          <w:trHeight w:val="20"/>
        </w:trPr>
        <w:tc>
          <w:tcPr>
            <w:tcW w:w="69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6980" w:type="dxa"/>
            <w:vAlign w:val="bottom"/>
          </w:tcPr>
          <w:p>
            <w:pPr>
              <w:ind w:left="160"/>
              <w:spacing w:after="0" w:line="196" w:lineRule="exact"/>
              <w:rPr>
                <w:sz w:val="20"/>
                <w:szCs w:val="20"/>
                <w:color w:val="auto"/>
              </w:rPr>
            </w:pPr>
            <w:r>
              <w:rPr>
                <w:rFonts w:ascii="Arial" w:cs="Arial" w:eastAsia="Arial" w:hAnsi="Arial"/>
                <w:sz w:val="18"/>
                <w:szCs w:val="18"/>
                <w:b w:val="1"/>
                <w:bCs w:val="1"/>
                <w:color w:val="auto"/>
              </w:rPr>
              <w:t>Cash paid for (received from) income taxes, net during the period</w:t>
            </w:r>
          </w:p>
        </w:tc>
        <w:tc>
          <w:tcPr>
            <w:tcW w:w="280" w:type="dxa"/>
            <w:vAlign w:val="bottom"/>
          </w:tcPr>
          <w:p>
            <w:pPr>
              <w:jc w:val="right"/>
              <w:ind w:right="90"/>
              <w:spacing w:after="0" w:line="196" w:lineRule="exact"/>
              <w:rPr>
                <w:sz w:val="20"/>
                <w:szCs w:val="20"/>
                <w:color w:val="auto"/>
              </w:rPr>
            </w:pPr>
            <w:r>
              <w:rPr>
                <w:rFonts w:ascii="Arial" w:cs="Arial" w:eastAsia="Arial" w:hAnsi="Arial"/>
                <w:sz w:val="18"/>
                <w:szCs w:val="18"/>
                <w:b w:val="1"/>
                <w:bCs w:val="1"/>
                <w:color w:val="auto"/>
                <w:w w:val="79"/>
              </w:rPr>
              <w:t>$</w:t>
            </w:r>
          </w:p>
        </w:tc>
        <w:tc>
          <w:tcPr>
            <w:tcW w:w="1100" w:type="dxa"/>
            <w:vAlign w:val="bottom"/>
            <w:gridSpan w:val="2"/>
          </w:tcPr>
          <w:p>
            <w:pPr>
              <w:jc w:val="right"/>
              <w:ind w:right="80"/>
              <w:spacing w:after="0" w:line="196" w:lineRule="exact"/>
              <w:rPr>
                <w:sz w:val="20"/>
                <w:szCs w:val="20"/>
                <w:color w:val="auto"/>
              </w:rPr>
            </w:pPr>
            <w:r>
              <w:rPr>
                <w:rFonts w:ascii="Arial" w:cs="Arial" w:eastAsia="Arial" w:hAnsi="Arial"/>
                <w:sz w:val="18"/>
                <w:szCs w:val="18"/>
                <w:b w:val="1"/>
                <w:bCs w:val="1"/>
                <w:color w:val="auto"/>
              </w:rPr>
              <w:t>(2,436)</w:t>
            </w:r>
          </w:p>
        </w:tc>
        <w:tc>
          <w:tcPr>
            <w:tcW w:w="22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300" w:type="dxa"/>
            <w:vAlign w:val="bottom"/>
            <w:gridSpan w:val="2"/>
          </w:tcPr>
          <w:p>
            <w:pPr>
              <w:jc w:val="right"/>
              <w:ind w:right="200"/>
              <w:spacing w:after="0" w:line="196" w:lineRule="exact"/>
              <w:rPr>
                <w:sz w:val="20"/>
                <w:szCs w:val="20"/>
                <w:color w:val="auto"/>
              </w:rPr>
            </w:pPr>
            <w:r>
              <w:rPr>
                <w:rFonts w:ascii="Arial" w:cs="Arial" w:eastAsia="Arial" w:hAnsi="Arial"/>
                <w:sz w:val="18"/>
                <w:szCs w:val="18"/>
                <w:b w:val="1"/>
                <w:bCs w:val="1"/>
                <w:color w:val="auto"/>
              </w:rPr>
              <w:t>13,026</w:t>
            </w:r>
          </w:p>
        </w:tc>
        <w:tc>
          <w:tcPr>
            <w:tcW w:w="280" w:type="dxa"/>
            <w:vAlign w:val="bottom"/>
          </w:tcPr>
          <w:p>
            <w:pPr>
              <w:jc w:val="right"/>
              <w:ind w:right="90"/>
              <w:spacing w:after="0" w:line="196" w:lineRule="exact"/>
              <w:rPr>
                <w:sz w:val="20"/>
                <w:szCs w:val="20"/>
                <w:color w:val="auto"/>
              </w:rPr>
            </w:pPr>
            <w:r>
              <w:rPr>
                <w:rFonts w:ascii="Arial" w:cs="Arial" w:eastAsia="Arial" w:hAnsi="Arial"/>
                <w:sz w:val="18"/>
                <w:szCs w:val="18"/>
                <w:b w:val="1"/>
                <w:bCs w:val="1"/>
                <w:color w:val="auto"/>
                <w:w w:val="79"/>
              </w:rPr>
              <w:t>$</w:t>
            </w:r>
          </w:p>
        </w:tc>
        <w:tc>
          <w:tcPr>
            <w:tcW w:w="1080" w:type="dxa"/>
            <w:vAlign w:val="bottom"/>
            <w:gridSpan w:val="2"/>
          </w:tcPr>
          <w:p>
            <w:pPr>
              <w:jc w:val="right"/>
              <w:ind w:right="120"/>
              <w:spacing w:after="0" w:line="196" w:lineRule="exact"/>
              <w:rPr>
                <w:sz w:val="20"/>
                <w:szCs w:val="20"/>
                <w:color w:val="auto"/>
              </w:rPr>
            </w:pPr>
            <w:r>
              <w:rPr>
                <w:rFonts w:ascii="Arial" w:cs="Arial" w:eastAsia="Arial" w:hAnsi="Arial"/>
                <w:sz w:val="18"/>
                <w:szCs w:val="18"/>
                <w:b w:val="1"/>
                <w:bCs w:val="1"/>
                <w:color w:val="auto"/>
              </w:rPr>
              <w:t>5,768</w:t>
            </w:r>
          </w:p>
        </w:tc>
      </w:tr>
      <w:tr>
        <w:trPr>
          <w:trHeight w:val="20"/>
        </w:trPr>
        <w:tc>
          <w:tcPr>
            <w:tcW w:w="69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193" w:lineRule="exact"/>
        <w:rPr>
          <w:sz w:val="20"/>
          <w:szCs w:val="20"/>
          <w:color w:val="auto"/>
        </w:rPr>
      </w:pPr>
    </w:p>
    <w:p>
      <w:pPr>
        <w:spacing w:after="0"/>
        <w:tabs>
          <w:tab w:leader="none" w:pos="820" w:val="left"/>
          <w:tab w:leader="none" w:pos="1060" w:val="left"/>
        </w:tabs>
        <w:rPr>
          <w:sz w:val="20"/>
          <w:szCs w:val="20"/>
          <w:color w:val="auto"/>
        </w:rPr>
      </w:pPr>
      <w:r>
        <w:rPr>
          <w:rFonts w:ascii="Arial" w:cs="Arial" w:eastAsia="Arial" w:hAnsi="Arial"/>
          <w:sz w:val="18"/>
          <w:szCs w:val="18"/>
          <w:b w:val="1"/>
          <w:bCs w:val="1"/>
          <w:color w:val="auto"/>
        </w:rPr>
        <w:t>NOTE 1</w:t>
        <w:tab/>
        <w:t>-</w:t>
      </w:r>
      <w:r>
        <w:rPr>
          <w:sz w:val="20"/>
          <w:szCs w:val="20"/>
          <w:color w:val="auto"/>
        </w:rPr>
        <w:tab/>
      </w:r>
      <w:r>
        <w:rPr>
          <w:rFonts w:ascii="Arial" w:cs="Arial" w:eastAsia="Arial" w:hAnsi="Arial"/>
          <w:sz w:val="17"/>
          <w:szCs w:val="17"/>
          <w:b w:val="1"/>
          <w:bCs w:val="1"/>
          <w:color w:val="auto"/>
        </w:rPr>
        <w:t>DESCRIPTION OF BUSINESS AND GENERAL</w:t>
      </w:r>
    </w:p>
    <w:p>
      <w:pPr>
        <w:spacing w:after="0" w:line="202" w:lineRule="exact"/>
        <w:rPr>
          <w:sz w:val="20"/>
          <w:szCs w:val="20"/>
          <w:color w:val="auto"/>
        </w:rPr>
      </w:pPr>
    </w:p>
    <w:p>
      <w:pPr>
        <w:jc w:val="both"/>
        <w:ind w:left="1080"/>
        <w:spacing w:after="0" w:line="269" w:lineRule="auto"/>
        <w:rPr>
          <w:sz w:val="20"/>
          <w:szCs w:val="20"/>
          <w:color w:val="auto"/>
        </w:rPr>
      </w:pPr>
      <w:r>
        <w:rPr>
          <w:rFonts w:ascii="Arial" w:cs="Arial" w:eastAsia="Arial" w:hAnsi="Arial"/>
          <w:sz w:val="17"/>
          <w:szCs w:val="17"/>
          <w:color w:val="auto"/>
        </w:rPr>
        <w:t>The consolidated financial statements of Tower Semiconductor Ltd. (“Tower”) include the financial statements of Tower, and (i) its wholly-owned subsidiary Tower US Holdings Inc., the sole owner of: (1) Tower Semiconductor NPB Holdings, Inc. (formerly named “Jazz US Holdings, Inc.”) and its wholly-owned subsidiary, Tower Semiconductor Newport Beach, Inc. (formerly named “Jazz Semiconductor, Inc.”), an independent semiconductor foundry focused on specialty process technologies for the manufacture of analog intensive mixed-signal semiconductor devices (Tower Semiconductor NPB Holdings, Inc. and Tower Semiconductor Newport Beach, Inc. collectively referred to herein as “TSNP”); and (2) Tower Semiconductor San Antonio, Inc. (formerly named “TowerJazz Texas, Inc.”) (“TSSA”); and (ii) its 51% owned subsidiary, Tower Partners Semiconductor Co., Ltd. (formerly named “TowerJazz Panasonic Semiconductor Co. Ltd.”) (“TPSCo”), an independent semiconductor foundry which includes three semiconductor manufacturing facilities located in Tonami, Uozu and Arai, in Hokuriku Japan. The other 49% of TPSCo’s shares are held by Nuvoton Technology Corporation Japan (“NTCJ”), formerly named “Panasonic Semiconductor Systems Co., Ltd.” (“PSCS”). PSCS’ name changed to NTCJ following the purchase of PSCS by Nuvoton Technology Corporation (“Nuvoton”) from Panasonic Corporation in September 2020. Tower and its subsidiaries are collectively referred to as the “Company”.</w:t>
      </w:r>
    </w:p>
    <w:p>
      <w:pPr>
        <w:spacing w:after="0" w:line="165" w:lineRule="exact"/>
        <w:rPr>
          <w:sz w:val="20"/>
          <w:szCs w:val="20"/>
          <w:color w:val="auto"/>
        </w:rPr>
      </w:pPr>
    </w:p>
    <w:p>
      <w:pPr>
        <w:jc w:val="both"/>
        <w:ind w:left="1080"/>
        <w:spacing w:after="0" w:line="272" w:lineRule="auto"/>
        <w:rPr>
          <w:sz w:val="20"/>
          <w:szCs w:val="20"/>
          <w:color w:val="auto"/>
        </w:rPr>
      </w:pPr>
      <w:r>
        <w:rPr>
          <w:rFonts w:ascii="Arial" w:cs="Arial" w:eastAsia="Arial" w:hAnsi="Arial"/>
          <w:sz w:val="17"/>
          <w:szCs w:val="17"/>
          <w:color w:val="auto"/>
        </w:rPr>
        <w:t>The Company is a global specialty foundry leader manufacturing integrated circuits, offering a broad range of customizable process technologies including: SiGe, BiCMOS, mixed-signal/CMOS, RF CMOS, CMOS image sensor, integrated power management and MEMS. The Company also provides a world-class design enablement platform for a quick and accurate design cycle, as well as Transfer Optimization and development Process Services (“TOPS”) to integrated device manufacturers (“IDMs”) and fabless companies that require capacity. To provide multi-fab sourcing and expanded capacity for its customers, the Company operates two manufacturing facilities in Israel (150mm and 200mm), two in the U.S. (200mm) and three in Japan through TPSCo (two 200mm and one 300mm), which provide 45nm CMOS, 65nm RF CMOS and 65nm advanced image sensor technologies.</w:t>
      </w:r>
    </w:p>
    <w:p>
      <w:pPr>
        <w:spacing w:after="0" w:line="164" w:lineRule="exact"/>
        <w:rPr>
          <w:sz w:val="20"/>
          <w:szCs w:val="20"/>
          <w:color w:val="auto"/>
        </w:rPr>
      </w:pPr>
    </w:p>
    <w:p>
      <w:pPr>
        <w:jc w:val="both"/>
        <w:ind w:left="1080"/>
        <w:spacing w:after="0" w:line="277" w:lineRule="auto"/>
        <w:rPr>
          <w:sz w:val="20"/>
          <w:szCs w:val="20"/>
          <w:color w:val="auto"/>
        </w:rPr>
      </w:pPr>
      <w:r>
        <w:rPr>
          <w:rFonts w:ascii="Arial" w:cs="Arial" w:eastAsia="Arial" w:hAnsi="Arial"/>
          <w:sz w:val="18"/>
          <w:szCs w:val="18"/>
          <w:color w:val="auto"/>
        </w:rPr>
        <w:t>Tower’s ordinary shares are traded on the NASDAQ Global Select Market and on the Tel-Aviv Stock Exchange (“TASE”) under the symbol TSEM.</w:t>
      </w:r>
    </w:p>
    <w:p>
      <w:pPr>
        <w:spacing w:after="0" w:line="143" w:lineRule="exact"/>
        <w:rPr>
          <w:sz w:val="20"/>
          <w:szCs w:val="20"/>
          <w:color w:val="auto"/>
        </w:rPr>
      </w:pPr>
    </w:p>
    <w:p>
      <w:pPr>
        <w:jc w:val="both"/>
        <w:ind w:left="1080"/>
        <w:spacing w:after="0" w:line="257" w:lineRule="auto"/>
        <w:rPr>
          <w:sz w:val="20"/>
          <w:szCs w:val="20"/>
          <w:color w:val="auto"/>
        </w:rPr>
      </w:pPr>
      <w:r>
        <w:rPr>
          <w:rFonts w:ascii="Arial" w:cs="Arial" w:eastAsia="Arial" w:hAnsi="Arial"/>
          <w:sz w:val="18"/>
          <w:szCs w:val="18"/>
          <w:color w:val="auto"/>
        </w:rPr>
        <w:t>In March 2020, the World Health Organization declared the novel coronavirus (“COVID-19”) a global pandemic. Since then, several measures have been implemented worldwide in response to the increased impact from COVID-19. These measures, which include the implementation of travel bans, self-imposed quarantine periods and social distancing, have caused disruption to certain business sectors globally, resulting in economic and other difficulties in many regions worldwide. The COVID-19 pandemic did not have a material adverse effect on the Company's financial position and on its financial stability.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193" w:lineRule="exact"/>
        <w:rPr>
          <w:sz w:val="20"/>
          <w:szCs w:val="20"/>
          <w:color w:val="auto"/>
        </w:rPr>
      </w:pPr>
    </w:p>
    <w:p>
      <w:pPr>
        <w:spacing w:after="0"/>
        <w:tabs>
          <w:tab w:leader="none" w:pos="820" w:val="left"/>
          <w:tab w:leader="none" w:pos="1060" w:val="left"/>
        </w:tabs>
        <w:rPr>
          <w:sz w:val="20"/>
          <w:szCs w:val="20"/>
          <w:color w:val="auto"/>
        </w:rPr>
      </w:pPr>
      <w:r>
        <w:rPr>
          <w:rFonts w:ascii="Arial" w:cs="Arial" w:eastAsia="Arial" w:hAnsi="Arial"/>
          <w:sz w:val="18"/>
          <w:szCs w:val="18"/>
          <w:b w:val="1"/>
          <w:bCs w:val="1"/>
          <w:color w:val="auto"/>
        </w:rPr>
        <w:t>NOTE 2</w:t>
        <w:tab/>
        <w:t>-</w:t>
        <w:tab/>
        <w:t>SUMMARY OF SIGNIFICANT ACCOUNTING POLICIES</w:t>
      </w:r>
    </w:p>
    <w:p>
      <w:pPr>
        <w:spacing w:after="0" w:line="198" w:lineRule="exact"/>
        <w:rPr>
          <w:sz w:val="20"/>
          <w:szCs w:val="20"/>
          <w:color w:val="auto"/>
        </w:rPr>
      </w:pPr>
    </w:p>
    <w:p>
      <w:pPr>
        <w:ind w:left="1440" w:hanging="352"/>
        <w:spacing w:after="0"/>
        <w:tabs>
          <w:tab w:leader="none" w:pos="14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15" w:lineRule="exact"/>
        <w:rPr>
          <w:rFonts w:ascii="Arial" w:cs="Arial" w:eastAsia="Arial" w:hAnsi="Arial"/>
          <w:sz w:val="18"/>
          <w:szCs w:val="18"/>
          <w:b w:val="1"/>
          <w:bCs w:val="1"/>
          <w:color w:val="auto"/>
        </w:rPr>
      </w:pPr>
    </w:p>
    <w:p>
      <w:pPr>
        <w:ind w:left="14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Company’s consolidated financial statements are presented in accordance with U.S. generally accepted accounting principles (“US GAAP”).</w:t>
      </w:r>
    </w:p>
    <w:p>
      <w:pPr>
        <w:spacing w:after="0" w:line="152" w:lineRule="exact"/>
        <w:rPr>
          <w:rFonts w:ascii="Arial" w:cs="Arial" w:eastAsia="Arial" w:hAnsi="Arial"/>
          <w:sz w:val="18"/>
          <w:szCs w:val="18"/>
          <w:b w:val="1"/>
          <w:bCs w:val="1"/>
          <w:color w:val="auto"/>
        </w:rPr>
      </w:pPr>
    </w:p>
    <w:p>
      <w:pPr>
        <w:ind w:left="1440" w:hanging="352"/>
        <w:spacing w:after="0"/>
        <w:tabs>
          <w:tab w:leader="none" w:pos="14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Use of Estimates in Preparation of Financial Statements</w:t>
      </w:r>
    </w:p>
    <w:p>
      <w:pPr>
        <w:spacing w:after="0" w:line="202" w:lineRule="exact"/>
        <w:rPr>
          <w:rFonts w:ascii="Arial" w:cs="Arial" w:eastAsia="Arial" w:hAnsi="Arial"/>
          <w:sz w:val="18"/>
          <w:szCs w:val="18"/>
          <w:b w:val="1"/>
          <w:bCs w:val="1"/>
          <w:color w:val="auto"/>
        </w:rPr>
      </w:pPr>
    </w:p>
    <w:p>
      <w:pPr>
        <w:jc w:val="both"/>
        <w:ind w:left="14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preparation of financial statements in conformity with GAAP requires the Company to make estimates and assumptions that affect the reported amounts of assets and liabilities, affect the disclosure of contingent assets and liabilities as of the date of the financial statements, and affect the reported amounts of revenues and expenses during the reporting periods. Actual results could differ from those estimates.</w:t>
      </w:r>
    </w:p>
    <w:p>
      <w:pPr>
        <w:spacing w:after="0" w:line="169" w:lineRule="exact"/>
        <w:rPr>
          <w:rFonts w:ascii="Arial" w:cs="Arial" w:eastAsia="Arial" w:hAnsi="Arial"/>
          <w:sz w:val="18"/>
          <w:szCs w:val="18"/>
          <w:b w:val="1"/>
          <w:bCs w:val="1"/>
          <w:color w:val="auto"/>
        </w:rPr>
      </w:pPr>
    </w:p>
    <w:p>
      <w:pPr>
        <w:ind w:left="1440" w:hanging="352"/>
        <w:spacing w:after="0"/>
        <w:tabs>
          <w:tab w:leader="none" w:pos="14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Principles of Consolidation</w:t>
      </w:r>
    </w:p>
    <w:p>
      <w:pPr>
        <w:spacing w:after="0" w:line="215" w:lineRule="exact"/>
        <w:rPr>
          <w:rFonts w:ascii="Arial" w:cs="Arial" w:eastAsia="Arial" w:hAnsi="Arial"/>
          <w:sz w:val="18"/>
          <w:szCs w:val="18"/>
          <w:b w:val="1"/>
          <w:bCs w:val="1"/>
          <w:color w:val="auto"/>
        </w:rPr>
      </w:pPr>
    </w:p>
    <w:p>
      <w:pPr>
        <w:ind w:left="144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Company’s consolidated financial statements include the financial statements of Tower and its subsidiaries. The Company’s consolidated financial statements are presented after elimination of inter-company transactions and balances.</w:t>
      </w:r>
    </w:p>
    <w:p>
      <w:pPr>
        <w:spacing w:after="0" w:line="139" w:lineRule="exact"/>
        <w:rPr>
          <w:rFonts w:ascii="Arial" w:cs="Arial" w:eastAsia="Arial" w:hAnsi="Arial"/>
          <w:sz w:val="18"/>
          <w:szCs w:val="18"/>
          <w:b w:val="1"/>
          <w:bCs w:val="1"/>
          <w:color w:val="auto"/>
        </w:rPr>
      </w:pPr>
    </w:p>
    <w:p>
      <w:pPr>
        <w:ind w:left="1440" w:hanging="352"/>
        <w:spacing w:after="0"/>
        <w:tabs>
          <w:tab w:leader="none" w:pos="14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Cash and Cash Equivalents</w:t>
      </w:r>
    </w:p>
    <w:p>
      <w:pPr>
        <w:spacing w:after="0" w:line="215" w:lineRule="exact"/>
        <w:rPr>
          <w:rFonts w:ascii="Arial" w:cs="Arial" w:eastAsia="Arial" w:hAnsi="Arial"/>
          <w:sz w:val="18"/>
          <w:szCs w:val="18"/>
          <w:b w:val="1"/>
          <w:bCs w:val="1"/>
          <w:color w:val="auto"/>
        </w:rPr>
      </w:pPr>
    </w:p>
    <w:p>
      <w:pPr>
        <w:ind w:left="14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Cash and cash equivalents consist of cash, bank deposits, money market funds and short-term investments with insignificant interest rate risk and original maturities of three months or less.</w:t>
      </w:r>
    </w:p>
    <w:p>
      <w:pPr>
        <w:spacing w:after="0" w:line="152" w:lineRule="exact"/>
        <w:rPr>
          <w:rFonts w:ascii="Arial" w:cs="Arial" w:eastAsia="Arial" w:hAnsi="Arial"/>
          <w:sz w:val="18"/>
          <w:szCs w:val="18"/>
          <w:b w:val="1"/>
          <w:bCs w:val="1"/>
          <w:color w:val="auto"/>
        </w:rPr>
      </w:pPr>
    </w:p>
    <w:p>
      <w:pPr>
        <w:ind w:left="1440" w:hanging="352"/>
        <w:spacing w:after="0"/>
        <w:tabs>
          <w:tab w:leader="none" w:pos="14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Short-Term Interest-Bearing Deposits</w:t>
      </w:r>
    </w:p>
    <w:p>
      <w:pPr>
        <w:spacing w:after="0" w:line="202" w:lineRule="exact"/>
        <w:rPr>
          <w:rFonts w:ascii="Arial" w:cs="Arial" w:eastAsia="Arial" w:hAnsi="Arial"/>
          <w:sz w:val="18"/>
          <w:szCs w:val="18"/>
          <w:b w:val="1"/>
          <w:bCs w:val="1"/>
          <w:color w:val="auto"/>
        </w:rPr>
      </w:pPr>
    </w:p>
    <w:p>
      <w:pPr>
        <w:ind w:left="14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Short-term deposits include bank deposits with original maturities greater than three months and with remaining maturities of less than one year. Such deposits are presented at cost, including accrued interest, which approximates their fair value.</w:t>
      </w:r>
    </w:p>
    <w:p>
      <w:pPr>
        <w:spacing w:after="0" w:line="152" w:lineRule="exact"/>
        <w:rPr>
          <w:rFonts w:ascii="Arial" w:cs="Arial" w:eastAsia="Arial" w:hAnsi="Arial"/>
          <w:sz w:val="18"/>
          <w:szCs w:val="18"/>
          <w:b w:val="1"/>
          <w:bCs w:val="1"/>
          <w:color w:val="auto"/>
        </w:rPr>
      </w:pPr>
    </w:p>
    <w:p>
      <w:pPr>
        <w:ind w:left="1440" w:hanging="352"/>
        <w:spacing w:after="0"/>
        <w:tabs>
          <w:tab w:leader="none" w:pos="14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Marketable securities</w:t>
      </w:r>
    </w:p>
    <w:p>
      <w:pPr>
        <w:spacing w:after="0" w:line="215" w:lineRule="exact"/>
        <w:rPr>
          <w:rFonts w:ascii="Arial" w:cs="Arial" w:eastAsia="Arial" w:hAnsi="Arial"/>
          <w:sz w:val="18"/>
          <w:szCs w:val="18"/>
          <w:b w:val="1"/>
          <w:bCs w:val="1"/>
          <w:color w:val="auto"/>
        </w:rPr>
      </w:pPr>
    </w:p>
    <w:p>
      <w:pPr>
        <w:jc w:val="both"/>
        <w:ind w:left="14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Company accounts for its investments in investment grade debt securities in accordance with ASC 320 "</w:t>
      </w:r>
      <w:r>
        <w:rPr>
          <w:rFonts w:ascii="Arial" w:cs="Arial" w:eastAsia="Arial" w:hAnsi="Arial"/>
          <w:sz w:val="18"/>
          <w:szCs w:val="18"/>
          <w:i w:val="1"/>
          <w:iCs w:val="1"/>
          <w:color w:val="auto"/>
        </w:rPr>
        <w:t>Investments - Debt and</w:t>
      </w:r>
      <w:r>
        <w:rPr>
          <w:rFonts w:ascii="Arial" w:cs="Arial" w:eastAsia="Arial" w:hAnsi="Arial"/>
          <w:sz w:val="18"/>
          <w:szCs w:val="18"/>
          <w:color w:val="auto"/>
        </w:rPr>
        <w:t xml:space="preserve"> </w:t>
      </w:r>
      <w:r>
        <w:rPr>
          <w:rFonts w:ascii="Arial" w:cs="Arial" w:eastAsia="Arial" w:hAnsi="Arial"/>
          <w:sz w:val="18"/>
          <w:szCs w:val="18"/>
          <w:i w:val="1"/>
          <w:iCs w:val="1"/>
          <w:color w:val="auto"/>
        </w:rPr>
        <w:t>Equity Securities"</w:t>
      </w:r>
      <w:r>
        <w:rPr>
          <w:rFonts w:ascii="Arial" w:cs="Arial" w:eastAsia="Arial" w:hAnsi="Arial"/>
          <w:sz w:val="18"/>
          <w:szCs w:val="18"/>
          <w:color w:val="auto"/>
        </w:rPr>
        <w:t>. Management determines the appropriate classification of its investments in debt securities at the time of 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and re-evaluates such determinations at each balance sheet date.</w:t>
      </w:r>
    </w:p>
    <w:p>
      <w:pPr>
        <w:spacing w:after="0" w:line="156" w:lineRule="exact"/>
        <w:rPr>
          <w:rFonts w:ascii="Arial" w:cs="Arial" w:eastAsia="Arial" w:hAnsi="Arial"/>
          <w:sz w:val="18"/>
          <w:szCs w:val="18"/>
          <w:b w:val="1"/>
          <w:bCs w:val="1"/>
          <w:color w:val="auto"/>
        </w:rPr>
      </w:pPr>
    </w:p>
    <w:p>
      <w:pPr>
        <w:jc w:val="both"/>
        <w:ind w:left="144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Marketable securities are classified as "available-for-sale", and are measured at fair value, based on quoted market prices. Unrealized gains and losses are reported in a separate component of shareholders' equity in accumulated other comprehensive income (“OCI”). Gains and losses are recognized when realized, on a specific identification basis, in the Company's consolidated statements of income.</w:t>
      </w:r>
    </w:p>
    <w:p>
      <w:pPr>
        <w:spacing w:after="0" w:line="135" w:lineRule="exact"/>
        <w:rPr>
          <w:rFonts w:ascii="Arial" w:cs="Arial" w:eastAsia="Arial" w:hAnsi="Arial"/>
          <w:sz w:val="18"/>
          <w:szCs w:val="18"/>
          <w:b w:val="1"/>
          <w:bCs w:val="1"/>
          <w:color w:val="auto"/>
        </w:rPr>
      </w:pPr>
    </w:p>
    <w:p>
      <w:pPr>
        <w:jc w:val="both"/>
        <w:ind w:left="14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Following the adoption of ASC 326 in January 2020, current expected credit losses on the Company’s marketable grade debt securities are recorded, if expected, through an allowance for current expected credit losses and recognized in “other income (expense), net” on the consolidated statements of operations. The amount of allowance for current expected credit losses is limited to the amount that the fair value is less than the amortized cost basis. Any remaining unrealized losses are included in accumulated other comprehensive loss in shareholders’ equity. See also X below.</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193" w:lineRule="exact"/>
        <w:rPr>
          <w:sz w:val="20"/>
          <w:szCs w:val="20"/>
          <w:color w:val="auto"/>
        </w:rPr>
      </w:pPr>
    </w:p>
    <w:p>
      <w:pPr>
        <w:spacing w:after="0"/>
        <w:tabs>
          <w:tab w:leader="none" w:pos="820" w:val="left"/>
          <w:tab w:leader="none" w:pos="1060" w:val="left"/>
        </w:tabs>
        <w:rPr>
          <w:sz w:val="20"/>
          <w:szCs w:val="20"/>
          <w:color w:val="auto"/>
        </w:rPr>
      </w:pPr>
      <w:r>
        <w:rPr>
          <w:rFonts w:ascii="Arial" w:cs="Arial" w:eastAsia="Arial" w:hAnsi="Arial"/>
          <w:sz w:val="18"/>
          <w:szCs w:val="18"/>
          <w:b w:val="1"/>
          <w:bCs w:val="1"/>
          <w:color w:val="auto"/>
        </w:rPr>
        <w:t>NOTE 2</w:t>
        <w:tab/>
        <w:t>-</w:t>
        <w:tab/>
        <w:t>SUMMARY OF SIGNIFICANT ACCOUNTING POLICIES (Cont.)</w:t>
      </w:r>
    </w:p>
    <w:p>
      <w:pPr>
        <w:spacing w:after="0" w:line="198" w:lineRule="exact"/>
        <w:rPr>
          <w:sz w:val="20"/>
          <w:szCs w:val="20"/>
          <w:color w:val="auto"/>
        </w:rPr>
      </w:pPr>
    </w:p>
    <w:p>
      <w:pPr>
        <w:ind w:left="1440" w:hanging="352"/>
        <w:spacing w:after="0"/>
        <w:tabs>
          <w:tab w:leader="none" w:pos="14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Marketable securities (Cont.)</w:t>
      </w:r>
    </w:p>
    <w:p>
      <w:pPr>
        <w:spacing w:after="0" w:line="215" w:lineRule="exact"/>
        <w:rPr>
          <w:rFonts w:ascii="Arial" w:cs="Arial" w:eastAsia="Arial" w:hAnsi="Arial"/>
          <w:sz w:val="18"/>
          <w:szCs w:val="18"/>
          <w:b w:val="1"/>
          <w:bCs w:val="1"/>
          <w:color w:val="auto"/>
        </w:rPr>
      </w:pPr>
    </w:p>
    <w:p>
      <w:pPr>
        <w:jc w:val="both"/>
        <w:ind w:left="14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If the Company intends to sell the debt security (that is, it has decided to sell the security), or more likely than not will be required to sell the security before recovery of its amortized cost basis, any allowance for current expected credit losses is written off and the amortized cost basis shall be written down to the debt security’s fair value at the reporting date with any incremental impairment reported in earnings. The Company concluded that the current expected credit losses on its available for sale investment portfolio were immaterial.</w:t>
      </w:r>
    </w:p>
    <w:p>
      <w:pPr>
        <w:spacing w:after="0" w:line="170" w:lineRule="exact"/>
        <w:rPr>
          <w:rFonts w:ascii="Arial" w:cs="Arial" w:eastAsia="Arial" w:hAnsi="Arial"/>
          <w:sz w:val="18"/>
          <w:szCs w:val="18"/>
          <w:b w:val="1"/>
          <w:bCs w:val="1"/>
          <w:color w:val="auto"/>
        </w:rPr>
      </w:pPr>
    </w:p>
    <w:p>
      <w:pPr>
        <w:ind w:left="1440" w:hanging="352"/>
        <w:spacing w:after="0"/>
        <w:tabs>
          <w:tab w:leader="none" w:pos="14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Trade Accounts Receivables - Allowance for Expected Credit Loss</w:t>
      </w:r>
    </w:p>
    <w:p>
      <w:pPr>
        <w:spacing w:after="0" w:line="202" w:lineRule="exact"/>
        <w:rPr>
          <w:rFonts w:ascii="Arial" w:cs="Arial" w:eastAsia="Arial" w:hAnsi="Arial"/>
          <w:sz w:val="18"/>
          <w:szCs w:val="18"/>
          <w:b w:val="1"/>
          <w:bCs w:val="1"/>
          <w:color w:val="auto"/>
        </w:rPr>
      </w:pPr>
    </w:p>
    <w:p>
      <w:pPr>
        <w:jc w:val="both"/>
        <w:ind w:left="144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The Company maintains an allowance based on specific analysis of each customer account receivable’s aging, assessment of its related risk and ability of the customer to make the required payment. In addition, following the adoption of ASC 326 in January 2020 (see X below), an allowance is maintained for estimated forward-looking losses resulting from possible inability of customers to make required payments (current expected losses). The amount of the allowance is determined principally on the basis of past collection experience and known financial factors regarding specific customers. Trade accounts receivables are written off against the allowance when it becomes evident that collection will not occur. Credit is extended to customers satisfying pre-defined credit criteria.</w:t>
      </w:r>
    </w:p>
    <w:p>
      <w:pPr>
        <w:spacing w:after="0" w:line="150" w:lineRule="exact"/>
        <w:rPr>
          <w:rFonts w:ascii="Arial" w:cs="Arial" w:eastAsia="Arial" w:hAnsi="Arial"/>
          <w:sz w:val="18"/>
          <w:szCs w:val="18"/>
          <w:b w:val="1"/>
          <w:bCs w:val="1"/>
          <w:color w:val="auto"/>
        </w:rPr>
      </w:pPr>
    </w:p>
    <w:p>
      <w:pPr>
        <w:jc w:val="both"/>
        <w:ind w:left="14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As of December 31, 2020, the Company’s total allowance for expected credit loss was $1,065, of which $385 has been recorded following the adoption of ASC 326 effective from January 1, 2020, with $358 recognized as an adoption adjustment to retained earnings. As of December 31, 2019, the allowance was $10,925, see Note 14F for more details.</w:t>
      </w:r>
    </w:p>
    <w:p>
      <w:pPr>
        <w:spacing w:after="0" w:line="166" w:lineRule="exact"/>
        <w:rPr>
          <w:rFonts w:ascii="Arial" w:cs="Arial" w:eastAsia="Arial" w:hAnsi="Arial"/>
          <w:sz w:val="18"/>
          <w:szCs w:val="18"/>
          <w:b w:val="1"/>
          <w:bCs w:val="1"/>
          <w:color w:val="auto"/>
        </w:rPr>
      </w:pPr>
    </w:p>
    <w:p>
      <w:pPr>
        <w:ind w:left="1440" w:hanging="352"/>
        <w:spacing w:after="0"/>
        <w:tabs>
          <w:tab w:leader="none" w:pos="14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Trade Accounts Receivables - Factoring</w:t>
      </w:r>
    </w:p>
    <w:p>
      <w:pPr>
        <w:spacing w:after="0" w:line="202" w:lineRule="exact"/>
        <w:rPr>
          <w:rFonts w:ascii="Arial" w:cs="Arial" w:eastAsia="Arial" w:hAnsi="Arial"/>
          <w:sz w:val="18"/>
          <w:szCs w:val="18"/>
          <w:b w:val="1"/>
          <w:bCs w:val="1"/>
          <w:color w:val="auto"/>
        </w:rPr>
      </w:pPr>
    </w:p>
    <w:p>
      <w:pPr>
        <w:jc w:val="both"/>
        <w:ind w:left="1440" w:right="2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From time to time, the Company uses non-recourse factoring arrangements, to sell accounts receivable to third-party financial institutions. The sale of the receivables in these arrangements are accounted for as a true sale, under ASC 860. Total accounts receivables factoring was $0 and $12,989 as of December 31, 2020 and 2019 respectively.</w:t>
      </w:r>
    </w:p>
    <w:p>
      <w:pPr>
        <w:spacing w:after="0" w:line="166" w:lineRule="exact"/>
        <w:rPr>
          <w:rFonts w:ascii="Arial" w:cs="Arial" w:eastAsia="Arial" w:hAnsi="Arial"/>
          <w:sz w:val="18"/>
          <w:szCs w:val="18"/>
          <w:b w:val="1"/>
          <w:bCs w:val="1"/>
          <w:color w:val="auto"/>
        </w:rPr>
      </w:pPr>
    </w:p>
    <w:p>
      <w:pPr>
        <w:ind w:left="1440" w:hanging="352"/>
        <w:spacing w:after="0"/>
        <w:tabs>
          <w:tab w:leader="none" w:pos="14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215" w:lineRule="exact"/>
        <w:rPr>
          <w:rFonts w:ascii="Arial" w:cs="Arial" w:eastAsia="Arial" w:hAnsi="Arial"/>
          <w:sz w:val="18"/>
          <w:szCs w:val="18"/>
          <w:b w:val="1"/>
          <w:bCs w:val="1"/>
          <w:color w:val="auto"/>
        </w:rPr>
      </w:pPr>
    </w:p>
    <w:p>
      <w:pPr>
        <w:jc w:val="both"/>
        <w:ind w:left="14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Inventories are stated at the lower of aggregate cost or net realizable value. If inventory costs exceed expected net realizable value, the Company records reserves for the difference between the cost and the expected net realizable value. Cost of raw materials is determined mainly on the basis of the weighted average moving price per unit. Work in progress is measured at production costs including acquisition costs, processing costs and other costs incurred in bringing the inventories to their present location in the production line and condition.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193" w:lineRule="exact"/>
        <w:rPr>
          <w:sz w:val="20"/>
          <w:szCs w:val="20"/>
          <w:color w:val="auto"/>
        </w:rPr>
      </w:pPr>
    </w:p>
    <w:p>
      <w:pPr>
        <w:spacing w:after="0"/>
        <w:tabs>
          <w:tab w:leader="none" w:pos="820" w:val="left"/>
          <w:tab w:leader="none" w:pos="1060" w:val="left"/>
        </w:tabs>
        <w:rPr>
          <w:sz w:val="20"/>
          <w:szCs w:val="20"/>
          <w:color w:val="auto"/>
        </w:rPr>
      </w:pPr>
      <w:r>
        <w:rPr>
          <w:rFonts w:ascii="Arial" w:cs="Arial" w:eastAsia="Arial" w:hAnsi="Arial"/>
          <w:sz w:val="18"/>
          <w:szCs w:val="18"/>
          <w:b w:val="1"/>
          <w:bCs w:val="1"/>
          <w:color w:val="auto"/>
        </w:rPr>
        <w:t>NOTE 2</w:t>
        <w:tab/>
        <w:t>-</w:t>
        <w:tab/>
        <w:t>SUMMARY OF SIGNIFICANT ACCOUNTING POLICIES (Cont.)</w:t>
      </w:r>
    </w:p>
    <w:p>
      <w:pPr>
        <w:spacing w:after="0" w:line="198" w:lineRule="exact"/>
        <w:rPr>
          <w:sz w:val="20"/>
          <w:szCs w:val="20"/>
          <w:color w:val="auto"/>
        </w:rPr>
      </w:pPr>
    </w:p>
    <w:p>
      <w:pPr>
        <w:ind w:left="1440" w:hanging="352"/>
        <w:spacing w:after="0"/>
        <w:tabs>
          <w:tab w:leader="none" w:pos="14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Privately-Held Companies</w:t>
      </w:r>
    </w:p>
    <w:p>
      <w:pPr>
        <w:spacing w:after="0" w:line="215" w:lineRule="exact"/>
        <w:rPr>
          <w:rFonts w:ascii="Arial" w:cs="Arial" w:eastAsia="Arial" w:hAnsi="Arial"/>
          <w:sz w:val="18"/>
          <w:szCs w:val="18"/>
          <w:b w:val="1"/>
          <w:bCs w:val="1"/>
          <w:color w:val="auto"/>
        </w:rPr>
      </w:pPr>
    </w:p>
    <w:p>
      <w:pPr>
        <w:jc w:val="both"/>
        <w:ind w:left="14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 xml:space="preserve">Long-term investments include equity investments in privately-held companies without readily determinable fair values. In accordance with ASC 321 - </w:t>
      </w:r>
      <w:r>
        <w:rPr>
          <w:rFonts w:ascii="Arial" w:cs="Arial" w:eastAsia="Arial" w:hAnsi="Arial"/>
          <w:sz w:val="18"/>
          <w:szCs w:val="18"/>
          <w:i w:val="1"/>
          <w:iCs w:val="1"/>
          <w:color w:val="auto"/>
        </w:rPr>
        <w:t>“Investments - Equity Securities</w:t>
      </w:r>
      <w:r>
        <w:rPr>
          <w:rFonts w:ascii="Arial" w:cs="Arial" w:eastAsia="Arial" w:hAnsi="Arial"/>
          <w:sz w:val="18"/>
          <w:szCs w:val="18"/>
          <w:color w:val="auto"/>
        </w:rPr>
        <w:t>”, the Company may elect between fair value and measurement alternative of cost, less impairments, and further adjust up or down, based on observable price changes in orderly transactions for identical or similar investments of the same issuer (“Measurement Alternative”). The Company elected to use the measurement alternative for each of its investments. Any adjustments resulting from impairments and/or observable price changes are recorded under “other income (expense), net” in the consolidated statements of operations.</w:t>
      </w:r>
    </w:p>
    <w:p>
      <w:pPr>
        <w:spacing w:after="0" w:line="174" w:lineRule="exact"/>
        <w:rPr>
          <w:rFonts w:ascii="Arial" w:cs="Arial" w:eastAsia="Arial" w:hAnsi="Arial"/>
          <w:sz w:val="18"/>
          <w:szCs w:val="18"/>
          <w:b w:val="1"/>
          <w:bCs w:val="1"/>
          <w:color w:val="auto"/>
        </w:rPr>
      </w:pPr>
    </w:p>
    <w:p>
      <w:pPr>
        <w:ind w:left="1440" w:hanging="352"/>
        <w:spacing w:after="0"/>
        <w:tabs>
          <w:tab w:leader="none" w:pos="14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202" w:lineRule="exact"/>
        <w:rPr>
          <w:rFonts w:ascii="Arial" w:cs="Arial" w:eastAsia="Arial" w:hAnsi="Arial"/>
          <w:sz w:val="18"/>
          <w:szCs w:val="18"/>
          <w:b w:val="1"/>
          <w:bCs w:val="1"/>
          <w:color w:val="auto"/>
        </w:rPr>
      </w:pPr>
    </w:p>
    <w:p>
      <w:pPr>
        <w:jc w:val="both"/>
        <w:ind w:left="1440"/>
        <w:spacing w:after="0" w:line="301" w:lineRule="auto"/>
        <w:rPr>
          <w:rFonts w:ascii="Arial" w:cs="Arial" w:eastAsia="Arial" w:hAnsi="Arial"/>
          <w:sz w:val="18"/>
          <w:szCs w:val="18"/>
          <w:b w:val="1"/>
          <w:bCs w:val="1"/>
          <w:color w:val="auto"/>
        </w:rPr>
      </w:pPr>
      <w:r>
        <w:rPr>
          <w:rFonts w:ascii="Arial" w:cs="Arial" w:eastAsia="Arial" w:hAnsi="Arial"/>
          <w:sz w:val="16"/>
          <w:szCs w:val="16"/>
          <w:color w:val="auto"/>
        </w:rPr>
        <w:t xml:space="preserve">The Company accounts for property and equipment in accordance with Accounting Standards Codification ASC 360 </w:t>
      </w:r>
      <w:r>
        <w:rPr>
          <w:rFonts w:ascii="Arial" w:cs="Arial" w:eastAsia="Arial" w:hAnsi="Arial"/>
          <w:sz w:val="16"/>
          <w:szCs w:val="16"/>
          <w:i w:val="1"/>
          <w:iCs w:val="1"/>
          <w:color w:val="auto"/>
        </w:rPr>
        <w:t>“Accounting for</w:t>
      </w:r>
      <w:r>
        <w:rPr>
          <w:rFonts w:ascii="Arial" w:cs="Arial" w:eastAsia="Arial" w:hAnsi="Arial"/>
          <w:sz w:val="16"/>
          <w:szCs w:val="16"/>
          <w:color w:val="auto"/>
        </w:rPr>
        <w:t xml:space="preserve"> </w:t>
      </w:r>
      <w:r>
        <w:rPr>
          <w:rFonts w:ascii="Arial" w:cs="Arial" w:eastAsia="Arial" w:hAnsi="Arial"/>
          <w:sz w:val="16"/>
          <w:szCs w:val="16"/>
          <w:i w:val="1"/>
          <w:iCs w:val="1"/>
          <w:color w:val="auto"/>
        </w:rPr>
        <w:t>the Property, Plant and Equipment”</w:t>
      </w:r>
      <w:r>
        <w:rPr>
          <w:rFonts w:ascii="Arial" w:cs="Arial" w:eastAsia="Arial" w:hAnsi="Arial"/>
          <w:sz w:val="16"/>
          <w:szCs w:val="16"/>
          <w:color w:val="auto"/>
        </w:rPr>
        <w:t>. Property and equipment are presented at cost, including capitalizable costs. Capitalizable costs</w:t>
      </w:r>
      <w:r>
        <w:rPr>
          <w:rFonts w:ascii="Arial" w:cs="Arial" w:eastAsia="Arial" w:hAnsi="Arial"/>
          <w:sz w:val="16"/>
          <w:szCs w:val="16"/>
          <w:i w:val="1"/>
          <w:iCs w:val="1"/>
          <w:color w:val="auto"/>
        </w:rPr>
        <w:t xml:space="preserve"> </w:t>
      </w:r>
      <w:r>
        <w:rPr>
          <w:rFonts w:ascii="Arial" w:cs="Arial" w:eastAsia="Arial" w:hAnsi="Arial"/>
          <w:sz w:val="16"/>
          <w:szCs w:val="16"/>
          <w:color w:val="auto"/>
        </w:rPr>
        <w:t>include only costs that are identifiable with, and related to, the property and equipment, and are incurred prior to their initial operation. Identifiable incremental direct costs include costs associated with constructing, establishing and installing property and equipment.</w:t>
      </w:r>
    </w:p>
    <w:p>
      <w:pPr>
        <w:spacing w:after="0" w:line="143" w:lineRule="exact"/>
        <w:rPr>
          <w:rFonts w:ascii="Arial" w:cs="Arial" w:eastAsia="Arial" w:hAnsi="Arial"/>
          <w:sz w:val="18"/>
          <w:szCs w:val="18"/>
          <w:b w:val="1"/>
          <w:bCs w:val="1"/>
          <w:color w:val="auto"/>
        </w:rPr>
      </w:pPr>
    </w:p>
    <w:p>
      <w:pPr>
        <w:ind w:left="1440"/>
        <w:spacing w:after="0"/>
        <w:rPr>
          <w:rFonts w:ascii="Arial" w:cs="Arial" w:eastAsia="Arial" w:hAnsi="Arial"/>
          <w:sz w:val="18"/>
          <w:szCs w:val="18"/>
          <w:b w:val="1"/>
          <w:bCs w:val="1"/>
          <w:color w:val="auto"/>
        </w:rPr>
      </w:pPr>
      <w:r>
        <w:rPr>
          <w:rFonts w:ascii="Arial" w:cs="Arial" w:eastAsia="Arial" w:hAnsi="Arial"/>
          <w:sz w:val="18"/>
          <w:szCs w:val="18"/>
          <w:color w:val="auto"/>
        </w:rPr>
        <w:t>Maintenance and repairs are charged to expenses as incurred.</w:t>
      </w:r>
    </w:p>
    <w:p>
      <w:pPr>
        <w:spacing w:after="0" w:line="212"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Property and equipment are presented net of investment grants received and less accumulated depreciation.</w:t>
      </w:r>
    </w:p>
    <w:p>
      <w:pPr>
        <w:spacing w:after="0" w:line="198" w:lineRule="exact"/>
        <w:rPr>
          <w:sz w:val="20"/>
          <w:szCs w:val="20"/>
          <w:color w:val="auto"/>
        </w:rPr>
      </w:pPr>
    </w:p>
    <w:p>
      <w:pPr>
        <w:ind w:left="1440"/>
        <w:spacing w:after="0"/>
        <w:rPr>
          <w:sz w:val="20"/>
          <w:szCs w:val="20"/>
          <w:color w:val="auto"/>
        </w:rPr>
      </w:pPr>
      <w:r>
        <w:rPr>
          <w:rFonts w:ascii="Arial" w:cs="Arial" w:eastAsia="Arial" w:hAnsi="Arial"/>
          <w:sz w:val="17"/>
          <w:szCs w:val="17"/>
          <w:color w:val="auto"/>
        </w:rPr>
        <w:t>Depreciation is calculated based on the straight-line method over the Company’s estimated useful lives of the assets, as follows:</w:t>
      </w:r>
    </w:p>
    <w:p>
      <w:pPr>
        <w:spacing w:after="0" w:line="224"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Buildings and building improvements, including facility infrastructure</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 years</w:t>
            </w:r>
          </w:p>
        </w:tc>
      </w:tr>
      <w:tr>
        <w:trPr>
          <w:trHeight w:val="230"/>
        </w:trPr>
        <w:tc>
          <w:tcPr>
            <w:tcW w:w="20" w:type="dxa"/>
            <w:vAlign w:val="bottom"/>
          </w:tcPr>
          <w:p>
            <w:pPr>
              <w:spacing w:after="0"/>
              <w:rPr>
                <w:sz w:val="20"/>
                <w:szCs w:val="20"/>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Machinery and equipment, software and hardware</w:t>
            </w:r>
          </w:p>
        </w:tc>
        <w:tc>
          <w:tcPr>
            <w:tcW w:w="2160" w:type="dxa"/>
            <w:vAlign w:val="bottom"/>
          </w:tcPr>
          <w:p>
            <w:pPr>
              <w:jc w:val="right"/>
              <w:spacing w:after="0"/>
              <w:rPr>
                <w:sz w:val="20"/>
                <w:szCs w:val="20"/>
                <w:color w:val="auto"/>
              </w:rPr>
            </w:pPr>
            <w:r>
              <w:rPr>
                <w:rFonts w:ascii="Arial" w:cs="Arial" w:eastAsia="Arial" w:hAnsi="Arial"/>
                <w:sz w:val="18"/>
                <w:szCs w:val="18"/>
                <w:color w:val="auto"/>
              </w:rPr>
              <w:t>3-15 years</w:t>
            </w:r>
          </w:p>
        </w:tc>
      </w:tr>
      <w:tr>
        <w:trPr>
          <w:trHeight w:val="391"/>
        </w:trPr>
        <w:tc>
          <w:tcPr>
            <w:tcW w:w="7640" w:type="dxa"/>
            <w:vAlign w:val="bottom"/>
            <w:gridSpan w:val="2"/>
          </w:tcPr>
          <w:p>
            <w:pPr>
              <w:spacing w:after="0"/>
              <w:rPr>
                <w:sz w:val="20"/>
                <w:szCs w:val="20"/>
                <w:color w:val="auto"/>
              </w:rPr>
            </w:pPr>
            <w:r>
              <w:rPr>
                <w:rFonts w:ascii="Arial" w:cs="Arial" w:eastAsia="Arial" w:hAnsi="Arial"/>
                <w:sz w:val="18"/>
                <w:szCs w:val="18"/>
                <w:color w:val="auto"/>
              </w:rPr>
              <w:t>Impairment charges, if needed, are determined based on the policy outlined in M below.</w:t>
            </w:r>
          </w:p>
        </w:tc>
        <w:tc>
          <w:tcPr>
            <w:tcW w:w="2160" w:type="dxa"/>
            <w:vAlign w:val="bottom"/>
          </w:tcPr>
          <w:p>
            <w:pPr>
              <w:spacing w:after="0"/>
              <w:rPr>
                <w:sz w:val="24"/>
                <w:szCs w:val="24"/>
                <w:color w:val="auto"/>
              </w:rPr>
            </w:pPr>
          </w:p>
        </w:tc>
      </w:tr>
    </w:tbl>
    <w:p>
      <w:pPr>
        <w:spacing w:after="0" w:line="188" w:lineRule="exact"/>
        <w:rPr>
          <w:sz w:val="20"/>
          <w:szCs w:val="20"/>
          <w:color w:val="auto"/>
        </w:rPr>
      </w:pPr>
    </w:p>
    <w:p>
      <w:pPr>
        <w:ind w:left="1440"/>
        <w:spacing w:after="0"/>
        <w:rPr>
          <w:sz w:val="20"/>
          <w:szCs w:val="20"/>
          <w:color w:val="auto"/>
        </w:rPr>
      </w:pPr>
      <w:r>
        <w:rPr>
          <w:rFonts w:ascii="Arial" w:cs="Arial" w:eastAsia="Arial" w:hAnsi="Arial"/>
          <w:sz w:val="17"/>
          <w:szCs w:val="17"/>
          <w:color w:val="auto"/>
        </w:rPr>
        <w:t>Property and equipment also include assets under capital leases, which are depreciated according to their applicable useful life.</w:t>
      </w:r>
    </w:p>
    <w:p>
      <w:pPr>
        <w:spacing w:after="0" w:line="219" w:lineRule="exact"/>
        <w:rPr>
          <w:sz w:val="20"/>
          <w:szCs w:val="20"/>
          <w:color w:val="auto"/>
        </w:rPr>
      </w:pPr>
    </w:p>
    <w:p>
      <w:pPr>
        <w:ind w:left="1440" w:hanging="352"/>
        <w:spacing w:after="0"/>
        <w:tabs>
          <w:tab w:leader="none" w:pos="14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and Goodwill</w:t>
      </w:r>
    </w:p>
    <w:p>
      <w:pPr>
        <w:spacing w:after="0" w:line="202" w:lineRule="exact"/>
        <w:rPr>
          <w:rFonts w:ascii="Arial" w:cs="Arial" w:eastAsia="Arial" w:hAnsi="Arial"/>
          <w:sz w:val="18"/>
          <w:szCs w:val="18"/>
          <w:b w:val="1"/>
          <w:bCs w:val="1"/>
          <w:color w:val="auto"/>
        </w:rPr>
      </w:pPr>
    </w:p>
    <w:p>
      <w:pPr>
        <w:jc w:val="both"/>
        <w:ind w:left="14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Company accounts for intangible assets and goodwill in accordance with ASC 350 “</w:t>
      </w:r>
      <w:r>
        <w:rPr>
          <w:rFonts w:ascii="Arial" w:cs="Arial" w:eastAsia="Arial" w:hAnsi="Arial"/>
          <w:sz w:val="18"/>
          <w:szCs w:val="18"/>
          <w:i w:val="1"/>
          <w:iCs w:val="1"/>
          <w:color w:val="auto"/>
        </w:rPr>
        <w:t>Intangibles-Goodwill and Other</w:t>
      </w:r>
      <w:r>
        <w:rPr>
          <w:rFonts w:ascii="Arial" w:cs="Arial" w:eastAsia="Arial" w:hAnsi="Arial"/>
          <w:sz w:val="18"/>
          <w:szCs w:val="18"/>
          <w:color w:val="auto"/>
        </w:rPr>
        <w:t>”. Intangible assets include the values assigned to the intangible assets as part of the purchase price allocation made at the time of acquisition. Intangible assets are amortized over the expected estimated economic life of the intangible assets commonly used in the industry. Goodwill is not amortized and subject to impairment testing. Impairment charges on intangibles or goodwill, if needed, are determined based on the policy outlined in M below.</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193" w:lineRule="exact"/>
        <w:rPr>
          <w:sz w:val="20"/>
          <w:szCs w:val="20"/>
          <w:color w:val="auto"/>
        </w:rPr>
      </w:pPr>
    </w:p>
    <w:p>
      <w:pPr>
        <w:spacing w:after="0"/>
        <w:tabs>
          <w:tab w:leader="none" w:pos="820" w:val="left"/>
          <w:tab w:leader="none" w:pos="1060" w:val="left"/>
        </w:tabs>
        <w:rPr>
          <w:sz w:val="20"/>
          <w:szCs w:val="20"/>
          <w:color w:val="auto"/>
        </w:rPr>
      </w:pPr>
      <w:r>
        <w:rPr>
          <w:rFonts w:ascii="Arial" w:cs="Arial" w:eastAsia="Arial" w:hAnsi="Arial"/>
          <w:sz w:val="18"/>
          <w:szCs w:val="18"/>
          <w:b w:val="1"/>
          <w:bCs w:val="1"/>
          <w:color w:val="auto"/>
        </w:rPr>
        <w:t>NOTE 2</w:t>
        <w:tab/>
        <w:t>-</w:t>
        <w:tab/>
        <w:t>SUMMARY OF SIGNIFICANT ACCOUNTING POLICIES (Cont.)</w:t>
      </w:r>
    </w:p>
    <w:p>
      <w:pPr>
        <w:spacing w:after="0" w:line="198" w:lineRule="exact"/>
        <w:rPr>
          <w:sz w:val="20"/>
          <w:szCs w:val="20"/>
          <w:color w:val="auto"/>
        </w:rPr>
      </w:pPr>
    </w:p>
    <w:p>
      <w:pPr>
        <w:ind w:left="1440" w:hanging="352"/>
        <w:spacing w:after="0"/>
        <w:tabs>
          <w:tab w:leader="none" w:pos="14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Impairment of Assets</w:t>
      </w:r>
    </w:p>
    <w:p>
      <w:pPr>
        <w:spacing w:after="0" w:line="215" w:lineRule="exact"/>
        <w:rPr>
          <w:rFonts w:ascii="Arial" w:cs="Arial" w:eastAsia="Arial" w:hAnsi="Arial"/>
          <w:sz w:val="18"/>
          <w:szCs w:val="18"/>
          <w:b w:val="1"/>
          <w:bCs w:val="1"/>
          <w:color w:val="auto"/>
        </w:rPr>
      </w:pPr>
    </w:p>
    <w:p>
      <w:pPr>
        <w:ind w:left="14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Impairment of Property, Equipment and Intangible Assets</w:t>
      </w:r>
    </w:p>
    <w:p>
      <w:pPr>
        <w:spacing w:after="0" w:line="23" w:lineRule="exact"/>
        <w:rPr>
          <w:rFonts w:ascii="Arial" w:cs="Arial" w:eastAsia="Arial" w:hAnsi="Arial"/>
          <w:sz w:val="18"/>
          <w:szCs w:val="18"/>
          <w:b w:val="1"/>
          <w:bCs w:val="1"/>
          <w:color w:val="auto"/>
        </w:rPr>
      </w:pPr>
    </w:p>
    <w:p>
      <w:pPr>
        <w:jc w:val="both"/>
        <w:ind w:left="144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The Company reviews long-lived assets and intangible assets on a periodic basis, as well as when such review is required based upon relevant circumstances, to determine whether events or changes in circumstances indicate that the carrying amount of such assets may not be recoverable, considering the undiscounted cash flows expected from them. If applicable, the Company recognizes an impairment loss based upon the difference between the carrying amount and the fair value of such assets, in accordance with ASC 360-10 “</w:t>
      </w:r>
      <w:r>
        <w:rPr>
          <w:rFonts w:ascii="Arial" w:cs="Arial" w:eastAsia="Arial" w:hAnsi="Arial"/>
          <w:sz w:val="18"/>
          <w:szCs w:val="18"/>
          <w:i w:val="1"/>
          <w:iCs w:val="1"/>
          <w:color w:val="auto"/>
        </w:rPr>
        <w:t>Property, Plant and Equipment</w:t>
      </w:r>
      <w:r>
        <w:rPr>
          <w:rFonts w:ascii="Arial" w:cs="Arial" w:eastAsia="Arial" w:hAnsi="Arial"/>
          <w:sz w:val="18"/>
          <w:szCs w:val="18"/>
          <w:color w:val="auto"/>
        </w:rPr>
        <w:t>”. As of December 31, 2020, the Company concluded there was no impairment to its long-lived assets and intangible assets.</w:t>
      </w:r>
    </w:p>
    <w:p>
      <w:pPr>
        <w:spacing w:after="0" w:line="180" w:lineRule="exact"/>
        <w:rPr>
          <w:rFonts w:ascii="Arial" w:cs="Arial" w:eastAsia="Arial" w:hAnsi="Arial"/>
          <w:sz w:val="18"/>
          <w:szCs w:val="18"/>
          <w:b w:val="1"/>
          <w:bCs w:val="1"/>
          <w:color w:val="auto"/>
        </w:rPr>
      </w:pPr>
    </w:p>
    <w:p>
      <w:pPr>
        <w:ind w:left="14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Impairment of Goodwill</w:t>
      </w:r>
    </w:p>
    <w:p>
      <w:pPr>
        <w:spacing w:after="0" w:line="23" w:lineRule="exact"/>
        <w:rPr>
          <w:rFonts w:ascii="Arial" w:cs="Arial" w:eastAsia="Arial" w:hAnsi="Arial"/>
          <w:sz w:val="18"/>
          <w:szCs w:val="18"/>
          <w:b w:val="1"/>
          <w:bCs w:val="1"/>
          <w:color w:val="auto"/>
        </w:rPr>
      </w:pPr>
    </w:p>
    <w:p>
      <w:pPr>
        <w:jc w:val="both"/>
        <w:ind w:left="1440"/>
        <w:spacing w:after="0" w:line="288" w:lineRule="auto"/>
        <w:rPr>
          <w:rFonts w:ascii="Arial" w:cs="Arial" w:eastAsia="Arial" w:hAnsi="Arial"/>
          <w:sz w:val="18"/>
          <w:szCs w:val="18"/>
          <w:b w:val="1"/>
          <w:bCs w:val="1"/>
          <w:color w:val="auto"/>
        </w:rPr>
      </w:pPr>
      <w:r>
        <w:rPr>
          <w:rFonts w:ascii="Arial" w:cs="Arial" w:eastAsia="Arial" w:hAnsi="Arial"/>
          <w:sz w:val="16"/>
          <w:szCs w:val="16"/>
          <w:color w:val="auto"/>
        </w:rPr>
        <w:t>The Company operates in one reporting unit. The Company performs a qualitative analysis when testing goodwill for impairment. A qualitative goodwill impairment test is performed when the fair value of a reporting unit historically has significantly exceeded the carrying value of its net assets and based on current operations is expected to continue to do so. Otherwise, the Company is required to conduct a quantitative impairment test and estimate the fair value of the reporting unit using a combination of an income approach based on discounted cash flow analysis and a market approach based on market multiples. If the fair value of a reporting unit is less than its carrying value, a goodwill impairment charge is recorded for the difference. As of December 31, 2020, the Company performed a qualitative impairment test for its reporting unit and concluded there was no impairment of goodwill, see also X below.</w:t>
      </w:r>
    </w:p>
    <w:p>
      <w:pPr>
        <w:spacing w:after="0" w:line="141" w:lineRule="exact"/>
        <w:rPr>
          <w:rFonts w:ascii="Arial" w:cs="Arial" w:eastAsia="Arial" w:hAnsi="Arial"/>
          <w:sz w:val="18"/>
          <w:szCs w:val="18"/>
          <w:b w:val="1"/>
          <w:bCs w:val="1"/>
          <w:color w:val="auto"/>
        </w:rPr>
      </w:pPr>
    </w:p>
    <w:p>
      <w:pPr>
        <w:ind w:left="14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Impairment of Investment in Privately-Held Companies</w:t>
      </w:r>
    </w:p>
    <w:p>
      <w:pPr>
        <w:spacing w:after="0" w:line="23" w:lineRule="exact"/>
        <w:rPr>
          <w:rFonts w:ascii="Arial" w:cs="Arial" w:eastAsia="Arial" w:hAnsi="Arial"/>
          <w:sz w:val="18"/>
          <w:szCs w:val="18"/>
          <w:b w:val="1"/>
          <w:bCs w:val="1"/>
          <w:color w:val="auto"/>
        </w:rPr>
      </w:pPr>
    </w:p>
    <w:p>
      <w:pPr>
        <w:ind w:left="1440"/>
        <w:spacing w:after="0"/>
        <w:rPr>
          <w:rFonts w:ascii="Arial" w:cs="Arial" w:eastAsia="Arial" w:hAnsi="Arial"/>
          <w:sz w:val="18"/>
          <w:szCs w:val="18"/>
          <w:b w:val="1"/>
          <w:bCs w:val="1"/>
          <w:color w:val="auto"/>
        </w:rPr>
      </w:pPr>
      <w:r>
        <w:rPr>
          <w:rFonts w:ascii="Arial" w:cs="Arial" w:eastAsia="Arial" w:hAnsi="Arial"/>
          <w:sz w:val="18"/>
          <w:szCs w:val="18"/>
          <w:color w:val="auto"/>
        </w:rPr>
        <w:t>The Company concluded there was no impairment to its investments in privately-held companies in 2020.</w:t>
      </w:r>
    </w:p>
    <w:p>
      <w:pPr>
        <w:spacing w:after="0" w:line="193" w:lineRule="exact"/>
        <w:rPr>
          <w:rFonts w:ascii="Arial" w:cs="Arial" w:eastAsia="Arial" w:hAnsi="Arial"/>
          <w:sz w:val="18"/>
          <w:szCs w:val="18"/>
          <w:b w:val="1"/>
          <w:bCs w:val="1"/>
          <w:color w:val="auto"/>
        </w:rPr>
      </w:pPr>
    </w:p>
    <w:p>
      <w:pPr>
        <w:ind w:left="1440" w:hanging="352"/>
        <w:spacing w:after="0"/>
        <w:tabs>
          <w:tab w:leader="none" w:pos="14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15" w:lineRule="exact"/>
        <w:rPr>
          <w:rFonts w:ascii="Arial" w:cs="Arial" w:eastAsia="Arial" w:hAnsi="Arial"/>
          <w:sz w:val="18"/>
          <w:szCs w:val="18"/>
          <w:b w:val="1"/>
          <w:bCs w:val="1"/>
          <w:color w:val="auto"/>
        </w:rPr>
      </w:pPr>
    </w:p>
    <w:p>
      <w:pPr>
        <w:jc w:val="both"/>
        <w:ind w:left="144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 xml:space="preserve">On January 1, 2019, the Company adopted the new leasing standard </w:t>
      </w:r>
      <w:r>
        <w:rPr>
          <w:rFonts w:ascii="Arial" w:cs="Arial" w:eastAsia="Arial" w:hAnsi="Arial"/>
          <w:sz w:val="17"/>
          <w:szCs w:val="17"/>
          <w:i w:val="1"/>
          <w:iCs w:val="1"/>
          <w:color w:val="auto"/>
        </w:rPr>
        <w:t>“Leases”(“ASC 842”)</w:t>
      </w:r>
      <w:r>
        <w:rPr>
          <w:rFonts w:ascii="Arial" w:cs="Arial" w:eastAsia="Arial" w:hAnsi="Arial"/>
          <w:sz w:val="17"/>
          <w:szCs w:val="17"/>
          <w:color w:val="auto"/>
        </w:rPr>
        <w:t>, which requires lessees to recognize a right-of-use (“ROU”) asset and a lease liability for all operating and capital leases with a term greater than twelve months and also requires disclosures by lessees and lessors about the amount, timing and uncertainty of cash flows arising from leases.</w:t>
      </w:r>
    </w:p>
    <w:p>
      <w:pPr>
        <w:spacing w:after="0" w:line="138" w:lineRule="exact"/>
        <w:rPr>
          <w:rFonts w:ascii="Arial" w:cs="Arial" w:eastAsia="Arial" w:hAnsi="Arial"/>
          <w:sz w:val="18"/>
          <w:szCs w:val="18"/>
          <w:b w:val="1"/>
          <w:bCs w:val="1"/>
          <w:color w:val="auto"/>
        </w:rPr>
      </w:pPr>
    </w:p>
    <w:p>
      <w:pPr>
        <w:ind w:left="14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adopted ASC 842 using the modified retrospective transition method. The adoption of the new standard did not have any impact on the results of operations or cash flows.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193" w:lineRule="exact"/>
        <w:rPr>
          <w:sz w:val="20"/>
          <w:szCs w:val="20"/>
          <w:color w:val="auto"/>
        </w:rPr>
      </w:pPr>
    </w:p>
    <w:p>
      <w:pPr>
        <w:spacing w:after="0"/>
        <w:tabs>
          <w:tab w:leader="none" w:pos="820" w:val="left"/>
          <w:tab w:leader="none" w:pos="1060" w:val="left"/>
        </w:tabs>
        <w:rPr>
          <w:sz w:val="20"/>
          <w:szCs w:val="20"/>
          <w:color w:val="auto"/>
        </w:rPr>
      </w:pPr>
      <w:r>
        <w:rPr>
          <w:rFonts w:ascii="Arial" w:cs="Arial" w:eastAsia="Arial" w:hAnsi="Arial"/>
          <w:sz w:val="18"/>
          <w:szCs w:val="18"/>
          <w:b w:val="1"/>
          <w:bCs w:val="1"/>
          <w:color w:val="auto"/>
        </w:rPr>
        <w:t>NOTE 2</w:t>
        <w:tab/>
        <w:t>-</w:t>
        <w:tab/>
        <w:t>SUMMARY OF SIGNIFICANT ACCOUNTING POLICIES (Cont.)</w:t>
      </w:r>
    </w:p>
    <w:p>
      <w:pPr>
        <w:spacing w:after="0" w:line="198" w:lineRule="exact"/>
        <w:rPr>
          <w:sz w:val="20"/>
          <w:szCs w:val="20"/>
          <w:color w:val="auto"/>
        </w:rPr>
      </w:pPr>
    </w:p>
    <w:p>
      <w:pPr>
        <w:ind w:left="1440" w:hanging="352"/>
        <w:spacing w:after="0"/>
        <w:tabs>
          <w:tab w:leader="none" w:pos="14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Leases (cont.)</w:t>
      </w:r>
    </w:p>
    <w:p>
      <w:pPr>
        <w:spacing w:after="0" w:line="215" w:lineRule="exact"/>
        <w:rPr>
          <w:rFonts w:ascii="Arial" w:cs="Arial" w:eastAsia="Arial" w:hAnsi="Arial"/>
          <w:sz w:val="18"/>
          <w:szCs w:val="18"/>
          <w:b w:val="1"/>
          <w:bCs w:val="1"/>
          <w:color w:val="auto"/>
        </w:rPr>
      </w:pPr>
    </w:p>
    <w:p>
      <w:pPr>
        <w:jc w:val="both"/>
        <w:ind w:left="144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The determination of whether an arrangement is a lease is to be made at inception of a lease contract. ROU assets represent the Company’s right to use an underlying asset for the lease term and lease liabilities represent the Company’s obligation to make lease payments arising from the lease. ROU assets and lease liabilities are recognized at the lease commencement date based on the present value of lease payments over the lease term. Whenever leases do not provide an implicit interest rate, an incremental borrowing rate is used based on the information available at the commencement date in determining the present value of lease payments. The lease terms used to calculate the ROU asset and related lease liability include options to extend or terminate the lease when it is reasonably certain that the Company will exercise that option. Lease expense for operating leases is recognized on a straight-line basis over the lease term as an operating expense. For additional information, see Notes 11D and 11E.</w:t>
      </w:r>
    </w:p>
    <w:p>
      <w:pPr>
        <w:spacing w:after="0" w:line="147" w:lineRule="exact"/>
        <w:rPr>
          <w:rFonts w:ascii="Arial" w:cs="Arial" w:eastAsia="Arial" w:hAnsi="Arial"/>
          <w:sz w:val="18"/>
          <w:szCs w:val="18"/>
          <w:b w:val="1"/>
          <w:bCs w:val="1"/>
          <w:color w:val="auto"/>
        </w:rPr>
      </w:pPr>
    </w:p>
    <w:p>
      <w:pPr>
        <w:ind w:left="1440" w:hanging="352"/>
        <w:spacing w:after="0"/>
        <w:tabs>
          <w:tab w:leader="none" w:pos="14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202" w:lineRule="exact"/>
        <w:rPr>
          <w:rFonts w:ascii="Arial" w:cs="Arial" w:eastAsia="Arial" w:hAnsi="Arial"/>
          <w:sz w:val="18"/>
          <w:szCs w:val="18"/>
          <w:b w:val="1"/>
          <w:bCs w:val="1"/>
          <w:color w:val="auto"/>
        </w:rPr>
      </w:pPr>
    </w:p>
    <w:p>
      <w:pPr>
        <w:jc w:val="both"/>
        <w:ind w:left="14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Company follows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and recognizes revenue when it transfers the control of promised goods or services to customers in an amount that reflects the consideration the Company expects to be entitled to in exchange for those goods or services.</w:t>
      </w:r>
    </w:p>
    <w:p>
      <w:pPr>
        <w:spacing w:after="0" w:line="170" w:lineRule="exact"/>
        <w:rPr>
          <w:rFonts w:ascii="Arial" w:cs="Arial" w:eastAsia="Arial" w:hAnsi="Arial"/>
          <w:sz w:val="18"/>
          <w:szCs w:val="18"/>
          <w:b w:val="1"/>
          <w:bCs w:val="1"/>
          <w:color w:val="auto"/>
        </w:rPr>
      </w:pPr>
    </w:p>
    <w:p>
      <w:pPr>
        <w:jc w:val="both"/>
        <w:ind w:left="14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Company’s revenues are generated principally from sales of semiconductor wafers. The Company, to a much lesser extent, also derives revenues from design support and other technical and support services incidental to the sale of semiconductor wafers. The vast majority of the Company’s sales are achieved through the effort of its direct sales force.</w:t>
      </w:r>
    </w:p>
    <w:p>
      <w:pPr>
        <w:spacing w:after="0" w:line="170" w:lineRule="exact"/>
        <w:rPr>
          <w:rFonts w:ascii="Arial" w:cs="Arial" w:eastAsia="Arial" w:hAnsi="Arial"/>
          <w:sz w:val="18"/>
          <w:szCs w:val="18"/>
          <w:b w:val="1"/>
          <w:bCs w:val="1"/>
          <w:color w:val="auto"/>
        </w:rPr>
      </w:pPr>
    </w:p>
    <w:p>
      <w:pPr>
        <w:jc w:val="both"/>
        <w:ind w:left="14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Wafer sales are recognized at a point in time, which is upon shipment of the Company’s products to unaffiliated customers, depending on shipping terms. Accordingly, control of the products transfers to the customer in accordance with the transaction's shipping terms. Taxes imposed by governmental authorities, such as sales taxes or value-added taxes, are excluded from net sales. The Company’s contracts typically contain a single performance obligation that is fulfilled on the date of delivery based on shipping terms stipulated in the contract.</w:t>
      </w:r>
    </w:p>
    <w:p>
      <w:pPr>
        <w:spacing w:after="0" w:line="160" w:lineRule="exact"/>
        <w:rPr>
          <w:rFonts w:ascii="Arial" w:cs="Arial" w:eastAsia="Arial" w:hAnsi="Arial"/>
          <w:sz w:val="18"/>
          <w:szCs w:val="18"/>
          <w:b w:val="1"/>
          <w:bCs w:val="1"/>
          <w:color w:val="auto"/>
        </w:rPr>
      </w:pPr>
    </w:p>
    <w:p>
      <w:pPr>
        <w:ind w:left="144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The Company provides for sales returns allowance relating to specified yield or quality commitments as a reduction of revenues, based on past experience and specific identification of events necessitating an allowance, which has been in immaterial amounts.</w:t>
      </w:r>
    </w:p>
    <w:p>
      <w:pPr>
        <w:spacing w:after="0" w:line="132" w:lineRule="exact"/>
        <w:rPr>
          <w:rFonts w:ascii="Arial" w:cs="Arial" w:eastAsia="Arial" w:hAnsi="Arial"/>
          <w:sz w:val="18"/>
          <w:szCs w:val="18"/>
          <w:b w:val="1"/>
          <w:bCs w:val="1"/>
          <w:color w:val="auto"/>
        </w:rPr>
      </w:pPr>
    </w:p>
    <w:p>
      <w:pPr>
        <w:ind w:left="14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provides its customers with other services that are less significant in scope and amount and for which recognition occurs over time when customers receive the services.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193" w:lineRule="exact"/>
        <w:rPr>
          <w:sz w:val="20"/>
          <w:szCs w:val="20"/>
          <w:color w:val="auto"/>
        </w:rPr>
      </w:pPr>
    </w:p>
    <w:p>
      <w:pPr>
        <w:spacing w:after="0"/>
        <w:tabs>
          <w:tab w:leader="none" w:pos="820" w:val="left"/>
          <w:tab w:leader="none" w:pos="1060" w:val="left"/>
        </w:tabs>
        <w:rPr>
          <w:sz w:val="20"/>
          <w:szCs w:val="20"/>
          <w:color w:val="auto"/>
        </w:rPr>
      </w:pPr>
      <w:r>
        <w:rPr>
          <w:rFonts w:ascii="Arial" w:cs="Arial" w:eastAsia="Arial" w:hAnsi="Arial"/>
          <w:sz w:val="18"/>
          <w:szCs w:val="18"/>
          <w:b w:val="1"/>
          <w:bCs w:val="1"/>
          <w:color w:val="auto"/>
        </w:rPr>
        <w:t>NOTE 2</w:t>
        <w:tab/>
        <w:t>-</w:t>
        <w:tab/>
        <w:t>SUMMARY OF SIGNIFICANT ACCOUNTING POLICIES (Cont.)</w:t>
      </w:r>
    </w:p>
    <w:p>
      <w:pPr>
        <w:spacing w:after="0" w:line="198" w:lineRule="exact"/>
        <w:rPr>
          <w:sz w:val="20"/>
          <w:szCs w:val="20"/>
          <w:color w:val="auto"/>
        </w:rPr>
      </w:pPr>
    </w:p>
    <w:p>
      <w:pPr>
        <w:ind w:left="1440" w:hanging="352"/>
        <w:spacing w:after="0"/>
        <w:tabs>
          <w:tab w:leader="none" w:pos="14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Research and Development</w:t>
      </w:r>
    </w:p>
    <w:p>
      <w:pPr>
        <w:spacing w:after="0" w:line="215" w:lineRule="exact"/>
        <w:rPr>
          <w:rFonts w:ascii="Arial" w:cs="Arial" w:eastAsia="Arial" w:hAnsi="Arial"/>
          <w:sz w:val="18"/>
          <w:szCs w:val="18"/>
          <w:b w:val="1"/>
          <w:bCs w:val="1"/>
          <w:color w:val="auto"/>
        </w:rPr>
      </w:pPr>
    </w:p>
    <w:p>
      <w:pPr>
        <w:jc w:val="both"/>
        <w:ind w:left="144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Research and development costs are charged to operations as incurred. Amounts received or receivable from the government of Israel and others, such as participation in research and development programs, are offset against research and development costs. The accrual for grants receivable is determined based on the terms of the programs, provided that the criteria for entitlement have been met.</w:t>
      </w:r>
    </w:p>
    <w:p>
      <w:pPr>
        <w:spacing w:after="0" w:line="131" w:lineRule="exact"/>
        <w:rPr>
          <w:rFonts w:ascii="Arial" w:cs="Arial" w:eastAsia="Arial" w:hAnsi="Arial"/>
          <w:sz w:val="18"/>
          <w:szCs w:val="18"/>
          <w:b w:val="1"/>
          <w:bCs w:val="1"/>
          <w:color w:val="auto"/>
        </w:rPr>
      </w:pPr>
    </w:p>
    <w:p>
      <w:pPr>
        <w:ind w:left="1440" w:hanging="352"/>
        <w:spacing w:after="0"/>
        <w:tabs>
          <w:tab w:leader="none" w:pos="14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02" w:lineRule="exact"/>
        <w:rPr>
          <w:rFonts w:ascii="Arial" w:cs="Arial" w:eastAsia="Arial" w:hAnsi="Arial"/>
          <w:sz w:val="18"/>
          <w:szCs w:val="18"/>
          <w:b w:val="1"/>
          <w:bCs w:val="1"/>
          <w:color w:val="auto"/>
        </w:rPr>
      </w:pPr>
    </w:p>
    <w:p>
      <w:pPr>
        <w:jc w:val="both"/>
        <w:ind w:left="14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Company accounts for income taxes using an asset and liability approach as prescribed in ASC 740-10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w:t>
      </w:r>
      <w:r>
        <w:rPr>
          <w:rFonts w:ascii="Arial" w:cs="Arial" w:eastAsia="Arial" w:hAnsi="Arial"/>
          <w:sz w:val="18"/>
          <w:szCs w:val="18"/>
          <w:i w:val="1"/>
          <w:iCs w:val="1"/>
          <w:color w:val="auto"/>
        </w:rPr>
        <w:t>(“ASC</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740-10”). </w:t>
      </w:r>
      <w:r>
        <w:rPr>
          <w:rFonts w:ascii="Arial" w:cs="Arial" w:eastAsia="Arial" w:hAnsi="Arial"/>
          <w:sz w:val="18"/>
          <w:szCs w:val="18"/>
          <w:color w:val="auto"/>
        </w:rPr>
        <w:t>This topic prescribes the use of the liability method whereby deferred tax asset and liability account balances are determined</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differences between financial reporting and tax bases of assets and liabilities. Deferred taxes are measured using the enacted tax rates anticipated (under applicable law as of the balance sheet date) to apply when the deferred taxes are expected to be paid or realized. Deferred tax assets and liabilities, as well as any related valuation allowance, are classified as noncurrent items on the balance sheets.</w:t>
      </w:r>
    </w:p>
    <w:p>
      <w:pPr>
        <w:spacing w:after="0" w:line="178" w:lineRule="exact"/>
        <w:rPr>
          <w:rFonts w:ascii="Arial" w:cs="Arial" w:eastAsia="Arial" w:hAnsi="Arial"/>
          <w:sz w:val="18"/>
          <w:szCs w:val="18"/>
          <w:b w:val="1"/>
          <w:bCs w:val="1"/>
          <w:color w:val="auto"/>
        </w:rPr>
      </w:pPr>
    </w:p>
    <w:p>
      <w:pPr>
        <w:jc w:val="both"/>
        <w:ind w:left="1440"/>
        <w:spacing w:after="0" w:line="296" w:lineRule="auto"/>
        <w:rPr>
          <w:rFonts w:ascii="Arial" w:cs="Arial" w:eastAsia="Arial" w:hAnsi="Arial"/>
          <w:sz w:val="18"/>
          <w:szCs w:val="18"/>
          <w:b w:val="1"/>
          <w:bCs w:val="1"/>
          <w:color w:val="auto"/>
        </w:rPr>
      </w:pPr>
      <w:r>
        <w:rPr>
          <w:rFonts w:ascii="Arial" w:cs="Arial" w:eastAsia="Arial" w:hAnsi="Arial"/>
          <w:sz w:val="16"/>
          <w:szCs w:val="16"/>
          <w:color w:val="auto"/>
        </w:rPr>
        <w:t>The Company evaluates the potential realization of its deferred tax assets for each jurisdiction in which the Company operates at each reporting date and establishes valuation allowances when it is more likely than not that all or a part of its deferred tax assets will not be realized. The ultimate realization of deferred tax assets is dependent upon the generation of future taxable income of the same character and in the same jurisdiction. The Company considers all available positive and negative evidence in making this assessment, including, but not limited to, the scheduled reversal of deferred tax liabilities and deferred tax assets and projected future taxable income.</w:t>
      </w:r>
    </w:p>
    <w:p>
      <w:pPr>
        <w:spacing w:after="0" w:line="147" w:lineRule="exact"/>
        <w:rPr>
          <w:rFonts w:ascii="Arial" w:cs="Arial" w:eastAsia="Arial" w:hAnsi="Arial"/>
          <w:sz w:val="18"/>
          <w:szCs w:val="18"/>
          <w:b w:val="1"/>
          <w:bCs w:val="1"/>
          <w:color w:val="auto"/>
        </w:rPr>
      </w:pPr>
    </w:p>
    <w:p>
      <w:pPr>
        <w:ind w:left="14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 valuation allowance is established, when necessary, to reduce deferred tax assets to the amount that is more likely than not to be realized based on all available evidence.</w:t>
      </w:r>
    </w:p>
    <w:p>
      <w:pPr>
        <w:spacing w:after="0" w:line="143" w:lineRule="exact"/>
        <w:rPr>
          <w:rFonts w:ascii="Arial" w:cs="Arial" w:eastAsia="Arial" w:hAnsi="Arial"/>
          <w:sz w:val="18"/>
          <w:szCs w:val="18"/>
          <w:b w:val="1"/>
          <w:bCs w:val="1"/>
          <w:color w:val="auto"/>
        </w:rPr>
      </w:pPr>
    </w:p>
    <w:p>
      <w:pPr>
        <w:jc w:val="both"/>
        <w:ind w:left="144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ASC 740-10 prescribes a two-step approach for recognizing and measuring uncertain tax positions. The first step is to evaluate tax positions taken or expected to be taken in a tax return by assessing whether they are more-likely-than-not sustainable, based solely on their technical merits, upon examination and including resolution of any related appeals or litigation process. The second step is to measure the associated tax benefit of each position as the largest amount that the Company believes is more-likely-than-not realizable. Differences between the amount of tax benefits taken or expected to be taken in its income tax returns and the amount of tax benefits recognized in its financial statements, represent the Company's unrecognized income tax benefits. The Company's policy is to include interest and penalties related to unrecognized income tax benefits as a component of income tax expense.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193" w:lineRule="exact"/>
        <w:rPr>
          <w:sz w:val="20"/>
          <w:szCs w:val="20"/>
          <w:color w:val="auto"/>
        </w:rPr>
      </w:pPr>
    </w:p>
    <w:p>
      <w:pPr>
        <w:spacing w:after="0"/>
        <w:tabs>
          <w:tab w:leader="none" w:pos="820" w:val="left"/>
          <w:tab w:leader="none" w:pos="1060" w:val="left"/>
        </w:tabs>
        <w:rPr>
          <w:sz w:val="20"/>
          <w:szCs w:val="20"/>
          <w:color w:val="auto"/>
        </w:rPr>
      </w:pPr>
      <w:r>
        <w:rPr>
          <w:rFonts w:ascii="Arial" w:cs="Arial" w:eastAsia="Arial" w:hAnsi="Arial"/>
          <w:sz w:val="18"/>
          <w:szCs w:val="18"/>
          <w:b w:val="1"/>
          <w:bCs w:val="1"/>
          <w:color w:val="auto"/>
        </w:rPr>
        <w:t>NOTE 2</w:t>
        <w:tab/>
        <w:t>-</w:t>
        <w:tab/>
        <w:t>SUMMARY OF SIGNIFICANT ACCOUNTING POLICIES (Cont.)</w:t>
      </w:r>
    </w:p>
    <w:p>
      <w:pPr>
        <w:spacing w:after="0" w:line="198" w:lineRule="exact"/>
        <w:rPr>
          <w:sz w:val="20"/>
          <w:szCs w:val="20"/>
          <w:color w:val="auto"/>
        </w:rPr>
      </w:pPr>
    </w:p>
    <w:p>
      <w:pPr>
        <w:ind w:left="1440" w:hanging="352"/>
        <w:spacing w:after="0"/>
        <w:tabs>
          <w:tab w:leader="none" w:pos="14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Ordinary Share</w:t>
      </w:r>
    </w:p>
    <w:p>
      <w:pPr>
        <w:spacing w:after="0" w:line="215" w:lineRule="exact"/>
        <w:rPr>
          <w:rFonts w:ascii="Arial" w:cs="Arial" w:eastAsia="Arial" w:hAnsi="Arial"/>
          <w:sz w:val="18"/>
          <w:szCs w:val="18"/>
          <w:b w:val="1"/>
          <w:bCs w:val="1"/>
          <w:color w:val="auto"/>
        </w:rPr>
      </w:pPr>
    </w:p>
    <w:p>
      <w:pPr>
        <w:jc w:val="both"/>
        <w:ind w:left="1440"/>
        <w:spacing w:after="0" w:line="301" w:lineRule="auto"/>
        <w:rPr>
          <w:rFonts w:ascii="Arial" w:cs="Arial" w:eastAsia="Arial" w:hAnsi="Arial"/>
          <w:sz w:val="18"/>
          <w:szCs w:val="18"/>
          <w:b w:val="1"/>
          <w:bCs w:val="1"/>
          <w:color w:val="auto"/>
        </w:rPr>
      </w:pPr>
      <w:r>
        <w:rPr>
          <w:rFonts w:ascii="Arial" w:cs="Arial" w:eastAsia="Arial" w:hAnsi="Arial"/>
          <w:sz w:val="16"/>
          <w:szCs w:val="16"/>
          <w:color w:val="auto"/>
        </w:rPr>
        <w:t xml:space="preserve">Basic earnings per share are calculated in accordance with ASC 260, </w:t>
      </w:r>
      <w:r>
        <w:rPr>
          <w:rFonts w:ascii="Arial" w:cs="Arial" w:eastAsia="Arial" w:hAnsi="Arial"/>
          <w:sz w:val="16"/>
          <w:szCs w:val="16"/>
          <w:i w:val="1"/>
          <w:iCs w:val="1"/>
          <w:color w:val="auto"/>
        </w:rPr>
        <w:t>“Earnings Per Share”</w:t>
      </w:r>
      <w:r>
        <w:rPr>
          <w:rFonts w:ascii="Arial" w:cs="Arial" w:eastAsia="Arial" w:hAnsi="Arial"/>
          <w:sz w:val="16"/>
          <w:szCs w:val="16"/>
          <w:color w:val="auto"/>
        </w:rPr>
        <w:t xml:space="preserve"> by dividing net profit or loss attributable to ordinary equity holders of Tower (the numerator) by the weighted average number of ordinary shares outstanding during the reported period (the denominator). Diluted earnings per share are calculated, if applicable, by adjusting net profit attributable to ordinary equity holders of Tower, and the weighted average number of ordinary shares, taking into effect all potential dilutive ordinary shares.</w:t>
      </w:r>
    </w:p>
    <w:p>
      <w:pPr>
        <w:spacing w:after="0" w:line="139" w:lineRule="exact"/>
        <w:rPr>
          <w:rFonts w:ascii="Arial" w:cs="Arial" w:eastAsia="Arial" w:hAnsi="Arial"/>
          <w:sz w:val="18"/>
          <w:szCs w:val="18"/>
          <w:b w:val="1"/>
          <w:bCs w:val="1"/>
          <w:color w:val="auto"/>
        </w:rPr>
      </w:pPr>
    </w:p>
    <w:p>
      <w:pPr>
        <w:ind w:left="1440" w:hanging="352"/>
        <w:spacing w:after="0"/>
        <w:tabs>
          <w:tab w:leader="none" w:pos="14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Comprehensive Income</w:t>
      </w:r>
    </w:p>
    <w:p>
      <w:pPr>
        <w:spacing w:after="0" w:line="202" w:lineRule="exact"/>
        <w:rPr>
          <w:rFonts w:ascii="Arial" w:cs="Arial" w:eastAsia="Arial" w:hAnsi="Arial"/>
          <w:sz w:val="18"/>
          <w:szCs w:val="18"/>
          <w:b w:val="1"/>
          <w:bCs w:val="1"/>
          <w:color w:val="auto"/>
        </w:rPr>
      </w:pPr>
    </w:p>
    <w:p>
      <w:pPr>
        <w:jc w:val="both"/>
        <w:ind w:left="1440"/>
        <w:spacing w:after="0" w:line="301" w:lineRule="auto"/>
        <w:rPr>
          <w:rFonts w:ascii="Arial" w:cs="Arial" w:eastAsia="Arial" w:hAnsi="Arial"/>
          <w:sz w:val="18"/>
          <w:szCs w:val="18"/>
          <w:b w:val="1"/>
          <w:bCs w:val="1"/>
          <w:color w:val="auto"/>
        </w:rPr>
      </w:pPr>
      <w:r>
        <w:rPr>
          <w:rFonts w:ascii="Arial" w:cs="Arial" w:eastAsia="Arial" w:hAnsi="Arial"/>
          <w:sz w:val="16"/>
          <w:szCs w:val="16"/>
          <w:color w:val="auto"/>
        </w:rPr>
        <w:t xml:space="preserve">In accordance with ASC 220 </w:t>
      </w:r>
      <w:r>
        <w:rPr>
          <w:rFonts w:ascii="Arial" w:cs="Arial" w:eastAsia="Arial" w:hAnsi="Arial"/>
          <w:sz w:val="16"/>
          <w:szCs w:val="16"/>
          <w:i w:val="1"/>
          <w:iCs w:val="1"/>
          <w:color w:val="auto"/>
        </w:rPr>
        <w:t>“Comprehensive Income”</w:t>
      </w:r>
      <w:r>
        <w:rPr>
          <w:rFonts w:ascii="Arial" w:cs="Arial" w:eastAsia="Arial" w:hAnsi="Arial"/>
          <w:sz w:val="16"/>
          <w:szCs w:val="16"/>
          <w:color w:val="auto"/>
        </w:rPr>
        <w:t>, comprehensive income represents the change in shareholders’ equity during a reporting period from transactions and other events and circumstances from non-owner sources. It includes all changes in equity during a reporting period except those resulting from investments by owners and distributions to owners. Other comprehensive income (“OCI”) represents gains and losses that are included in comprehensive income but excluded from net profit.</w:t>
      </w:r>
    </w:p>
    <w:p>
      <w:pPr>
        <w:spacing w:after="0" w:line="139" w:lineRule="exact"/>
        <w:rPr>
          <w:rFonts w:ascii="Arial" w:cs="Arial" w:eastAsia="Arial" w:hAnsi="Arial"/>
          <w:sz w:val="18"/>
          <w:szCs w:val="18"/>
          <w:b w:val="1"/>
          <w:bCs w:val="1"/>
          <w:color w:val="auto"/>
        </w:rPr>
      </w:pPr>
    </w:p>
    <w:p>
      <w:pPr>
        <w:ind w:left="1440" w:hanging="352"/>
        <w:spacing w:after="0"/>
        <w:tabs>
          <w:tab w:leader="none" w:pos="14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Functional Currency and Exchange Rate Income (Loss)</w:t>
      </w:r>
    </w:p>
    <w:p>
      <w:pPr>
        <w:spacing w:after="0" w:line="215" w:lineRule="exact"/>
        <w:rPr>
          <w:rFonts w:ascii="Arial" w:cs="Arial" w:eastAsia="Arial" w:hAnsi="Arial"/>
          <w:sz w:val="18"/>
          <w:szCs w:val="18"/>
          <w:b w:val="1"/>
          <w:bCs w:val="1"/>
          <w:color w:val="auto"/>
        </w:rPr>
      </w:pPr>
    </w:p>
    <w:p>
      <w:pPr>
        <w:jc w:val="both"/>
        <w:ind w:left="144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The currency of the primary economic environment in which Tower, TSSA and TSNP conduct their operations is the U.S. Dollar (“dollar”). Thus, the dollar is their functional and reporting currency. Accordingly, monetary accounts maintained in currencies other than the dollar are re-measured into dollars in accordance with ASC 830-10 “</w:t>
      </w:r>
      <w:r>
        <w:rPr>
          <w:rFonts w:ascii="Arial" w:cs="Arial" w:eastAsia="Arial" w:hAnsi="Arial"/>
          <w:sz w:val="17"/>
          <w:szCs w:val="17"/>
          <w:i w:val="1"/>
          <w:iCs w:val="1"/>
          <w:color w:val="auto"/>
        </w:rPr>
        <w:t>Foreign Currency Matters</w:t>
      </w:r>
      <w:r>
        <w:rPr>
          <w:rFonts w:ascii="Arial" w:cs="Arial" w:eastAsia="Arial" w:hAnsi="Arial"/>
          <w:sz w:val="17"/>
          <w:szCs w:val="17"/>
          <w:color w:val="auto"/>
        </w:rPr>
        <w:t>”. All transaction gains and losses from the re-measurement of monetary balance sheet items are reflected in the statements of operations as financial income or expenses, as appropriate. The financial statements of TPSCo, whose functional currency is the Japanese Yen (“JPY”), have been translated into dollars. The assets and liabilities have been translated using the exchange rate in effect as of the balance sheet date. The statements of operations of TPSCo have been translated using the average exchange rate for the reported period. The resulting translation adjustments are charged or credited to OCI.</w:t>
      </w:r>
    </w:p>
    <w:p>
      <w:pPr>
        <w:spacing w:after="0" w:line="147" w:lineRule="exact"/>
        <w:rPr>
          <w:rFonts w:ascii="Arial" w:cs="Arial" w:eastAsia="Arial" w:hAnsi="Arial"/>
          <w:sz w:val="18"/>
          <w:szCs w:val="18"/>
          <w:b w:val="1"/>
          <w:bCs w:val="1"/>
          <w:color w:val="auto"/>
        </w:rPr>
      </w:pPr>
    </w:p>
    <w:p>
      <w:pPr>
        <w:ind w:left="1440" w:hanging="352"/>
        <w:spacing w:after="0"/>
        <w:tabs>
          <w:tab w:leader="none" w:pos="14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15" w:lineRule="exact"/>
        <w:rPr>
          <w:rFonts w:ascii="Arial" w:cs="Arial" w:eastAsia="Arial" w:hAnsi="Arial"/>
          <w:sz w:val="18"/>
          <w:szCs w:val="18"/>
          <w:b w:val="1"/>
          <w:bCs w:val="1"/>
          <w:color w:val="auto"/>
        </w:rPr>
      </w:pPr>
    </w:p>
    <w:p>
      <w:pPr>
        <w:ind w:left="144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The Company applies the provisions of ASC Topic 718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under which employees’ share-based equity awards (mostly restricted stock units and performance unit shares) are recognized based on the grant-date fair values.</w:t>
      </w:r>
    </w:p>
    <w:p>
      <w:pPr>
        <w:spacing w:after="0" w:line="110" w:lineRule="exact"/>
        <w:rPr>
          <w:rFonts w:ascii="Arial" w:cs="Arial" w:eastAsia="Arial" w:hAnsi="Arial"/>
          <w:sz w:val="18"/>
          <w:szCs w:val="18"/>
          <w:b w:val="1"/>
          <w:bCs w:val="1"/>
          <w:color w:val="auto"/>
        </w:rPr>
      </w:pPr>
    </w:p>
    <w:p>
      <w:pPr>
        <w:ind w:left="14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compensation costs are recognized using the graded vesting attribution method based on the vesting terms of each unit included in the award resulting in an accelerated recognition of compensation costs.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193" w:lineRule="exact"/>
        <w:rPr>
          <w:sz w:val="20"/>
          <w:szCs w:val="20"/>
          <w:color w:val="auto"/>
        </w:rPr>
      </w:pPr>
    </w:p>
    <w:p>
      <w:pPr>
        <w:spacing w:after="0"/>
        <w:tabs>
          <w:tab w:leader="none" w:pos="820" w:val="left"/>
          <w:tab w:leader="none" w:pos="1060" w:val="left"/>
        </w:tabs>
        <w:rPr>
          <w:sz w:val="20"/>
          <w:szCs w:val="20"/>
          <w:color w:val="auto"/>
        </w:rPr>
      </w:pPr>
      <w:r>
        <w:rPr>
          <w:rFonts w:ascii="Arial" w:cs="Arial" w:eastAsia="Arial" w:hAnsi="Arial"/>
          <w:sz w:val="18"/>
          <w:szCs w:val="18"/>
          <w:b w:val="1"/>
          <w:bCs w:val="1"/>
          <w:color w:val="auto"/>
        </w:rPr>
        <w:t>NOTE 2</w:t>
        <w:tab/>
        <w:t>-</w:t>
        <w:tab/>
        <w:t>SUMMARY OF SIGNIFICANT ACCOUNTING POLICIES (Cont.)</w:t>
      </w:r>
    </w:p>
    <w:p>
      <w:pPr>
        <w:spacing w:after="0" w:line="198" w:lineRule="exact"/>
        <w:rPr>
          <w:sz w:val="20"/>
          <w:szCs w:val="20"/>
          <w:color w:val="auto"/>
        </w:rPr>
      </w:pPr>
    </w:p>
    <w:p>
      <w:pPr>
        <w:ind w:left="1440" w:hanging="352"/>
        <w:spacing w:after="0"/>
        <w:tabs>
          <w:tab w:leader="none" w:pos="14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of Financial Instruments</w:t>
      </w:r>
    </w:p>
    <w:p>
      <w:pPr>
        <w:spacing w:after="0" w:line="215" w:lineRule="exact"/>
        <w:rPr>
          <w:rFonts w:ascii="Arial" w:cs="Arial" w:eastAsia="Arial" w:hAnsi="Arial"/>
          <w:sz w:val="18"/>
          <w:szCs w:val="18"/>
          <w:b w:val="1"/>
          <w:bCs w:val="1"/>
          <w:color w:val="auto"/>
        </w:rPr>
      </w:pPr>
    </w:p>
    <w:p>
      <w:pPr>
        <w:jc w:val="both"/>
        <w:ind w:left="144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ASC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xml:space="preserve">" </w:t>
      </w:r>
      <w:r>
        <w:rPr>
          <w:rFonts w:ascii="Arial" w:cs="Arial" w:eastAsia="Arial" w:hAnsi="Arial"/>
          <w:sz w:val="17"/>
          <w:szCs w:val="17"/>
          <w:i w:val="1"/>
          <w:iCs w:val="1"/>
          <w:color w:val="auto"/>
        </w:rPr>
        <w:t>(“ASC 820”)</w:t>
      </w:r>
      <w:r>
        <w:rPr>
          <w:rFonts w:ascii="Arial" w:cs="Arial" w:eastAsia="Arial" w:hAnsi="Arial"/>
          <w:sz w:val="17"/>
          <w:szCs w:val="17"/>
          <w:color w:val="auto"/>
        </w:rPr>
        <w:t>, requires an entity to maximize the use of observable inputs and minimize the use of unobservable inputs when measuring fair value. ASC 820 establishes a fair value hierarchy based on the level of independent, objective evidence surrounding the inputs used to measure fair value. A financial instrument's categorization within the fair value hierarchy is based upon the lowest level of input that is significant to the fair value measurement.</w:t>
      </w:r>
    </w:p>
    <w:p>
      <w:pPr>
        <w:spacing w:after="0" w:line="157" w:lineRule="exact"/>
        <w:rPr>
          <w:rFonts w:ascii="Arial" w:cs="Arial" w:eastAsia="Arial" w:hAnsi="Arial"/>
          <w:sz w:val="18"/>
          <w:szCs w:val="18"/>
          <w:b w:val="1"/>
          <w:bCs w:val="1"/>
          <w:color w:val="auto"/>
        </w:rPr>
      </w:pPr>
    </w:p>
    <w:p>
      <w:pPr>
        <w:ind w:left="1440"/>
        <w:spacing w:after="0"/>
        <w:rPr>
          <w:rFonts w:ascii="Arial" w:cs="Arial" w:eastAsia="Arial" w:hAnsi="Arial"/>
          <w:sz w:val="18"/>
          <w:szCs w:val="18"/>
          <w:b w:val="1"/>
          <w:bCs w:val="1"/>
          <w:color w:val="auto"/>
        </w:rPr>
      </w:pPr>
      <w:r>
        <w:rPr>
          <w:rFonts w:ascii="Arial" w:cs="Arial" w:eastAsia="Arial" w:hAnsi="Arial"/>
          <w:sz w:val="18"/>
          <w:szCs w:val="18"/>
          <w:color w:val="auto"/>
        </w:rPr>
        <w:t>ASC 820 prioritizes the inputs into three levels that may be used to measure fair value:</w:t>
      </w:r>
    </w:p>
    <w:p>
      <w:pPr>
        <w:spacing w:after="0" w:line="198" w:lineRule="exact"/>
        <w:rPr>
          <w:rFonts w:ascii="Arial" w:cs="Arial" w:eastAsia="Arial" w:hAnsi="Arial"/>
          <w:sz w:val="18"/>
          <w:szCs w:val="18"/>
          <w:b w:val="1"/>
          <w:bCs w:val="1"/>
          <w:color w:val="auto"/>
        </w:rPr>
      </w:pPr>
    </w:p>
    <w:p>
      <w:pPr>
        <w:ind w:left="14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Level 1</w:t>
      </w:r>
    </w:p>
    <w:p>
      <w:pPr>
        <w:spacing w:after="0" w:line="211" w:lineRule="exact"/>
        <w:rPr>
          <w:rFonts w:ascii="Arial" w:cs="Arial" w:eastAsia="Arial" w:hAnsi="Arial"/>
          <w:sz w:val="18"/>
          <w:szCs w:val="18"/>
          <w:b w:val="1"/>
          <w:bCs w:val="1"/>
          <w:color w:val="auto"/>
        </w:rPr>
      </w:pPr>
    </w:p>
    <w:p>
      <w:pPr>
        <w:ind w:left="1440"/>
        <w:spacing w:after="0"/>
        <w:rPr>
          <w:rFonts w:ascii="Arial" w:cs="Arial" w:eastAsia="Arial" w:hAnsi="Arial"/>
          <w:sz w:val="18"/>
          <w:szCs w:val="18"/>
          <w:b w:val="1"/>
          <w:bCs w:val="1"/>
          <w:color w:val="auto"/>
        </w:rPr>
      </w:pPr>
      <w:r>
        <w:rPr>
          <w:rFonts w:ascii="Arial" w:cs="Arial" w:eastAsia="Arial" w:hAnsi="Arial"/>
          <w:sz w:val="18"/>
          <w:szCs w:val="18"/>
          <w:color w:val="auto"/>
        </w:rPr>
        <w:t>Level 1 applies to assets or liabilities for which there are quoted prices in active markets for identical assets or liabilities.</w:t>
      </w:r>
    </w:p>
    <w:p>
      <w:pPr>
        <w:spacing w:after="0" w:line="211" w:lineRule="exact"/>
        <w:rPr>
          <w:rFonts w:ascii="Arial" w:cs="Arial" w:eastAsia="Arial" w:hAnsi="Arial"/>
          <w:sz w:val="18"/>
          <w:szCs w:val="18"/>
          <w:b w:val="1"/>
          <w:bCs w:val="1"/>
          <w:color w:val="auto"/>
        </w:rPr>
      </w:pPr>
    </w:p>
    <w:p>
      <w:pPr>
        <w:ind w:left="14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Level 2</w:t>
      </w:r>
    </w:p>
    <w:p>
      <w:pPr>
        <w:spacing w:after="0" w:line="198" w:lineRule="exact"/>
        <w:rPr>
          <w:rFonts w:ascii="Arial" w:cs="Arial" w:eastAsia="Arial" w:hAnsi="Arial"/>
          <w:sz w:val="18"/>
          <w:szCs w:val="18"/>
          <w:b w:val="1"/>
          <w:bCs w:val="1"/>
          <w:color w:val="auto"/>
        </w:rPr>
      </w:pPr>
    </w:p>
    <w:p>
      <w:pPr>
        <w:jc w:val="both"/>
        <w:ind w:left="14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Level 2 applies to assets or liabilities for which there are inputs other than quoted prices that are observable for the asset or liability such as quoted prices for similar assets or liabilities in active markets;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w:t>
      </w:r>
    </w:p>
    <w:p>
      <w:pPr>
        <w:spacing w:after="0" w:line="173" w:lineRule="exact"/>
        <w:rPr>
          <w:rFonts w:ascii="Arial" w:cs="Arial" w:eastAsia="Arial" w:hAnsi="Arial"/>
          <w:sz w:val="18"/>
          <w:szCs w:val="18"/>
          <w:b w:val="1"/>
          <w:bCs w:val="1"/>
          <w:color w:val="auto"/>
        </w:rPr>
      </w:pPr>
    </w:p>
    <w:p>
      <w:pPr>
        <w:ind w:left="14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Level 3</w:t>
      </w:r>
    </w:p>
    <w:p>
      <w:pPr>
        <w:spacing w:after="0" w:line="211" w:lineRule="exact"/>
        <w:rPr>
          <w:rFonts w:ascii="Arial" w:cs="Arial" w:eastAsia="Arial" w:hAnsi="Arial"/>
          <w:sz w:val="18"/>
          <w:szCs w:val="18"/>
          <w:b w:val="1"/>
          <w:bCs w:val="1"/>
          <w:color w:val="auto"/>
        </w:rPr>
      </w:pPr>
    </w:p>
    <w:p>
      <w:pPr>
        <w:ind w:left="14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Level 3 applies to assets or liabilities for which there are unobservable inputs to the valuation methodology that are significant to the measurement of the fair value of the assets or liabilities.</w:t>
      </w:r>
    </w:p>
    <w:p>
      <w:pPr>
        <w:spacing w:after="0" w:line="143" w:lineRule="exact"/>
        <w:rPr>
          <w:rFonts w:ascii="Arial" w:cs="Arial" w:eastAsia="Arial" w:hAnsi="Arial"/>
          <w:sz w:val="18"/>
          <w:szCs w:val="18"/>
          <w:b w:val="1"/>
          <w:bCs w:val="1"/>
          <w:color w:val="auto"/>
        </w:rPr>
      </w:pPr>
    </w:p>
    <w:p>
      <w:pPr>
        <w:jc w:val="both"/>
        <w:ind w:left="1440"/>
        <w:spacing w:after="0" w:line="275" w:lineRule="auto"/>
        <w:rPr>
          <w:rFonts w:ascii="Arial" w:cs="Arial" w:eastAsia="Arial" w:hAnsi="Arial"/>
          <w:sz w:val="18"/>
          <w:szCs w:val="18"/>
          <w:b w:val="1"/>
          <w:bCs w:val="1"/>
          <w:color w:val="auto"/>
        </w:rPr>
      </w:pPr>
      <w:r>
        <w:rPr>
          <w:rFonts w:ascii="Arial" w:cs="Arial" w:eastAsia="Arial" w:hAnsi="Arial"/>
          <w:sz w:val="17"/>
          <w:szCs w:val="17"/>
          <w:color w:val="auto"/>
        </w:rPr>
        <w:t>The Company's financial instruments primarily consist of cash, bank deposits, account receivables and payables, accrued liabilities, loans and leases whose carrying values approximate their current fair values because of their nature and respective maturity dates or durations. The Company had no financial assets or liabilities carried and measured on a non-recurring basis during the reporting periods. Financial assets and liabilities measured on a recurring basis are those that are adjusted to fair value each time a financial statement is prepared such as marketable securities and investment in privately- held companies.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193" w:lineRule="exact"/>
        <w:rPr>
          <w:sz w:val="20"/>
          <w:szCs w:val="20"/>
          <w:color w:val="auto"/>
        </w:rPr>
      </w:pPr>
    </w:p>
    <w:p>
      <w:pPr>
        <w:spacing w:after="0"/>
        <w:tabs>
          <w:tab w:leader="none" w:pos="820" w:val="left"/>
          <w:tab w:leader="none" w:pos="1060" w:val="left"/>
        </w:tabs>
        <w:rPr>
          <w:sz w:val="20"/>
          <w:szCs w:val="20"/>
          <w:color w:val="auto"/>
        </w:rPr>
      </w:pPr>
      <w:r>
        <w:rPr>
          <w:rFonts w:ascii="Arial" w:cs="Arial" w:eastAsia="Arial" w:hAnsi="Arial"/>
          <w:sz w:val="18"/>
          <w:szCs w:val="18"/>
          <w:b w:val="1"/>
          <w:bCs w:val="1"/>
          <w:color w:val="auto"/>
        </w:rPr>
        <w:t>NOTE 2</w:t>
        <w:tab/>
        <w:t>-</w:t>
        <w:tab/>
        <w:t>SUMMARY OF SIGNIFICANT ACCOUNTING POLICIES (Cont.)</w:t>
      </w:r>
    </w:p>
    <w:p>
      <w:pPr>
        <w:spacing w:after="0" w:line="198" w:lineRule="exact"/>
        <w:rPr>
          <w:sz w:val="20"/>
          <w:szCs w:val="20"/>
          <w:color w:val="auto"/>
        </w:rPr>
      </w:pPr>
    </w:p>
    <w:p>
      <w:pPr>
        <w:ind w:left="1440" w:hanging="352"/>
        <w:spacing w:after="0"/>
        <w:tabs>
          <w:tab w:leader="none" w:pos="14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Derivatives and hedging</w:t>
      </w:r>
    </w:p>
    <w:p>
      <w:pPr>
        <w:spacing w:after="0" w:line="215" w:lineRule="exact"/>
        <w:rPr>
          <w:rFonts w:ascii="Arial" w:cs="Arial" w:eastAsia="Arial" w:hAnsi="Arial"/>
          <w:sz w:val="18"/>
          <w:szCs w:val="18"/>
          <w:b w:val="1"/>
          <w:bCs w:val="1"/>
          <w:color w:val="auto"/>
        </w:rPr>
      </w:pPr>
    </w:p>
    <w:p>
      <w:pPr>
        <w:ind w:left="144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The Company accounts for its derivative instruments as either assets or liabilities and carries them at fair value. The accounting for changes in the fair value of a derivative depends on the intended use of the derivative and the resulting designation.</w:t>
      </w:r>
    </w:p>
    <w:p>
      <w:pPr>
        <w:spacing w:after="0" w:line="132" w:lineRule="exact"/>
        <w:rPr>
          <w:rFonts w:ascii="Arial" w:cs="Arial" w:eastAsia="Arial" w:hAnsi="Arial"/>
          <w:sz w:val="18"/>
          <w:szCs w:val="18"/>
          <w:b w:val="1"/>
          <w:bCs w:val="1"/>
          <w:color w:val="auto"/>
        </w:rPr>
      </w:pPr>
    </w:p>
    <w:p>
      <w:pPr>
        <w:jc w:val="both"/>
        <w:ind w:left="1440"/>
        <w:spacing w:after="0" w:line="269" w:lineRule="auto"/>
        <w:rPr>
          <w:rFonts w:ascii="Arial" w:cs="Arial" w:eastAsia="Arial" w:hAnsi="Arial"/>
          <w:sz w:val="18"/>
          <w:szCs w:val="18"/>
          <w:b w:val="1"/>
          <w:bCs w:val="1"/>
          <w:color w:val="auto"/>
        </w:rPr>
      </w:pPr>
      <w:r>
        <w:rPr>
          <w:rFonts w:ascii="Arial" w:cs="Arial" w:eastAsia="Arial" w:hAnsi="Arial"/>
          <w:sz w:val="17"/>
          <w:szCs w:val="17"/>
          <w:b w:val="1"/>
          <w:bCs w:val="1"/>
          <w:i w:val="1"/>
          <w:iCs w:val="1"/>
          <w:color w:val="auto"/>
        </w:rPr>
        <w:t>For derivative instruments designated as cash flow hedges</w:t>
      </w:r>
      <w:r>
        <w:rPr>
          <w:rFonts w:ascii="Arial" w:cs="Arial" w:eastAsia="Arial" w:hAnsi="Arial"/>
          <w:sz w:val="17"/>
          <w:szCs w:val="17"/>
          <w:color w:val="auto"/>
        </w:rPr>
        <w:t>, the effective portion of the gains (losses) on the derivatives is initially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reported as a component of OCI and is subsequently recognized in earnings when the hedged exposure is recognized in earnings. Gains (losses) on derivatives are recognized in earnings, representing either hedge components excluded from the assessment of effectiveness or hedge ineffectiveness. In January 2019, the Company adopted ASU 2017-12, “</w:t>
      </w:r>
      <w:r>
        <w:rPr>
          <w:rFonts w:ascii="Arial" w:cs="Arial" w:eastAsia="Arial" w:hAnsi="Arial"/>
          <w:sz w:val="17"/>
          <w:szCs w:val="17"/>
          <w:i w:val="1"/>
          <w:iCs w:val="1"/>
          <w:color w:val="auto"/>
        </w:rPr>
        <w:t>Derivatives and Hedging (“Topic 815”): Targeted</w:t>
      </w:r>
      <w:r>
        <w:rPr>
          <w:rFonts w:ascii="Arial" w:cs="Arial" w:eastAsia="Arial" w:hAnsi="Arial"/>
          <w:sz w:val="17"/>
          <w:szCs w:val="17"/>
          <w:color w:val="auto"/>
        </w:rPr>
        <w:t xml:space="preserve"> </w:t>
      </w:r>
      <w:r>
        <w:rPr>
          <w:rFonts w:ascii="Arial" w:cs="Arial" w:eastAsia="Arial" w:hAnsi="Arial"/>
          <w:sz w:val="17"/>
          <w:szCs w:val="17"/>
          <w:i w:val="1"/>
          <w:iCs w:val="1"/>
          <w:color w:val="auto"/>
        </w:rPr>
        <w:t>Improvements to Accounting for Hedge Activities”</w:t>
      </w:r>
      <w:r>
        <w:rPr>
          <w:rFonts w:ascii="Arial" w:cs="Arial" w:eastAsia="Arial" w:hAnsi="Arial"/>
          <w:sz w:val="17"/>
          <w:szCs w:val="17"/>
          <w:color w:val="auto"/>
        </w:rPr>
        <w:t>, which amends the hedge accounting recognition and presentation requirements of</w:t>
      </w:r>
      <w:r>
        <w:rPr>
          <w:rFonts w:ascii="Arial" w:cs="Arial" w:eastAsia="Arial" w:hAnsi="Arial"/>
          <w:sz w:val="17"/>
          <w:szCs w:val="17"/>
          <w:i w:val="1"/>
          <w:iCs w:val="1"/>
          <w:color w:val="auto"/>
        </w:rPr>
        <w:t xml:space="preserve"> </w:t>
      </w:r>
      <w:r>
        <w:rPr>
          <w:rFonts w:ascii="Arial" w:cs="Arial" w:eastAsia="Arial" w:hAnsi="Arial"/>
          <w:sz w:val="17"/>
          <w:szCs w:val="17"/>
          <w:color w:val="auto"/>
        </w:rPr>
        <w:t>ASC 815. ASU 2017-12 permits a qualitative effectiveness assessment for certain hedges instead of a quantitative test after the initial qualification, if the Company can reasonably support an expectation of high effectiveness throughout the term of the hedge. Also, for cash flow hedges and net investment hedges, if the hedge is highly effective, all changes in the fair value of the derivative hedging instrument are recorded in other comprehensive income. The adoption of this guidance did not have a material impact on the Company’s financial position, results of operations and cash flows. The consolidated financial statements for the year ended December 31, 2019 were not retrospectively adjusted.</w:t>
      </w:r>
    </w:p>
    <w:p>
      <w:pPr>
        <w:spacing w:after="0" w:line="150" w:lineRule="exact"/>
        <w:rPr>
          <w:rFonts w:ascii="Arial" w:cs="Arial" w:eastAsia="Arial" w:hAnsi="Arial"/>
          <w:sz w:val="18"/>
          <w:szCs w:val="18"/>
          <w:b w:val="1"/>
          <w:bCs w:val="1"/>
          <w:color w:val="auto"/>
        </w:rPr>
      </w:pPr>
    </w:p>
    <w:p>
      <w:pPr>
        <w:ind w:left="1440" w:hanging="352"/>
        <w:spacing w:after="0"/>
        <w:tabs>
          <w:tab w:leader="none" w:pos="14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Recently Adopted Accounting Pronouncements</w:t>
      </w:r>
    </w:p>
    <w:p>
      <w:pPr>
        <w:spacing w:after="0" w:line="215" w:lineRule="exact"/>
        <w:rPr>
          <w:rFonts w:ascii="Arial" w:cs="Arial" w:eastAsia="Arial" w:hAnsi="Arial"/>
          <w:sz w:val="18"/>
          <w:szCs w:val="18"/>
          <w:b w:val="1"/>
          <w:bCs w:val="1"/>
          <w:color w:val="auto"/>
        </w:rPr>
      </w:pPr>
    </w:p>
    <w:p>
      <w:pPr>
        <w:jc w:val="both"/>
        <w:ind w:left="14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 xml:space="preserve">In January 2017, the FASB issued ASU 2017-04 </w:t>
      </w:r>
      <w:r>
        <w:rPr>
          <w:rFonts w:ascii="Arial" w:cs="Arial" w:eastAsia="Arial" w:hAnsi="Arial"/>
          <w:sz w:val="18"/>
          <w:szCs w:val="18"/>
          <w:i w:val="1"/>
          <w:iCs w:val="1"/>
          <w:color w:val="auto"/>
        </w:rPr>
        <w:t>“Intangibles - Goodwill and Other: Simplifying the Test for Goodwill Impairment”</w:t>
      </w:r>
      <w:r>
        <w:rPr>
          <w:rFonts w:ascii="Arial" w:cs="Arial" w:eastAsia="Arial" w:hAnsi="Arial"/>
          <w:sz w:val="18"/>
          <w:szCs w:val="18"/>
          <w:color w:val="auto"/>
        </w:rPr>
        <w:t xml:space="preserve"> </w:t>
      </w:r>
      <w:r>
        <w:rPr>
          <w:rFonts w:ascii="Arial" w:cs="Arial" w:eastAsia="Arial" w:hAnsi="Arial"/>
          <w:sz w:val="18"/>
          <w:szCs w:val="18"/>
          <w:i w:val="1"/>
          <w:iCs w:val="1"/>
          <w:color w:val="auto"/>
        </w:rPr>
        <w:t>(“Topic 350”)</w:t>
      </w:r>
      <w:r>
        <w:rPr>
          <w:rFonts w:ascii="Arial" w:cs="Arial" w:eastAsia="Arial" w:hAnsi="Arial"/>
          <w:sz w:val="18"/>
          <w:szCs w:val="18"/>
          <w:color w:val="auto"/>
        </w:rPr>
        <w:t>. The Company adopted this guidance in the beginning of 2020 with no impact on its consolidated financial statements.</w:t>
      </w:r>
      <w:r>
        <w:rPr>
          <w:rFonts w:ascii="Arial" w:cs="Arial" w:eastAsia="Arial" w:hAnsi="Arial"/>
          <w:sz w:val="18"/>
          <w:szCs w:val="18"/>
          <w:i w:val="1"/>
          <w:iCs w:val="1"/>
          <w:color w:val="auto"/>
        </w:rPr>
        <w:t xml:space="preserve"> </w:t>
      </w:r>
      <w:r>
        <w:rPr>
          <w:rFonts w:ascii="Arial" w:cs="Arial" w:eastAsia="Arial" w:hAnsi="Arial"/>
          <w:sz w:val="18"/>
          <w:szCs w:val="18"/>
          <w:color w:val="auto"/>
        </w:rPr>
        <w:t>See also M above.</w:t>
      </w:r>
    </w:p>
    <w:p>
      <w:pPr>
        <w:spacing w:after="0" w:line="170" w:lineRule="exact"/>
        <w:rPr>
          <w:rFonts w:ascii="Arial" w:cs="Arial" w:eastAsia="Arial" w:hAnsi="Arial"/>
          <w:sz w:val="18"/>
          <w:szCs w:val="18"/>
          <w:b w:val="1"/>
          <w:bCs w:val="1"/>
          <w:color w:val="auto"/>
        </w:rPr>
      </w:pPr>
    </w:p>
    <w:p>
      <w:pPr>
        <w:jc w:val="both"/>
        <w:ind w:left="144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In June 2016, the FASB issued ASU 2016-13 “</w:t>
      </w:r>
      <w:r>
        <w:rPr>
          <w:rFonts w:ascii="Arial" w:cs="Arial" w:eastAsia="Arial" w:hAnsi="Arial"/>
          <w:sz w:val="17"/>
          <w:szCs w:val="17"/>
          <w:i w:val="1"/>
          <w:iCs w:val="1"/>
          <w:color w:val="auto"/>
        </w:rPr>
        <w:t>Financial Instruments Credit Losses</w:t>
      </w:r>
      <w:r>
        <w:rPr>
          <w:rFonts w:ascii="Arial" w:cs="Arial" w:eastAsia="Arial" w:hAnsi="Arial"/>
          <w:sz w:val="17"/>
          <w:szCs w:val="17"/>
          <w:color w:val="auto"/>
        </w:rPr>
        <w:t xml:space="preserve">” </w:t>
      </w:r>
      <w:r>
        <w:rPr>
          <w:rFonts w:ascii="Arial" w:cs="Arial" w:eastAsia="Arial" w:hAnsi="Arial"/>
          <w:sz w:val="17"/>
          <w:szCs w:val="17"/>
          <w:i w:val="1"/>
          <w:iCs w:val="1"/>
          <w:color w:val="auto"/>
        </w:rPr>
        <w:t>(“ASC 326”).</w:t>
      </w:r>
      <w:r>
        <w:rPr>
          <w:rFonts w:ascii="Arial" w:cs="Arial" w:eastAsia="Arial" w:hAnsi="Arial"/>
          <w:sz w:val="17"/>
          <w:szCs w:val="17"/>
          <w:color w:val="auto"/>
        </w:rPr>
        <w:t xml:space="preserve"> This update relates to financial reporting of current expected credit losses on financial instruments and other commitments to extend credit. ASU 2016-13 requires that an entity measure and recognize current expected credit losses for financial assets held at amortized cost and replaces the incurred loss impairment methodology in prior GAAP with a methodology that requires consideration of a broader range of information to estimate credit losses. The Company adopted ASU 2016-13 on January 1, 2020 using the modified retrospective approach. The impact of this adoption on its retained earnings and 2020 financial results was not material to the Company's consolidated financial statements as current expected credit losses were not significant based on historical collection trends, the financial condition of payment partners, and external market factors. See also F and G above.</w:t>
      </w:r>
    </w:p>
    <w:p>
      <w:pPr>
        <w:spacing w:after="0" w:line="151" w:lineRule="exact"/>
        <w:rPr>
          <w:rFonts w:ascii="Arial" w:cs="Arial" w:eastAsia="Arial" w:hAnsi="Arial"/>
          <w:sz w:val="18"/>
          <w:szCs w:val="18"/>
          <w:b w:val="1"/>
          <w:bCs w:val="1"/>
          <w:color w:val="auto"/>
        </w:rPr>
      </w:pPr>
    </w:p>
    <w:p>
      <w:pPr>
        <w:jc w:val="both"/>
        <w:ind w:left="144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In March 2020, the FASB issued ASU No. 2020-04, ”</w:t>
      </w:r>
      <w:r>
        <w:rPr>
          <w:rFonts w:ascii="Arial" w:cs="Arial" w:eastAsia="Arial" w:hAnsi="Arial"/>
          <w:sz w:val="18"/>
          <w:szCs w:val="18"/>
          <w:i w:val="1"/>
          <w:iCs w:val="1"/>
          <w:color w:val="auto"/>
        </w:rPr>
        <w:t>Reference Rate Reform (Topic 848): Facilitation of the Effects of Reference Rate</w:t>
      </w:r>
      <w:r>
        <w:rPr>
          <w:rFonts w:ascii="Arial" w:cs="Arial" w:eastAsia="Arial" w:hAnsi="Arial"/>
          <w:sz w:val="18"/>
          <w:szCs w:val="18"/>
          <w:color w:val="auto"/>
        </w:rPr>
        <w:t xml:space="preserve"> </w:t>
      </w:r>
      <w:r>
        <w:rPr>
          <w:rFonts w:ascii="Arial" w:cs="Arial" w:eastAsia="Arial" w:hAnsi="Arial"/>
          <w:sz w:val="18"/>
          <w:szCs w:val="18"/>
          <w:i w:val="1"/>
          <w:iCs w:val="1"/>
          <w:color w:val="auto"/>
        </w:rPr>
        <w:t>Reform on Financial Reporting”</w:t>
      </w:r>
      <w:r>
        <w:rPr>
          <w:rFonts w:ascii="Arial" w:cs="Arial" w:eastAsia="Arial" w:hAnsi="Arial"/>
          <w:sz w:val="18"/>
          <w:szCs w:val="18"/>
          <w:color w:val="auto"/>
        </w:rPr>
        <w:t>, which provides temporary optional guidance to ease potential accounting impacts associated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transitioning away from reference rates that are expected to be discontinued, such as interbank offered rates and London Interbank Offered Rate (“LIBOR”). The guidance includes practical expedients for contract modifications due to reference rate reform. Generally, contract modifications related to reference rate reform may be considered an event that does not require remeasurement or reassessment of a previous accounting determination at the modification date. This guidance is effective immediately and is only available through December 31, 2022.</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OF DECEMBER 31, 2020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thousands, except per share data)</w:t>
      </w:r>
    </w:p>
    <w:p>
      <w:pPr>
        <w:spacing w:after="0" w:line="193" w:lineRule="exact"/>
        <w:rPr>
          <w:sz w:val="20"/>
          <w:szCs w:val="20"/>
          <w:color w:val="auto"/>
        </w:rPr>
      </w:pPr>
    </w:p>
    <w:p>
      <w:pPr>
        <w:spacing w:after="0"/>
        <w:tabs>
          <w:tab w:leader="none" w:pos="820" w:val="left"/>
          <w:tab w:leader="none" w:pos="1060" w:val="left"/>
        </w:tabs>
        <w:rPr>
          <w:sz w:val="20"/>
          <w:szCs w:val="20"/>
          <w:color w:val="auto"/>
        </w:rPr>
      </w:pPr>
      <w:r>
        <w:rPr>
          <w:rFonts w:ascii="Arial" w:cs="Arial" w:eastAsia="Arial" w:hAnsi="Arial"/>
          <w:sz w:val="18"/>
          <w:szCs w:val="18"/>
          <w:b w:val="1"/>
          <w:bCs w:val="1"/>
          <w:color w:val="auto"/>
        </w:rPr>
        <w:t>NOTE 2</w:t>
        <w:tab/>
        <w:t>-</w:t>
        <w:tab/>
        <w:t>SUMMARY OF SIGNIFICANT ACCOUNTING POLICIES (Cont.)</w:t>
      </w:r>
    </w:p>
    <w:p>
      <w:pPr>
        <w:spacing w:after="0" w:line="198" w:lineRule="exact"/>
        <w:rPr>
          <w:sz w:val="20"/>
          <w:szCs w:val="20"/>
          <w:color w:val="auto"/>
        </w:rPr>
      </w:pPr>
    </w:p>
    <w:p>
      <w:pPr>
        <w:ind w:left="1440" w:hanging="352"/>
        <w:spacing w:after="0"/>
        <w:tabs>
          <w:tab w:leader="none" w:pos="14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Recently Issued Accounting Pronouncements Not Yet Adopted</w:t>
      </w:r>
    </w:p>
    <w:p>
      <w:pPr>
        <w:spacing w:after="0" w:line="215" w:lineRule="exact"/>
        <w:rPr>
          <w:rFonts w:ascii="Arial" w:cs="Arial" w:eastAsia="Arial" w:hAnsi="Arial"/>
          <w:sz w:val="18"/>
          <w:szCs w:val="18"/>
          <w:b w:val="1"/>
          <w:bCs w:val="1"/>
          <w:color w:val="auto"/>
        </w:rPr>
      </w:pPr>
    </w:p>
    <w:p>
      <w:pPr>
        <w:jc w:val="both"/>
        <w:ind w:left="144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 xml:space="preserve">In December 2019, the FASB issued ASU No. 2019-12,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 </w:t>
      </w:r>
      <w:r>
        <w:rPr>
          <w:rFonts w:ascii="Arial" w:cs="Arial" w:eastAsia="Arial" w:hAnsi="Arial"/>
          <w:sz w:val="17"/>
          <w:szCs w:val="17"/>
          <w:i w:val="1"/>
          <w:iCs w:val="1"/>
          <w:color w:val="auto"/>
        </w:rPr>
        <w:t>Simplifying the Accounting for Income Taxes”(“Topic 740”)</w:t>
      </w:r>
      <w:r>
        <w:rPr>
          <w:rFonts w:ascii="Arial" w:cs="Arial" w:eastAsia="Arial" w:hAnsi="Arial"/>
          <w:sz w:val="17"/>
          <w:szCs w:val="17"/>
          <w:color w:val="auto"/>
        </w:rPr>
        <w:t>. This guidance removes certain exceptions related to the approach for intra-period tax allocation, the methodology for calculating income taxes in an interim period, and the recognition of deferred tax liabilities for outside basis differences. This guidance also clarifies and simplifies other areas of ASC 740. This ASU will be effective beginning on January 1, 2021. Early adoption is permitted. Certain amendments in this update must be applied on a prospective basis, certain amendments must be applied on a retrospective basis, and certain amendments must be applied on a modified retrospective basis through a cumulative-effect adjustment to retained earnings in the period of adoption. The Company does not believe the adoption of this ASU would have a material effect on the Company’s consolidated financial statements.</w:t>
      </w:r>
    </w:p>
    <w:p>
      <w:pPr>
        <w:sectPr>
          <w:pgSz w:w="11900" w:h="16838" w:orient="portrait"/>
          <w:cols w:equalWidth="0" w:num="1">
            <w:col w:w="11240"/>
          </w:cols>
          <w:pgMar w:left="320" w:top="283" w:right="339" w:bottom="1440" w:gutter="0" w:footer="0" w:header="0"/>
        </w:sectPr>
      </w:pPr>
    </w:p>
    <w:p>
      <w:pPr>
        <w:spacing w:after="0" w:line="161" w:lineRule="exact"/>
        <w:rPr>
          <w:sz w:val="20"/>
          <w:szCs w:val="20"/>
          <w:color w:val="auto"/>
        </w:rPr>
      </w:pPr>
    </w:p>
    <w:p>
      <w:pPr>
        <w:spacing w:after="0"/>
        <w:tabs>
          <w:tab w:leader="none" w:pos="820" w:val="left"/>
          <w:tab w:leader="none" w:pos="1060" w:val="left"/>
        </w:tabs>
        <w:rPr>
          <w:sz w:val="20"/>
          <w:szCs w:val="20"/>
          <w:color w:val="auto"/>
        </w:rPr>
      </w:pPr>
      <w:r>
        <w:rPr>
          <w:rFonts w:ascii="Arial" w:cs="Arial" w:eastAsia="Arial" w:hAnsi="Arial"/>
          <w:sz w:val="18"/>
          <w:szCs w:val="18"/>
          <w:b w:val="1"/>
          <w:bCs w:val="1"/>
          <w:color w:val="auto"/>
        </w:rPr>
        <w:t>NOTE 3</w:t>
        <w:tab/>
        <w:t>-</w:t>
        <w:tab/>
        <w:t>INVENTORIES</w:t>
      </w:r>
    </w:p>
    <w:p>
      <w:pPr>
        <w:spacing w:after="0" w:line="202" w:lineRule="exact"/>
        <w:rPr>
          <w:sz w:val="20"/>
          <w:szCs w:val="20"/>
          <w:color w:val="auto"/>
        </w:rPr>
      </w:pPr>
    </w:p>
    <w:p>
      <w:pPr>
        <w:jc w:val="right"/>
        <w:ind w:right="4300"/>
        <w:spacing w:after="0"/>
        <w:rPr>
          <w:sz w:val="20"/>
          <w:szCs w:val="20"/>
          <w:color w:val="auto"/>
        </w:rPr>
      </w:pPr>
      <w:r>
        <w:rPr>
          <w:rFonts w:ascii="Arial" w:cs="Arial" w:eastAsia="Arial" w:hAnsi="Arial"/>
          <w:sz w:val="18"/>
          <w:szCs w:val="18"/>
          <w:color w:val="auto"/>
        </w:rPr>
        <w:t>Inventories consist of the following:</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Raw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-121920</wp:posOffset>
            </wp:positionV>
            <wp:extent cx="64465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446520" cy="137160"/>
                    </a:xfrm>
                    <a:prstGeom prst="rect">
                      <a:avLst/>
                    </a:prstGeom>
                    <a:noFill/>
                  </pic:spPr>
                </pic:pic>
              </a:graphicData>
            </a:graphic>
          </wp:anchor>
        </w:drawing>
      </w:r>
    </w:p>
    <w:p>
      <w:pPr>
        <w:spacing w:after="0" w:line="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Work in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5715</wp:posOffset>
            </wp:positionV>
            <wp:extent cx="6446520" cy="154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446520" cy="154305"/>
                    </a:xfrm>
                    <a:prstGeom prst="rect">
                      <a:avLst/>
                    </a:prstGeom>
                    <a:noFill/>
                  </pic:spPr>
                </pic:pic>
              </a:graphicData>
            </a:graphic>
          </wp:anchor>
        </w:drawing>
      </w:r>
    </w:p>
    <w:p>
      <w:pPr>
        <w:spacing w:after="0" w:line="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Finished goods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As of December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2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line="201" w:lineRule="exact"/>
              <w:rPr>
                <w:sz w:val="20"/>
                <w:szCs w:val="20"/>
                <w:color w:val="auto"/>
              </w:rPr>
            </w:pPr>
            <w:r>
              <w:rPr>
                <w:rFonts w:ascii="Arial" w:cs="Arial" w:eastAsia="Arial" w:hAnsi="Arial"/>
                <w:sz w:val="18"/>
                <w:szCs w:val="18"/>
                <w:color w:val="auto"/>
              </w:rPr>
              <w:t>60,855</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jc w:val="right"/>
              <w:ind w:right="50"/>
              <w:spacing w:after="0" w:line="201"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201" w:lineRule="exact"/>
              <w:rPr>
                <w:sz w:val="20"/>
                <w:szCs w:val="20"/>
                <w:color w:val="auto"/>
              </w:rPr>
            </w:pPr>
            <w:r>
              <w:rPr>
                <w:rFonts w:ascii="Arial" w:cs="Arial" w:eastAsia="Arial" w:hAnsi="Arial"/>
                <w:sz w:val="18"/>
                <w:szCs w:val="18"/>
                <w:color w:val="auto"/>
              </w:rPr>
              <w:t>90,605</w:t>
            </w:r>
          </w:p>
        </w:tc>
        <w:tc>
          <w:tcPr>
            <w:tcW w:w="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133,144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91,537</w:t>
            </w:r>
          </w:p>
        </w:tc>
      </w:tr>
      <w:tr>
        <w:trPr>
          <w:trHeight w:val="237"/>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5,127</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10,114</w:t>
            </w:r>
          </w:p>
        </w:tc>
      </w:tr>
      <w:tr>
        <w:trPr>
          <w:trHeight w:val="216"/>
        </w:trPr>
        <w:tc>
          <w:tcPr>
            <w:tcW w:w="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199,126</w:t>
            </w:r>
          </w:p>
        </w:tc>
        <w:tc>
          <w:tcPr>
            <w:tcW w:w="1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192,256</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75" w:lineRule="exact"/>
        <w:rPr>
          <w:sz w:val="20"/>
          <w:szCs w:val="20"/>
          <w:color w:val="auto"/>
        </w:rPr>
      </w:pPr>
    </w:p>
    <w:p>
      <w:pPr>
        <w:sectPr>
          <w:pgSz w:w="11900" w:h="16838" w:orient="portrait"/>
          <w:cols w:equalWidth="0" w:num="2">
            <w:col w:w="8000" w:space="720"/>
            <w:col w:w="2520"/>
          </w:cols>
          <w:pgMar w:left="320" w:top="283" w:right="339" w:bottom="1440" w:gutter="0" w:footer="0" w:header="0"/>
          <w:type w:val="continuous"/>
        </w:sectPr>
      </w:pPr>
    </w:p>
    <w:p>
      <w:pPr>
        <w:ind w:left="1080"/>
        <w:spacing w:after="0" w:line="277" w:lineRule="auto"/>
        <w:rPr>
          <w:sz w:val="20"/>
          <w:szCs w:val="20"/>
          <w:color w:val="auto"/>
        </w:rPr>
      </w:pPr>
      <w:r>
        <w:rPr>
          <w:rFonts w:ascii="Arial" w:cs="Arial" w:eastAsia="Arial" w:hAnsi="Arial"/>
          <w:sz w:val="18"/>
          <w:szCs w:val="18"/>
          <w:color w:val="auto"/>
        </w:rPr>
        <w:t>Work in process and finished goods are presented net of aggregate write-downs to net realizable value of $1,946 and $649 as of December 31, 2020 and 2019,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type w:val="continuous"/>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20" w:type="dxa"/>
            <w:vAlign w:val="bottom"/>
            <w:gridSpan w:val="2"/>
          </w:tcPr>
          <w:p>
            <w:pPr>
              <w:spacing w:after="0"/>
              <w:rPr>
                <w:sz w:val="20"/>
                <w:szCs w:val="20"/>
                <w:color w:val="auto"/>
              </w:rPr>
            </w:pPr>
            <w:r>
              <w:rPr>
                <w:rFonts w:ascii="Arial" w:cs="Arial" w:eastAsia="Arial" w:hAnsi="Arial"/>
                <w:sz w:val="18"/>
                <w:szCs w:val="18"/>
                <w:b w:val="1"/>
                <w:bCs w:val="1"/>
                <w:color w:val="auto"/>
              </w:rPr>
              <w:t>NOTE 4  -  OTHER CURRENT ASSETS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05"/>
        </w:trPr>
        <w:tc>
          <w:tcPr>
            <w:tcW w:w="1080" w:type="dxa"/>
            <w:vAlign w:val="bottom"/>
          </w:tcPr>
          <w:p>
            <w:pPr>
              <w:spacing w:after="0"/>
              <w:rPr>
                <w:sz w:val="24"/>
                <w:szCs w:val="24"/>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Other current assets consist of the following:</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2"/>
        </w:trPr>
        <w:tc>
          <w:tcPr>
            <w:tcW w:w="108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80" w:type="dxa"/>
            <w:vAlign w:val="bottom"/>
            <w:gridSpan w:val="5"/>
          </w:tcPr>
          <w:p>
            <w:pPr>
              <w:ind w:left="240"/>
              <w:spacing w:after="0"/>
              <w:rPr>
                <w:sz w:val="20"/>
                <w:szCs w:val="20"/>
                <w:color w:val="auto"/>
              </w:rPr>
            </w:pPr>
            <w:r>
              <w:rPr>
                <w:rFonts w:ascii="Arial" w:cs="Arial" w:eastAsia="Arial" w:hAnsi="Arial"/>
                <w:sz w:val="18"/>
                <w:szCs w:val="18"/>
                <w:color w:val="auto"/>
              </w:rPr>
              <w:t>As of December 31,</w:t>
            </w:r>
          </w:p>
        </w:tc>
      </w:tr>
      <w:tr>
        <w:trPr>
          <w:trHeight w:val="223"/>
        </w:trPr>
        <w:tc>
          <w:tcPr>
            <w:tcW w:w="1080" w:type="dxa"/>
            <w:vAlign w:val="bottom"/>
          </w:tcPr>
          <w:p>
            <w:pPr>
              <w:spacing w:after="0"/>
              <w:rPr>
                <w:sz w:val="19"/>
                <w:szCs w:val="19"/>
                <w:color w:val="auto"/>
              </w:rPr>
            </w:pPr>
          </w:p>
        </w:tc>
        <w:tc>
          <w:tcPr>
            <w:tcW w:w="76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1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r>
      <w:tr>
        <w:trPr>
          <w:trHeight w:val="216"/>
        </w:trPr>
        <w:tc>
          <w:tcPr>
            <w:tcW w:w="108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Tax receivables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5,019</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8,156</w:t>
            </w:r>
          </w:p>
        </w:tc>
        <w:tc>
          <w:tcPr>
            <w:tcW w:w="100" w:type="dxa"/>
            <w:vAlign w:val="bottom"/>
            <w:shd w:val="clear" w:color="auto" w:fill="CCEEFF"/>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Prepaid expenses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6,990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8,265</w:t>
            </w:r>
          </w:p>
        </w:tc>
      </w:tr>
      <w:tr>
        <w:trPr>
          <w:trHeight w:val="216"/>
        </w:trPr>
        <w:tc>
          <w:tcPr>
            <w:tcW w:w="108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Receivables from Hedging transactions - see Notes 10, 12A, and 12D</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11,609</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3,184</w:t>
            </w:r>
          </w:p>
        </w:tc>
      </w:tr>
      <w:tr>
        <w:trPr>
          <w:trHeight w:val="216"/>
        </w:trPr>
        <w:tc>
          <w:tcPr>
            <w:tcW w:w="108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Insurance receivables - see Note 14E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5,949</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1080" w:type="dxa"/>
            <w:vAlign w:val="bottom"/>
          </w:tcPr>
          <w:p>
            <w:pPr>
              <w:spacing w:after="0"/>
              <w:rPr>
                <w:sz w:val="19"/>
                <w:szCs w:val="19"/>
                <w:color w:val="auto"/>
              </w:rPr>
            </w:pPr>
          </w:p>
        </w:tc>
        <w:tc>
          <w:tcPr>
            <w:tcW w:w="7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1,243</w:t>
            </w:r>
          </w:p>
        </w:tc>
        <w:tc>
          <w:tcPr>
            <w:tcW w:w="1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8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30,810</w:t>
            </w:r>
          </w:p>
        </w:tc>
        <w:tc>
          <w:tcPr>
            <w:tcW w:w="1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22,019</w:t>
            </w:r>
          </w:p>
        </w:tc>
      </w:tr>
      <w:tr>
        <w:trPr>
          <w:trHeight w:val="20"/>
        </w:trPr>
        <w:tc>
          <w:tcPr>
            <w:tcW w:w="108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20" w:type="dxa"/>
            <w:vAlign w:val="bottom"/>
            <w:gridSpan w:val="2"/>
          </w:tcPr>
          <w:p>
            <w:pPr>
              <w:spacing w:after="0"/>
              <w:rPr>
                <w:sz w:val="20"/>
                <w:szCs w:val="20"/>
                <w:color w:val="auto"/>
              </w:rPr>
            </w:pPr>
            <w:r>
              <w:rPr>
                <w:rFonts w:ascii="Arial" w:cs="Arial" w:eastAsia="Arial" w:hAnsi="Arial"/>
                <w:sz w:val="18"/>
                <w:szCs w:val="18"/>
                <w:b w:val="1"/>
                <w:bCs w:val="1"/>
                <w:color w:val="auto"/>
              </w:rPr>
              <w:t>NOTE 5  -  LONG-TERM INVESTMENTS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1080" w:type="dxa"/>
            <w:vAlign w:val="bottom"/>
          </w:tcPr>
          <w:p>
            <w:pPr>
              <w:spacing w:after="0"/>
              <w:rPr>
                <w:sz w:val="24"/>
                <w:szCs w:val="24"/>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Long-term investments consist of the following:</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8"/>
        </w:trPr>
        <w:tc>
          <w:tcPr>
            <w:tcW w:w="108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80" w:type="dxa"/>
            <w:vAlign w:val="bottom"/>
            <w:gridSpan w:val="5"/>
          </w:tcPr>
          <w:p>
            <w:pPr>
              <w:ind w:left="240"/>
              <w:spacing w:after="0"/>
              <w:rPr>
                <w:sz w:val="20"/>
                <w:szCs w:val="20"/>
                <w:color w:val="auto"/>
              </w:rPr>
            </w:pPr>
            <w:r>
              <w:rPr>
                <w:rFonts w:ascii="Arial" w:cs="Arial" w:eastAsia="Arial" w:hAnsi="Arial"/>
                <w:sz w:val="18"/>
                <w:szCs w:val="18"/>
                <w:color w:val="auto"/>
              </w:rPr>
              <w:t>As of December 31,</w:t>
            </w:r>
          </w:p>
        </w:tc>
      </w:tr>
      <w:tr>
        <w:trPr>
          <w:trHeight w:val="223"/>
        </w:trPr>
        <w:tc>
          <w:tcPr>
            <w:tcW w:w="1080" w:type="dxa"/>
            <w:vAlign w:val="bottom"/>
          </w:tcPr>
          <w:p>
            <w:pPr>
              <w:spacing w:after="0"/>
              <w:rPr>
                <w:sz w:val="19"/>
                <w:szCs w:val="19"/>
                <w:color w:val="auto"/>
              </w:rPr>
            </w:pPr>
          </w:p>
        </w:tc>
        <w:tc>
          <w:tcPr>
            <w:tcW w:w="76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1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r>
      <w:tr>
        <w:trPr>
          <w:trHeight w:val="216"/>
        </w:trPr>
        <w:tc>
          <w:tcPr>
            <w:tcW w:w="108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Severance-pay funds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10,472</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11,860</w:t>
            </w:r>
          </w:p>
        </w:tc>
        <w:tc>
          <w:tcPr>
            <w:tcW w:w="100" w:type="dxa"/>
            <w:vAlign w:val="bottom"/>
            <w:shd w:val="clear" w:color="auto" w:fill="CCEEFF"/>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Long-term bank deposits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12,500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12,500</w:t>
            </w:r>
          </w:p>
        </w:tc>
      </w:tr>
      <w:tr>
        <w:trPr>
          <w:trHeight w:val="223"/>
        </w:trPr>
        <w:tc>
          <w:tcPr>
            <w:tcW w:w="1080" w:type="dxa"/>
            <w:vAlign w:val="bottom"/>
          </w:tcPr>
          <w:p>
            <w:pPr>
              <w:spacing w:after="0"/>
              <w:rPr>
                <w:sz w:val="19"/>
                <w:szCs w:val="19"/>
                <w:color w:val="auto"/>
              </w:rPr>
            </w:pPr>
          </w:p>
        </w:tc>
        <w:tc>
          <w:tcPr>
            <w:tcW w:w="7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Investments in privately- held companies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17,727</w:t>
            </w:r>
          </w:p>
        </w:tc>
        <w:tc>
          <w:tcPr>
            <w:tcW w:w="1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15,725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8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40,699</w:t>
            </w:r>
          </w:p>
        </w:tc>
        <w:tc>
          <w:tcPr>
            <w:tcW w:w="1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40,085</w:t>
            </w:r>
          </w:p>
        </w:tc>
      </w:tr>
      <w:tr>
        <w:trPr>
          <w:trHeight w:val="20"/>
        </w:trPr>
        <w:tc>
          <w:tcPr>
            <w:tcW w:w="108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80" w:type="dxa"/>
            <w:vAlign w:val="bottom"/>
            <w:gridSpan w:val="2"/>
          </w:tcPr>
          <w:p>
            <w:pPr>
              <w:spacing w:after="0"/>
              <w:rPr>
                <w:sz w:val="20"/>
                <w:szCs w:val="20"/>
                <w:color w:val="auto"/>
              </w:rPr>
            </w:pPr>
            <w:r>
              <w:rPr>
                <w:rFonts w:ascii="Arial" w:cs="Arial" w:eastAsia="Arial" w:hAnsi="Arial"/>
                <w:sz w:val="18"/>
                <w:szCs w:val="18"/>
                <w:b w:val="1"/>
                <w:bCs w:val="1"/>
                <w:color w:val="auto"/>
              </w:rPr>
              <w:t>NOTE 6  -  PROPERTY AND EQUIPMENT, NET</w:t>
            </w:r>
          </w:p>
        </w:tc>
        <w:tc>
          <w:tcPr>
            <w:tcW w:w="1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9"/>
        </w:trPr>
        <w:tc>
          <w:tcPr>
            <w:tcW w:w="108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Composition:</w:t>
            </w:r>
          </w:p>
        </w:tc>
        <w:tc>
          <w:tcPr>
            <w:tcW w:w="1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8"/>
        </w:trPr>
        <w:tc>
          <w:tcPr>
            <w:tcW w:w="108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00" w:type="dxa"/>
            <w:vAlign w:val="bottom"/>
            <w:gridSpan w:val="5"/>
          </w:tcPr>
          <w:p>
            <w:pPr>
              <w:jc w:val="right"/>
              <w:ind w:right="600"/>
              <w:spacing w:after="0"/>
              <w:rPr>
                <w:sz w:val="20"/>
                <w:szCs w:val="20"/>
                <w:color w:val="auto"/>
              </w:rPr>
            </w:pPr>
            <w:r>
              <w:rPr>
                <w:rFonts w:ascii="Arial" w:cs="Arial" w:eastAsia="Arial" w:hAnsi="Arial"/>
                <w:sz w:val="18"/>
                <w:szCs w:val="18"/>
                <w:color w:val="auto"/>
              </w:rPr>
              <w:t>As of December 31,</w:t>
            </w:r>
          </w:p>
        </w:tc>
      </w:tr>
      <w:tr>
        <w:trPr>
          <w:trHeight w:val="223"/>
        </w:trPr>
        <w:tc>
          <w:tcPr>
            <w:tcW w:w="1080" w:type="dxa"/>
            <w:vAlign w:val="bottom"/>
          </w:tcPr>
          <w:p>
            <w:pPr>
              <w:spacing w:after="0"/>
              <w:rPr>
                <w:sz w:val="19"/>
                <w:szCs w:val="19"/>
                <w:color w:val="auto"/>
              </w:rPr>
            </w:pPr>
          </w:p>
        </w:tc>
        <w:tc>
          <w:tcPr>
            <w:tcW w:w="57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18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r>
      <w:tr>
        <w:trPr>
          <w:trHeight w:val="216"/>
        </w:trPr>
        <w:tc>
          <w:tcPr>
            <w:tcW w:w="108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Original cost: (*)</w:t>
            </w:r>
          </w:p>
        </w:tc>
        <w:tc>
          <w:tcPr>
            <w:tcW w:w="1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Land and Buildings, including facility infrastructure</w:t>
            </w:r>
          </w:p>
        </w:tc>
        <w:tc>
          <w:tcPr>
            <w:tcW w:w="2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430,258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363,133</w:t>
            </w:r>
          </w:p>
        </w:tc>
      </w:tr>
      <w:tr>
        <w:trPr>
          <w:trHeight w:val="223"/>
        </w:trPr>
        <w:tc>
          <w:tcPr>
            <w:tcW w:w="1080" w:type="dxa"/>
            <w:vAlign w:val="bottom"/>
          </w:tcPr>
          <w:p>
            <w:pPr>
              <w:spacing w:after="0"/>
              <w:rPr>
                <w:sz w:val="19"/>
                <w:szCs w:val="19"/>
                <w:color w:val="auto"/>
              </w:rPr>
            </w:pPr>
          </w:p>
        </w:tc>
        <w:tc>
          <w:tcPr>
            <w:tcW w:w="5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9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2,998,019</w:t>
            </w:r>
          </w:p>
        </w:tc>
        <w:tc>
          <w:tcPr>
            <w:tcW w:w="1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2,684,980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1080" w:type="dxa"/>
            <w:vAlign w:val="bottom"/>
          </w:tcPr>
          <w:p>
            <w:pPr>
              <w:spacing w:after="0"/>
              <w:rPr>
                <w:sz w:val="19"/>
                <w:szCs w:val="19"/>
                <w:color w:val="auto"/>
              </w:rPr>
            </w:pPr>
          </w:p>
        </w:tc>
        <w:tc>
          <w:tcPr>
            <w:tcW w:w="5700" w:type="dxa"/>
            <w:vAlign w:val="bottom"/>
          </w:tcPr>
          <w:p>
            <w:pPr>
              <w:spacing w:after="0"/>
              <w:rPr>
                <w:sz w:val="19"/>
                <w:szCs w:val="19"/>
                <w:color w:val="auto"/>
              </w:rPr>
            </w:pPr>
          </w:p>
        </w:tc>
        <w:tc>
          <w:tcPr>
            <w:tcW w:w="2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3,428,277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3,048,113</w:t>
            </w:r>
          </w:p>
        </w:tc>
      </w:tr>
      <w:tr>
        <w:trPr>
          <w:trHeight w:val="216"/>
        </w:trPr>
        <w:tc>
          <w:tcPr>
            <w:tcW w:w="108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19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Buildings, including facility infrastructure</w:t>
            </w:r>
          </w:p>
        </w:tc>
        <w:tc>
          <w:tcPr>
            <w:tcW w:w="2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(255,353)</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(239,241)</w:t>
            </w:r>
          </w:p>
        </w:tc>
      </w:tr>
      <w:tr>
        <w:trPr>
          <w:trHeight w:val="216"/>
        </w:trPr>
        <w:tc>
          <w:tcPr>
            <w:tcW w:w="108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(2,333,753)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(2,126,933)</w:t>
            </w:r>
          </w:p>
        </w:tc>
      </w:tr>
      <w:tr>
        <w:trPr>
          <w:trHeight w:val="27"/>
        </w:trPr>
        <w:tc>
          <w:tcPr>
            <w:tcW w:w="1080" w:type="dxa"/>
            <w:vAlign w:val="bottom"/>
          </w:tcPr>
          <w:p>
            <w:pPr>
              <w:spacing w:after="0"/>
              <w:rPr>
                <w:sz w:val="2"/>
                <w:szCs w:val="2"/>
                <w:color w:val="auto"/>
              </w:rPr>
            </w:pPr>
          </w:p>
        </w:tc>
        <w:tc>
          <w:tcPr>
            <w:tcW w:w="570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108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2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(2,589,106)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(2,366,174)</w:t>
            </w:r>
          </w:p>
        </w:tc>
      </w:tr>
      <w:tr>
        <w:trPr>
          <w:trHeight w:val="20"/>
        </w:trPr>
        <w:tc>
          <w:tcPr>
            <w:tcW w:w="108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1080" w:type="dxa"/>
            <w:vAlign w:val="bottom"/>
          </w:tcPr>
          <w:p>
            <w:pPr>
              <w:spacing w:after="0"/>
              <w:rPr>
                <w:sz w:val="18"/>
                <w:szCs w:val="18"/>
                <w:color w:val="auto"/>
              </w:rPr>
            </w:pPr>
          </w:p>
        </w:tc>
        <w:tc>
          <w:tcPr>
            <w:tcW w:w="570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839,171</w:t>
            </w: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681,939</w:t>
            </w:r>
          </w:p>
        </w:tc>
      </w:tr>
      <w:tr>
        <w:trPr>
          <w:trHeight w:val="20"/>
        </w:trPr>
        <w:tc>
          <w:tcPr>
            <w:tcW w:w="1080" w:type="dxa"/>
            <w:vAlign w:val="bottom"/>
          </w:tcPr>
          <w:p>
            <w:pPr>
              <w:spacing w:after="0" w:line="20" w:lineRule="exact"/>
              <w:rPr>
                <w:sz w:val="1"/>
                <w:szCs w:val="1"/>
                <w:color w:val="auto"/>
              </w:rPr>
            </w:pPr>
          </w:p>
        </w:tc>
        <w:tc>
          <w:tcPr>
            <w:tcW w:w="570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88" w:lineRule="exact"/>
        <w:rPr>
          <w:sz w:val="20"/>
          <w:szCs w:val="20"/>
          <w:color w:val="auto"/>
        </w:rPr>
      </w:pPr>
    </w:p>
    <w:p>
      <w:pPr>
        <w:jc w:val="both"/>
        <w:ind w:left="1080" w:firstLine="8"/>
        <w:spacing w:after="0" w:line="263" w:lineRule="auto"/>
        <w:tabs>
          <w:tab w:leader="none" w:pos="1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Original cost includes ROU assets under capital lease in the amount of $213,683 and $86,087 as of December 31, 2020 and 2019, respectively. The depreciation expense of such assets amounted to $13,421 and $9,941 for the years ended December 31, 2020 and 2019, respectively.</w:t>
      </w:r>
    </w:p>
    <w:p>
      <w:pPr>
        <w:spacing w:after="0" w:line="170" w:lineRule="exact"/>
        <w:rPr>
          <w:sz w:val="20"/>
          <w:szCs w:val="20"/>
          <w:color w:val="auto"/>
        </w:rPr>
      </w:pPr>
    </w:p>
    <w:p>
      <w:pPr>
        <w:ind w:left="1080"/>
        <w:spacing w:after="0" w:line="277" w:lineRule="auto"/>
        <w:rPr>
          <w:sz w:val="20"/>
          <w:szCs w:val="20"/>
          <w:color w:val="auto"/>
        </w:rPr>
      </w:pPr>
      <w:r>
        <w:rPr>
          <w:rFonts w:ascii="Arial" w:cs="Arial" w:eastAsia="Arial" w:hAnsi="Arial"/>
          <w:sz w:val="18"/>
          <w:szCs w:val="18"/>
          <w:color w:val="auto"/>
        </w:rPr>
        <w:t>As of December 31, 2020 and 2019, the original cost of land, buildings, machinery and equipment was reflected net of investment grants in the aggregate amount of $285,615.</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80" w:type="dxa"/>
            <w:vAlign w:val="bottom"/>
            <w:gridSpan w:val="2"/>
          </w:tcPr>
          <w:p>
            <w:pPr>
              <w:spacing w:after="0"/>
              <w:rPr>
                <w:sz w:val="20"/>
                <w:szCs w:val="20"/>
                <w:color w:val="auto"/>
              </w:rPr>
            </w:pPr>
            <w:r>
              <w:rPr>
                <w:rFonts w:ascii="Arial" w:cs="Arial" w:eastAsia="Arial" w:hAnsi="Arial"/>
                <w:sz w:val="18"/>
                <w:szCs w:val="18"/>
                <w:b w:val="1"/>
                <w:bCs w:val="1"/>
                <w:color w:val="auto"/>
              </w:rPr>
              <w:t>NOTE 7  -   INTANGIBLE ASSETS, NET</w:t>
            </w: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05"/>
        </w:trPr>
        <w:tc>
          <w:tcPr>
            <w:tcW w:w="1080" w:type="dxa"/>
            <w:vAlign w:val="bottom"/>
          </w:tcPr>
          <w:p>
            <w:pPr>
              <w:spacing w:after="0"/>
              <w:rPr>
                <w:sz w:val="24"/>
                <w:szCs w:val="24"/>
                <w:color w:val="auto"/>
              </w:rPr>
            </w:pPr>
          </w:p>
        </w:tc>
        <w:tc>
          <w:tcPr>
            <w:tcW w:w="5100" w:type="dxa"/>
            <w:vAlign w:val="bottom"/>
          </w:tcPr>
          <w:p>
            <w:pPr>
              <w:spacing w:after="0"/>
              <w:rPr>
                <w:sz w:val="20"/>
                <w:szCs w:val="20"/>
                <w:color w:val="auto"/>
              </w:rPr>
            </w:pPr>
            <w:r>
              <w:rPr>
                <w:rFonts w:ascii="Arial" w:cs="Arial" w:eastAsia="Arial" w:hAnsi="Arial"/>
                <w:sz w:val="18"/>
                <w:szCs w:val="18"/>
                <w:color w:val="auto"/>
                <w:w w:val="95"/>
              </w:rPr>
              <w:t>Intangible assets consist of the following as of December 31, 2020:</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1"/>
        </w:trPr>
        <w:tc>
          <w:tcPr>
            <w:tcW w:w="108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6"/>
              </w:rPr>
              <w:t>Useful Life</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w w:val="97"/>
              </w:rPr>
              <w:t>Accumulated</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108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(years)</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Cost</w:t>
            </w: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Amortization</w:t>
            </w:r>
          </w:p>
        </w:tc>
        <w:tc>
          <w:tcPr>
            <w:tcW w:w="260" w:type="dxa"/>
            <w:vAlign w:val="bottom"/>
          </w:tcPr>
          <w:p>
            <w:pPr>
              <w:spacing w:after="0"/>
              <w:rPr>
                <w:sz w:val="20"/>
                <w:szCs w:val="20"/>
                <w:color w:val="auto"/>
              </w:rPr>
            </w:pPr>
          </w:p>
        </w:tc>
        <w:tc>
          <w:tcPr>
            <w:tcW w:w="960" w:type="dxa"/>
            <w:vAlign w:val="bottom"/>
            <w:gridSpan w:val="2"/>
          </w:tcPr>
          <w:p>
            <w:pPr>
              <w:ind w:left="160"/>
              <w:spacing w:after="0"/>
              <w:rPr>
                <w:sz w:val="20"/>
                <w:szCs w:val="20"/>
                <w:color w:val="auto"/>
              </w:rPr>
            </w:pPr>
            <w:r>
              <w:rPr>
                <w:rFonts w:ascii="Arial" w:cs="Arial" w:eastAsia="Arial" w:hAnsi="Arial"/>
                <w:sz w:val="18"/>
                <w:szCs w:val="18"/>
                <w:color w:val="auto"/>
              </w:rPr>
              <w:t>Net</w:t>
            </w:r>
          </w:p>
        </w:tc>
      </w:tr>
      <w:tr>
        <w:trPr>
          <w:trHeight w:val="216"/>
        </w:trPr>
        <w:tc>
          <w:tcPr>
            <w:tcW w:w="108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Technologies</w:t>
            </w:r>
          </w:p>
        </w:tc>
        <w:tc>
          <w:tcPr>
            <w:tcW w:w="1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4;5;9</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114,805</w:t>
            </w:r>
          </w:p>
        </w:tc>
        <w:tc>
          <w:tcPr>
            <w:tcW w:w="1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(112,284)</w:t>
            </w:r>
          </w:p>
        </w:tc>
        <w:tc>
          <w:tcPr>
            <w:tcW w:w="1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2,521</w:t>
            </w:r>
          </w:p>
        </w:tc>
        <w:tc>
          <w:tcPr>
            <w:tcW w:w="100" w:type="dxa"/>
            <w:vAlign w:val="bottom"/>
            <w:shd w:val="clear" w:color="auto" w:fill="CCEEFF"/>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Facilities lease</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19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33,500</w:t>
            </w:r>
          </w:p>
        </w:tc>
        <w:tc>
          <w:tcPr>
            <w:tcW w:w="2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(25,529)</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7,971</w:t>
            </w:r>
          </w:p>
        </w:tc>
      </w:tr>
      <w:tr>
        <w:trPr>
          <w:trHeight w:val="216"/>
        </w:trPr>
        <w:tc>
          <w:tcPr>
            <w:tcW w:w="108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Trade name</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7,834</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(7,834)</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08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15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2,600</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(2,130)</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470</w:t>
            </w:r>
          </w:p>
        </w:tc>
      </w:tr>
      <w:tr>
        <w:trPr>
          <w:trHeight w:val="27"/>
        </w:trPr>
        <w:tc>
          <w:tcPr>
            <w:tcW w:w="108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56"/>
        </w:trPr>
        <w:tc>
          <w:tcPr>
            <w:tcW w:w="1080" w:type="dxa"/>
            <w:vAlign w:val="bottom"/>
          </w:tcPr>
          <w:p>
            <w:pPr>
              <w:spacing w:after="0"/>
              <w:rPr>
                <w:sz w:val="22"/>
                <w:szCs w:val="22"/>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Total identifiable intangible assets</w:t>
            </w:r>
          </w:p>
        </w:tc>
        <w:tc>
          <w:tcPr>
            <w:tcW w:w="1020" w:type="dxa"/>
            <w:vAlign w:val="bottom"/>
            <w:shd w:val="clear" w:color="auto" w:fill="CCEEFF"/>
          </w:tcPr>
          <w:p>
            <w:pPr>
              <w:spacing w:after="0"/>
              <w:rPr>
                <w:sz w:val="22"/>
                <w:szCs w:val="22"/>
                <w:color w:val="auto"/>
              </w:rPr>
            </w:pPr>
          </w:p>
        </w:tc>
        <w:tc>
          <w:tcPr>
            <w:tcW w:w="46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158,739</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(147,777)</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10,962</w:t>
            </w:r>
          </w:p>
        </w:tc>
      </w:tr>
      <w:tr>
        <w:trPr>
          <w:trHeight w:val="386"/>
        </w:trPr>
        <w:tc>
          <w:tcPr>
            <w:tcW w:w="1080" w:type="dxa"/>
            <w:vAlign w:val="bottom"/>
          </w:tcPr>
          <w:p>
            <w:pPr>
              <w:spacing w:after="0"/>
              <w:rPr>
                <w:sz w:val="24"/>
                <w:szCs w:val="24"/>
                <w:color w:val="auto"/>
              </w:rPr>
            </w:pPr>
          </w:p>
        </w:tc>
        <w:tc>
          <w:tcPr>
            <w:tcW w:w="5100" w:type="dxa"/>
            <w:vAlign w:val="bottom"/>
            <w:tcBorders>
              <w:top w:val="single" w:sz="8" w:color="CCEEFF"/>
            </w:tcBorders>
          </w:tcPr>
          <w:p>
            <w:pPr>
              <w:spacing w:after="0"/>
              <w:rPr>
                <w:sz w:val="20"/>
                <w:szCs w:val="20"/>
                <w:color w:val="auto"/>
              </w:rPr>
            </w:pPr>
            <w:r>
              <w:rPr>
                <w:rFonts w:ascii="Arial" w:cs="Arial" w:eastAsia="Arial" w:hAnsi="Arial"/>
                <w:sz w:val="18"/>
                <w:szCs w:val="18"/>
                <w:color w:val="auto"/>
                <w:w w:val="95"/>
              </w:rPr>
              <w:t>Intangible assets consist of the following as of December 31, 2019:</w:t>
            </w:r>
          </w:p>
        </w:tc>
        <w:tc>
          <w:tcPr>
            <w:tcW w:w="10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391"/>
        </w:trPr>
        <w:tc>
          <w:tcPr>
            <w:tcW w:w="108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6"/>
              </w:rPr>
              <w:t>Useful Life</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w w:val="97"/>
              </w:rPr>
              <w:t>Accumulated</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108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(years)</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Cost</w:t>
            </w: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Amortization</w:t>
            </w:r>
          </w:p>
        </w:tc>
        <w:tc>
          <w:tcPr>
            <w:tcW w:w="260" w:type="dxa"/>
            <w:vAlign w:val="bottom"/>
          </w:tcPr>
          <w:p>
            <w:pPr>
              <w:spacing w:after="0"/>
              <w:rPr>
                <w:sz w:val="20"/>
                <w:szCs w:val="20"/>
                <w:color w:val="auto"/>
              </w:rPr>
            </w:pPr>
          </w:p>
        </w:tc>
        <w:tc>
          <w:tcPr>
            <w:tcW w:w="960" w:type="dxa"/>
            <w:vAlign w:val="bottom"/>
            <w:gridSpan w:val="2"/>
          </w:tcPr>
          <w:p>
            <w:pPr>
              <w:ind w:left="160"/>
              <w:spacing w:after="0"/>
              <w:rPr>
                <w:sz w:val="20"/>
                <w:szCs w:val="20"/>
                <w:color w:val="auto"/>
              </w:rPr>
            </w:pPr>
            <w:r>
              <w:rPr>
                <w:rFonts w:ascii="Arial" w:cs="Arial" w:eastAsia="Arial" w:hAnsi="Arial"/>
                <w:sz w:val="18"/>
                <w:szCs w:val="18"/>
                <w:color w:val="auto"/>
              </w:rPr>
              <w:t>Net</w:t>
            </w:r>
          </w:p>
        </w:tc>
      </w:tr>
      <w:tr>
        <w:trPr>
          <w:trHeight w:val="216"/>
        </w:trPr>
        <w:tc>
          <w:tcPr>
            <w:tcW w:w="108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Technologies</w:t>
            </w:r>
          </w:p>
        </w:tc>
        <w:tc>
          <w:tcPr>
            <w:tcW w:w="1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4;5;9</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111,108</w:t>
            </w:r>
          </w:p>
        </w:tc>
        <w:tc>
          <w:tcPr>
            <w:tcW w:w="1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(110,730)</w:t>
            </w:r>
          </w:p>
        </w:tc>
        <w:tc>
          <w:tcPr>
            <w:tcW w:w="1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00" w:type="dxa"/>
            <w:vAlign w:val="bottom"/>
            <w:shd w:val="clear" w:color="auto" w:fill="CCEEFF"/>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Facilities lease</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19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33,500</w:t>
            </w:r>
          </w:p>
        </w:tc>
        <w:tc>
          <w:tcPr>
            <w:tcW w:w="2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(24,241)</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9,259</w:t>
            </w:r>
          </w:p>
        </w:tc>
      </w:tr>
      <w:tr>
        <w:trPr>
          <w:trHeight w:val="216"/>
        </w:trPr>
        <w:tc>
          <w:tcPr>
            <w:tcW w:w="108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Trade name</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7,702</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(7,702)</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08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15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2,600</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(1,956)</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644</w:t>
            </w:r>
          </w:p>
        </w:tc>
      </w:tr>
      <w:tr>
        <w:trPr>
          <w:trHeight w:val="27"/>
        </w:trPr>
        <w:tc>
          <w:tcPr>
            <w:tcW w:w="108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6"/>
        </w:trPr>
        <w:tc>
          <w:tcPr>
            <w:tcW w:w="1080" w:type="dxa"/>
            <w:vAlign w:val="bottom"/>
          </w:tcPr>
          <w:p>
            <w:pPr>
              <w:spacing w:after="0"/>
              <w:rPr>
                <w:sz w:val="20"/>
                <w:szCs w:val="20"/>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Total identifiable intangible assets</w:t>
            </w:r>
          </w:p>
        </w:tc>
        <w:tc>
          <w:tcPr>
            <w:tcW w:w="102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154,910</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(144,629)</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10,281</w:t>
            </w:r>
          </w:p>
        </w:tc>
      </w:tr>
      <w:tr>
        <w:trPr>
          <w:trHeight w:val="20"/>
        </w:trPr>
        <w:tc>
          <w:tcPr>
            <w:tcW w:w="1080" w:type="dxa"/>
            <w:vAlign w:val="bottom"/>
          </w:tcPr>
          <w:p>
            <w:pPr>
              <w:spacing w:after="0" w:line="20" w:lineRule="exact"/>
              <w:rPr>
                <w:sz w:val="1"/>
                <w:szCs w:val="1"/>
                <w:color w:val="auto"/>
              </w:rPr>
            </w:pPr>
          </w:p>
        </w:tc>
        <w:tc>
          <w:tcPr>
            <w:tcW w:w="51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20" w:type="dxa"/>
            <w:vAlign w:val="bottom"/>
            <w:gridSpan w:val="2"/>
          </w:tcPr>
          <w:p>
            <w:pPr>
              <w:spacing w:after="0"/>
              <w:rPr>
                <w:sz w:val="20"/>
                <w:szCs w:val="20"/>
                <w:color w:val="auto"/>
              </w:rPr>
            </w:pPr>
            <w:r>
              <w:rPr>
                <w:rFonts w:ascii="Arial" w:cs="Arial" w:eastAsia="Arial" w:hAnsi="Arial"/>
                <w:sz w:val="18"/>
                <w:szCs w:val="18"/>
                <w:b w:val="1"/>
                <w:bCs w:val="1"/>
                <w:color w:val="auto"/>
              </w:rPr>
              <w:t>NOTE 8  -  DEFERRED TAX AND OTHER LONG-TERM ASSETS, NET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1080" w:type="dxa"/>
            <w:vAlign w:val="bottom"/>
          </w:tcPr>
          <w:p>
            <w:pPr>
              <w:spacing w:after="0"/>
              <w:rPr>
                <w:sz w:val="24"/>
                <w:szCs w:val="24"/>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Deferred tax and other long-term assets, net consist of the following:</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8"/>
        </w:trPr>
        <w:tc>
          <w:tcPr>
            <w:tcW w:w="108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80" w:type="dxa"/>
            <w:vAlign w:val="bottom"/>
            <w:gridSpan w:val="5"/>
          </w:tcPr>
          <w:p>
            <w:pPr>
              <w:ind w:left="240"/>
              <w:spacing w:after="0"/>
              <w:rPr>
                <w:sz w:val="20"/>
                <w:szCs w:val="20"/>
                <w:color w:val="auto"/>
              </w:rPr>
            </w:pPr>
            <w:r>
              <w:rPr>
                <w:rFonts w:ascii="Arial" w:cs="Arial" w:eastAsia="Arial" w:hAnsi="Arial"/>
                <w:sz w:val="18"/>
                <w:szCs w:val="18"/>
                <w:color w:val="auto"/>
              </w:rPr>
              <w:t>As of December 31,</w:t>
            </w:r>
          </w:p>
        </w:tc>
      </w:tr>
      <w:tr>
        <w:trPr>
          <w:trHeight w:val="223"/>
        </w:trPr>
        <w:tc>
          <w:tcPr>
            <w:tcW w:w="1080" w:type="dxa"/>
            <w:vAlign w:val="bottom"/>
          </w:tcPr>
          <w:p>
            <w:pPr>
              <w:spacing w:after="0"/>
              <w:rPr>
                <w:sz w:val="19"/>
                <w:szCs w:val="19"/>
                <w:color w:val="auto"/>
              </w:rPr>
            </w:pPr>
          </w:p>
        </w:tc>
        <w:tc>
          <w:tcPr>
            <w:tcW w:w="76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1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r>
      <w:tr>
        <w:trPr>
          <w:trHeight w:val="216"/>
        </w:trPr>
        <w:tc>
          <w:tcPr>
            <w:tcW w:w="108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 (see Note 19)</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57,802</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66,362</w:t>
            </w:r>
          </w:p>
        </w:tc>
        <w:tc>
          <w:tcPr>
            <w:tcW w:w="100" w:type="dxa"/>
            <w:vAlign w:val="bottom"/>
            <w:shd w:val="clear" w:color="auto" w:fill="CCEEFF"/>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Right of use - assets under operating leases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18,990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17,828</w:t>
            </w:r>
          </w:p>
        </w:tc>
      </w:tr>
      <w:tr>
        <w:trPr>
          <w:trHeight w:val="216"/>
        </w:trPr>
        <w:tc>
          <w:tcPr>
            <w:tcW w:w="108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Prepaid long-term land lease, net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3,055</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3,175</w:t>
            </w:r>
          </w:p>
        </w:tc>
      </w:tr>
      <w:tr>
        <w:trPr>
          <w:trHeight w:val="216"/>
        </w:trPr>
        <w:tc>
          <w:tcPr>
            <w:tcW w:w="108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Fair value of cross currency interest rate swap (see Note 12D)</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10,661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12,625</w:t>
            </w:r>
          </w:p>
        </w:tc>
      </w:tr>
      <w:tr>
        <w:trPr>
          <w:trHeight w:val="223"/>
        </w:trPr>
        <w:tc>
          <w:tcPr>
            <w:tcW w:w="1080" w:type="dxa"/>
            <w:vAlign w:val="bottom"/>
          </w:tcPr>
          <w:p>
            <w:pPr>
              <w:spacing w:after="0"/>
              <w:rPr>
                <w:sz w:val="19"/>
                <w:szCs w:val="19"/>
                <w:color w:val="auto"/>
              </w:rPr>
            </w:pPr>
          </w:p>
        </w:tc>
        <w:tc>
          <w:tcPr>
            <w:tcW w:w="7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prepaid expenses and others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2,893</w:t>
            </w:r>
          </w:p>
        </w:tc>
        <w:tc>
          <w:tcPr>
            <w:tcW w:w="1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8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93,401</w:t>
            </w:r>
          </w:p>
        </w:tc>
        <w:tc>
          <w:tcPr>
            <w:tcW w:w="1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105,047</w:t>
            </w:r>
          </w:p>
        </w:tc>
      </w:tr>
      <w:tr>
        <w:trPr>
          <w:trHeight w:val="20"/>
        </w:trPr>
        <w:tc>
          <w:tcPr>
            <w:tcW w:w="108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0" w:type="dxa"/>
            <w:vAlign w:val="bottom"/>
            <w:gridSpan w:val="2"/>
          </w:tcPr>
          <w:p>
            <w:pPr>
              <w:spacing w:after="0"/>
              <w:rPr>
                <w:sz w:val="20"/>
                <w:szCs w:val="20"/>
                <w:color w:val="auto"/>
              </w:rPr>
            </w:pPr>
            <w:r>
              <w:rPr>
                <w:rFonts w:ascii="Arial" w:cs="Arial" w:eastAsia="Arial" w:hAnsi="Arial"/>
                <w:sz w:val="18"/>
                <w:szCs w:val="18"/>
                <w:b w:val="1"/>
                <w:bCs w:val="1"/>
                <w:color w:val="auto"/>
              </w:rPr>
              <w:t>NOTE 9  -  OTHER CURRENT LIABILITIES</w:t>
            </w:r>
          </w:p>
        </w:tc>
        <w:tc>
          <w:tcPr>
            <w:tcW w:w="3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8"/>
        </w:trPr>
        <w:tc>
          <w:tcPr>
            <w:tcW w:w="1080" w:type="dxa"/>
            <w:vAlign w:val="bottom"/>
          </w:tcPr>
          <w:p>
            <w:pPr>
              <w:spacing w:after="0"/>
              <w:rPr>
                <w:sz w:val="24"/>
                <w:szCs w:val="24"/>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Other current liabilities consist of the following:</w:t>
            </w:r>
          </w:p>
        </w:tc>
        <w:tc>
          <w:tcPr>
            <w:tcW w:w="3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8"/>
        </w:trPr>
        <w:tc>
          <w:tcPr>
            <w:tcW w:w="108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80" w:type="dxa"/>
            <w:vAlign w:val="bottom"/>
            <w:gridSpan w:val="6"/>
          </w:tcPr>
          <w:p>
            <w:pPr>
              <w:ind w:left="240"/>
              <w:spacing w:after="0"/>
              <w:rPr>
                <w:sz w:val="20"/>
                <w:szCs w:val="20"/>
                <w:color w:val="auto"/>
              </w:rPr>
            </w:pPr>
            <w:r>
              <w:rPr>
                <w:rFonts w:ascii="Arial" w:cs="Arial" w:eastAsia="Arial" w:hAnsi="Arial"/>
                <w:sz w:val="18"/>
                <w:szCs w:val="18"/>
                <w:color w:val="auto"/>
              </w:rPr>
              <w:t>As of December 31,</w:t>
            </w:r>
          </w:p>
        </w:tc>
      </w:tr>
      <w:tr>
        <w:trPr>
          <w:trHeight w:val="223"/>
        </w:trPr>
        <w:tc>
          <w:tcPr>
            <w:tcW w:w="108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1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108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Tax payables</w:t>
            </w:r>
          </w:p>
        </w:tc>
        <w:tc>
          <w:tcPr>
            <w:tcW w:w="37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4,935</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Interest payable on debt</w:t>
            </w:r>
          </w:p>
        </w:tc>
        <w:tc>
          <w:tcPr>
            <w:tcW w:w="3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868</w:t>
            </w:r>
          </w:p>
        </w:tc>
        <w:tc>
          <w:tcPr>
            <w:tcW w:w="2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1,057</w:t>
            </w:r>
          </w:p>
        </w:tc>
        <w:tc>
          <w:tcPr>
            <w:tcW w:w="20" w:type="dxa"/>
            <w:vAlign w:val="bottom"/>
          </w:tcPr>
          <w:p>
            <w:pPr>
              <w:spacing w:after="0"/>
              <w:rPr>
                <w:sz w:val="18"/>
                <w:szCs w:val="18"/>
                <w:color w:val="auto"/>
              </w:rPr>
            </w:pPr>
          </w:p>
        </w:tc>
      </w:tr>
      <w:tr>
        <w:trPr>
          <w:trHeight w:val="223"/>
        </w:trPr>
        <w:tc>
          <w:tcPr>
            <w:tcW w:w="1080" w:type="dxa"/>
            <w:vAlign w:val="bottom"/>
          </w:tcPr>
          <w:p>
            <w:pPr>
              <w:spacing w:after="0"/>
              <w:rPr>
                <w:sz w:val="19"/>
                <w:szCs w:val="19"/>
                <w:color w:val="auto"/>
              </w:rPr>
            </w:pPr>
          </w:p>
        </w:tc>
        <w:tc>
          <w:tcPr>
            <w:tcW w:w="3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Others</w:t>
            </w:r>
          </w:p>
        </w:tc>
        <w:tc>
          <w:tcPr>
            <w:tcW w:w="37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2,102</w:t>
            </w:r>
          </w:p>
        </w:tc>
        <w:tc>
          <w:tcPr>
            <w:tcW w:w="1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5,962</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r>
      <w:tr>
        <w:trPr>
          <w:trHeight w:val="216"/>
        </w:trPr>
        <w:tc>
          <w:tcPr>
            <w:tcW w:w="10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396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7,905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7,301</w:t>
            </w:r>
          </w:p>
        </w:tc>
        <w:tc>
          <w:tcPr>
            <w:tcW w:w="20" w:type="dxa"/>
            <w:vAlign w:val="bottom"/>
          </w:tcPr>
          <w:p>
            <w:pPr>
              <w:spacing w:after="0"/>
              <w:rPr>
                <w:sz w:val="18"/>
                <w:szCs w:val="18"/>
                <w:color w:val="auto"/>
              </w:rPr>
            </w:pPr>
          </w:p>
        </w:tc>
      </w:tr>
      <w:tr>
        <w:trPr>
          <w:trHeight w:val="20"/>
        </w:trPr>
        <w:tc>
          <w:tcPr>
            <w:tcW w:w="10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3"/>
        </w:trPr>
        <w:tc>
          <w:tcPr>
            <w:tcW w:w="108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960" w:type="dxa"/>
            <w:vAlign w:val="bottom"/>
            <w:gridSpan w:val="2"/>
          </w:tcPr>
          <w:p>
            <w:pPr>
              <w:jc w:val="right"/>
              <w:ind w:right="3047"/>
              <w:spacing w:after="0"/>
              <w:rPr>
                <w:sz w:val="20"/>
                <w:szCs w:val="20"/>
                <w:color w:val="auto"/>
              </w:rPr>
            </w:pPr>
            <w:r>
              <w:rPr>
                <w:rFonts w:ascii="Arial" w:cs="Arial" w:eastAsia="Arial" w:hAnsi="Arial"/>
                <w:sz w:val="18"/>
                <w:szCs w:val="18"/>
                <w:color w:val="auto"/>
              </w:rPr>
              <w:t>F-22</w:t>
            </w: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1080" w:type="dxa"/>
            <w:vAlign w:val="bottom"/>
            <w:tcBorders>
              <w:bottom w:val="single" w:sz="8" w:color="EEEEEE"/>
            </w:tcBorders>
          </w:tcPr>
          <w:p>
            <w:pPr>
              <w:spacing w:after="0"/>
              <w:rPr>
                <w:sz w:val="18"/>
                <w:szCs w:val="18"/>
                <w:color w:val="auto"/>
              </w:rPr>
            </w:pPr>
          </w:p>
        </w:tc>
        <w:tc>
          <w:tcPr>
            <w:tcW w:w="3920" w:type="dxa"/>
            <w:vAlign w:val="bottom"/>
            <w:tcBorders>
              <w:bottom w:val="single" w:sz="8" w:color="EEEEEE"/>
            </w:tcBorders>
          </w:tcPr>
          <w:p>
            <w:pPr>
              <w:spacing w:after="0"/>
              <w:rPr>
                <w:sz w:val="18"/>
                <w:szCs w:val="18"/>
                <w:color w:val="auto"/>
              </w:rPr>
            </w:pPr>
          </w:p>
        </w:tc>
        <w:tc>
          <w:tcPr>
            <w:tcW w:w="3720" w:type="dxa"/>
            <w:vAlign w:val="bottom"/>
            <w:tcBorders>
              <w:bottom w:val="single" w:sz="8" w:color="EEEEEE"/>
            </w:tcBorders>
          </w:tcPr>
          <w:p>
            <w:pPr>
              <w:spacing w:after="0"/>
              <w:rPr>
                <w:sz w:val="18"/>
                <w:szCs w:val="18"/>
                <w:color w:val="auto"/>
              </w:rPr>
            </w:pPr>
          </w:p>
        </w:tc>
        <w:tc>
          <w:tcPr>
            <w:tcW w:w="240" w:type="dxa"/>
            <w:vAlign w:val="bottom"/>
            <w:tcBorders>
              <w:bottom w:val="single" w:sz="8" w:color="EEEEEE"/>
            </w:tcBorders>
          </w:tcPr>
          <w:p>
            <w:pPr>
              <w:spacing w:after="0"/>
              <w:rPr>
                <w:sz w:val="18"/>
                <w:szCs w:val="18"/>
                <w:color w:val="auto"/>
              </w:rPr>
            </w:pPr>
          </w:p>
        </w:tc>
        <w:tc>
          <w:tcPr>
            <w:tcW w:w="880" w:type="dxa"/>
            <w:vAlign w:val="bottom"/>
            <w:tcBorders>
              <w:bottom w:val="single" w:sz="8" w:color="EEEEEE"/>
            </w:tcBorders>
          </w:tcPr>
          <w:p>
            <w:pPr>
              <w:spacing w:after="0"/>
              <w:rPr>
                <w:sz w:val="18"/>
                <w:szCs w:val="18"/>
                <w:color w:val="auto"/>
              </w:rPr>
            </w:pPr>
          </w:p>
        </w:tc>
        <w:tc>
          <w:tcPr>
            <w:tcW w:w="180" w:type="dxa"/>
            <w:vAlign w:val="bottom"/>
            <w:tcBorders>
              <w:bottom w:val="single" w:sz="8" w:color="EEEEEE"/>
            </w:tcBorders>
          </w:tcPr>
          <w:p>
            <w:pPr>
              <w:spacing w:after="0"/>
              <w:rPr>
                <w:sz w:val="18"/>
                <w:szCs w:val="18"/>
                <w:color w:val="auto"/>
              </w:rPr>
            </w:pPr>
          </w:p>
        </w:tc>
        <w:tc>
          <w:tcPr>
            <w:tcW w:w="240" w:type="dxa"/>
            <w:vAlign w:val="bottom"/>
            <w:tcBorders>
              <w:bottom w:val="single" w:sz="8" w:color="EEEEEE"/>
            </w:tcBorders>
          </w:tcPr>
          <w:p>
            <w:pPr>
              <w:spacing w:after="0"/>
              <w:rPr>
                <w:sz w:val="18"/>
                <w:szCs w:val="18"/>
                <w:color w:val="auto"/>
              </w:rPr>
            </w:pPr>
          </w:p>
        </w:tc>
        <w:tc>
          <w:tcPr>
            <w:tcW w:w="880" w:type="dxa"/>
            <w:vAlign w:val="bottom"/>
            <w:tcBorders>
              <w:bottom w:val="single" w:sz="8" w:color="EEEEEE"/>
            </w:tcBorders>
          </w:tcPr>
          <w:p>
            <w:pPr>
              <w:spacing w:after="0"/>
              <w:rPr>
                <w:sz w:val="18"/>
                <w:szCs w:val="18"/>
                <w:color w:val="auto"/>
              </w:rPr>
            </w:pPr>
          </w:p>
        </w:tc>
        <w:tc>
          <w:tcPr>
            <w:tcW w:w="80" w:type="dxa"/>
            <w:vAlign w:val="bottom"/>
            <w:tcBorders>
              <w:bottom w:val="single" w:sz="8" w:color="EEEEEE"/>
            </w:tcBorders>
          </w:tcPr>
          <w:p>
            <w:pPr>
              <w:spacing w:after="0"/>
              <w:rPr>
                <w:sz w:val="18"/>
                <w:szCs w:val="18"/>
                <w:color w:val="auto"/>
              </w:rPr>
            </w:pP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19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7"/>
          <w:szCs w:val="17"/>
          <w:b w:val="1"/>
          <w:bCs w:val="1"/>
          <w:color w:val="auto"/>
        </w:rPr>
        <w:t>- SERIES G DEBENTURES</w:t>
      </w:r>
    </w:p>
    <w:p>
      <w:pPr>
        <w:spacing w:after="0" w:line="202" w:lineRule="exact"/>
        <w:rPr>
          <w:sz w:val="20"/>
          <w:szCs w:val="20"/>
          <w:color w:val="auto"/>
        </w:rPr>
      </w:pPr>
    </w:p>
    <w:p>
      <w:pPr>
        <w:jc w:val="both"/>
        <w:ind w:left="1080" w:right="20"/>
        <w:spacing w:after="0" w:line="277" w:lineRule="auto"/>
        <w:rPr>
          <w:sz w:val="20"/>
          <w:szCs w:val="20"/>
          <w:color w:val="auto"/>
        </w:rPr>
      </w:pPr>
      <w:r>
        <w:rPr>
          <w:rFonts w:ascii="Arial" w:cs="Arial" w:eastAsia="Arial" w:hAnsi="Arial"/>
          <w:sz w:val="18"/>
          <w:szCs w:val="18"/>
          <w:color w:val="auto"/>
        </w:rPr>
        <w:t>In June 2016, Tower raised approximately $115,000 through the issuance of long-term unsecured non-convertible debentures (“Series G Debentures”).</w:t>
      </w:r>
    </w:p>
    <w:p>
      <w:pPr>
        <w:spacing w:after="0" w:line="157" w:lineRule="exact"/>
        <w:rPr>
          <w:sz w:val="20"/>
          <w:szCs w:val="20"/>
          <w:color w:val="auto"/>
        </w:rPr>
      </w:pPr>
    </w:p>
    <w:p>
      <w:pPr>
        <w:jc w:val="both"/>
        <w:ind w:left="1080"/>
        <w:spacing w:after="0" w:line="259" w:lineRule="auto"/>
        <w:rPr>
          <w:sz w:val="20"/>
          <w:szCs w:val="20"/>
          <w:color w:val="auto"/>
        </w:rPr>
      </w:pPr>
      <w:r>
        <w:rPr>
          <w:rFonts w:ascii="Arial" w:cs="Arial" w:eastAsia="Arial" w:hAnsi="Arial"/>
          <w:sz w:val="18"/>
          <w:szCs w:val="18"/>
          <w:color w:val="auto"/>
        </w:rPr>
        <w:t>The Series G Debentures are payable in seven semi-annual consecutive equal installments from March 2020 to March 2023 and carry an annual interest rate of 2.79%, payable semi-annually. The principal and interest amounts are denominated in NIS and are not linked to any index or to any other currency. The Company entered into cash flow hedging transactions to mitigate the foreign exchange rate differences on the principal and interest using a cross currency swap.</w:t>
      </w:r>
    </w:p>
    <w:p>
      <w:pPr>
        <w:spacing w:after="0" w:line="173" w:lineRule="exact"/>
        <w:rPr>
          <w:sz w:val="20"/>
          <w:szCs w:val="20"/>
          <w:color w:val="auto"/>
        </w:rPr>
      </w:pPr>
    </w:p>
    <w:p>
      <w:pPr>
        <w:jc w:val="both"/>
        <w:ind w:left="1080"/>
        <w:spacing w:after="0" w:line="293" w:lineRule="auto"/>
        <w:rPr>
          <w:sz w:val="20"/>
          <w:szCs w:val="20"/>
          <w:color w:val="auto"/>
        </w:rPr>
      </w:pPr>
      <w:r>
        <w:rPr>
          <w:rFonts w:ascii="Arial" w:cs="Arial" w:eastAsia="Arial" w:hAnsi="Arial"/>
          <w:sz w:val="16"/>
          <w:szCs w:val="16"/>
          <w:color w:val="auto"/>
        </w:rPr>
        <w:t>As of December 31, 2020 and December 31, 2019, the outstanding principal amount of Series G Debentures was NIS 334 million and NIS 468 million, respectively (approximately $104,000 and $135,000, respectively), with related hedging transactions net asset fair value of approximately $17,000 and $16,000, respectively. The changes in the fair value of outstanding principal amount of the debentures and in the fair value of the hedging transaction, are attributed to the corresponding changes in the exchange rates during the reported periods (see Note 12D). The Series G Debentures’ indenture includes customary financial and other terms and conditions, including a negative pledge and financial covenants. As of December 31, 2020, the Company was in compliance with all of the financial covenants under the indenture.</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80" w:type="dxa"/>
            <w:vAlign w:val="bottom"/>
          </w:tcPr>
          <w:p>
            <w:pPr>
              <w:spacing w:after="0"/>
              <w:rPr>
                <w:sz w:val="20"/>
                <w:szCs w:val="20"/>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Composition by Repayment Schedule:</w:t>
            </w: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2"/>
        </w:trPr>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color w:val="auto"/>
              </w:rPr>
              <w:t>As of December 31, 2020</w:t>
            </w:r>
          </w:p>
        </w:tc>
        <w:tc>
          <w:tcPr>
            <w:tcW w:w="7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3"/>
        </w:trPr>
        <w:tc>
          <w:tcPr>
            <w:tcW w:w="1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Interest rate</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2022</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2023</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1080" w:type="dxa"/>
            <w:vAlign w:val="bottom"/>
          </w:tcPr>
          <w:p>
            <w:pPr>
              <w:spacing w:after="0"/>
              <w:rPr>
                <w:sz w:val="19"/>
                <w:szCs w:val="19"/>
                <w:color w:val="auto"/>
              </w:rPr>
            </w:pPr>
          </w:p>
        </w:tc>
        <w:tc>
          <w:tcPr>
            <w:tcW w:w="4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Series G Debentures</w:t>
            </w:r>
          </w:p>
        </w:tc>
        <w:tc>
          <w:tcPr>
            <w:tcW w:w="10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2.79%</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41,590</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41,590</w:t>
            </w:r>
          </w:p>
        </w:tc>
        <w:tc>
          <w:tcPr>
            <w:tcW w:w="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20,796</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103,976</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r>
      <w:tr>
        <w:trPr>
          <w:trHeight w:val="216"/>
        </w:trPr>
        <w:tc>
          <w:tcPr>
            <w:tcW w:w="108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Accretion of carrying amount to principal amount</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(1,579)</w:t>
            </w:r>
          </w:p>
        </w:tc>
        <w:tc>
          <w:tcPr>
            <w:tcW w:w="20" w:type="dxa"/>
            <w:vAlign w:val="bottom"/>
          </w:tcPr>
          <w:p>
            <w:pPr>
              <w:spacing w:after="0"/>
              <w:rPr>
                <w:sz w:val="18"/>
                <w:szCs w:val="18"/>
                <w:color w:val="auto"/>
              </w:rPr>
            </w:pPr>
          </w:p>
        </w:tc>
      </w:tr>
      <w:tr>
        <w:trPr>
          <w:trHeight w:val="27"/>
        </w:trPr>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6"/>
        </w:trPr>
        <w:tc>
          <w:tcPr>
            <w:tcW w:w="1080" w:type="dxa"/>
            <w:vAlign w:val="bottom"/>
          </w:tcPr>
          <w:p>
            <w:pPr>
              <w:spacing w:after="0"/>
              <w:rPr>
                <w:sz w:val="20"/>
                <w:szCs w:val="20"/>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Carrying amount</w:t>
            </w:r>
          </w:p>
        </w:tc>
        <w:tc>
          <w:tcPr>
            <w:tcW w:w="10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80" w:type="dxa"/>
            <w:vAlign w:val="bottom"/>
            <w:gridSpan w:val="3"/>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102,397</w:t>
            </w:r>
          </w:p>
        </w:tc>
        <w:tc>
          <w:tcPr>
            <w:tcW w:w="20" w:type="dxa"/>
            <w:vAlign w:val="bottom"/>
            <w:shd w:val="clear" w:color="auto" w:fill="CCEEFF"/>
          </w:tcPr>
          <w:p>
            <w:pPr>
              <w:spacing w:after="0"/>
              <w:rPr>
                <w:sz w:val="20"/>
                <w:szCs w:val="20"/>
                <w:color w:val="auto"/>
              </w:rPr>
            </w:pPr>
          </w:p>
        </w:tc>
      </w:tr>
      <w:tr>
        <w:trPr>
          <w:trHeight w:val="20"/>
        </w:trPr>
        <w:tc>
          <w:tcPr>
            <w:tcW w:w="1080" w:type="dxa"/>
            <w:vAlign w:val="bottom"/>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8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480"/>
        </w:trPr>
        <w:tc>
          <w:tcPr>
            <w:tcW w:w="5260" w:type="dxa"/>
            <w:vAlign w:val="bottom"/>
            <w:gridSpan w:val="3"/>
          </w:tcPr>
          <w:p>
            <w:pPr>
              <w:spacing w:after="0"/>
              <w:rPr>
                <w:sz w:val="20"/>
                <w:szCs w:val="20"/>
                <w:color w:val="auto"/>
              </w:rPr>
            </w:pPr>
            <w:r>
              <w:rPr>
                <w:rFonts w:ascii="Arial" w:cs="Arial" w:eastAsia="Arial" w:hAnsi="Arial"/>
                <w:sz w:val="18"/>
                <w:szCs w:val="18"/>
                <w:b w:val="1"/>
                <w:bCs w:val="1"/>
                <w:color w:val="auto"/>
              </w:rPr>
              <w:t>NOTE 11  - OTHER LONG-TERM DEBT</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8"/>
        </w:trPr>
        <w:tc>
          <w:tcPr>
            <w:tcW w:w="1080" w:type="dxa"/>
            <w:vAlign w:val="bottom"/>
          </w:tcPr>
          <w:p>
            <w:pPr>
              <w:spacing w:after="0"/>
              <w:rPr>
                <w:sz w:val="24"/>
                <w:szCs w:val="24"/>
                <w:color w:val="auto"/>
              </w:rPr>
            </w:pPr>
          </w:p>
        </w:tc>
        <w:tc>
          <w:tcPr>
            <w:tcW w:w="4180" w:type="dxa"/>
            <w:vAlign w:val="bottom"/>
            <w:gridSpan w:val="2"/>
          </w:tcPr>
          <w:p>
            <w:pPr>
              <w:spacing w:after="0"/>
              <w:rPr>
                <w:sz w:val="20"/>
                <w:szCs w:val="20"/>
                <w:color w:val="auto"/>
              </w:rPr>
            </w:pPr>
            <w:r>
              <w:rPr>
                <w:rFonts w:ascii="Arial" w:cs="Arial" w:eastAsia="Arial" w:hAnsi="Arial"/>
                <w:sz w:val="18"/>
                <w:szCs w:val="18"/>
                <w:b w:val="1"/>
                <w:bCs w:val="1"/>
                <w:color w:val="auto"/>
              </w:rPr>
              <w:t>A.  Composition:</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8"/>
        </w:trPr>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00" w:type="dxa"/>
            <w:vAlign w:val="bottom"/>
            <w:gridSpan w:val="8"/>
          </w:tcPr>
          <w:p>
            <w:pPr>
              <w:ind w:left="100"/>
              <w:spacing w:after="0"/>
              <w:rPr>
                <w:sz w:val="20"/>
                <w:szCs w:val="20"/>
                <w:color w:val="auto"/>
              </w:rPr>
            </w:pPr>
            <w:r>
              <w:rPr>
                <w:rFonts w:ascii="Arial" w:cs="Arial" w:eastAsia="Arial" w:hAnsi="Arial"/>
                <w:sz w:val="18"/>
                <w:szCs w:val="18"/>
                <w:color w:val="auto"/>
              </w:rPr>
              <w:t>As of December 31,</w:t>
            </w:r>
          </w:p>
        </w:tc>
      </w:tr>
      <w:tr>
        <w:trPr>
          <w:trHeight w:val="223"/>
        </w:trPr>
        <w:tc>
          <w:tcPr>
            <w:tcW w:w="1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89"/>
              </w:rPr>
              <w:t>2020</w:t>
            </w:r>
          </w:p>
        </w:tc>
        <w:tc>
          <w:tcPr>
            <w:tcW w:w="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2019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Long-term JPY loan – principal amount – see B and C below</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106,719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101,365</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Capital leases and other long-term liabilities – see D below</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162,171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60,277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 – see E below</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18,990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17,828</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23"/>
        </w:trPr>
        <w:tc>
          <w:tcPr>
            <w:tcW w:w="1080" w:type="dxa"/>
            <w:vAlign w:val="bottom"/>
          </w:tcPr>
          <w:p>
            <w:pPr>
              <w:spacing w:after="0"/>
              <w:rPr>
                <w:sz w:val="19"/>
                <w:szCs w:val="19"/>
                <w:color w:val="auto"/>
              </w:rPr>
            </w:pPr>
          </w:p>
        </w:tc>
        <w:tc>
          <w:tcPr>
            <w:tcW w:w="4180" w:type="dxa"/>
            <w:vAlign w:val="bottom"/>
            <w:gridSpan w:val="2"/>
          </w:tcPr>
          <w:p>
            <w:pPr>
              <w:ind w:left="360"/>
              <w:spacing w:after="0"/>
              <w:rPr>
                <w:sz w:val="20"/>
                <w:szCs w:val="20"/>
                <w:color w:val="auto"/>
              </w:rPr>
            </w:pPr>
            <w:r>
              <w:rPr>
                <w:rFonts w:ascii="Arial" w:cs="Arial" w:eastAsia="Arial" w:hAnsi="Arial"/>
                <w:sz w:val="18"/>
                <w:szCs w:val="18"/>
                <w:color w:val="auto"/>
              </w:rPr>
              <w:t>Less - current maturities</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(65,658)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(28,201)</w:t>
            </w:r>
          </w:p>
        </w:tc>
        <w:tc>
          <w:tcPr>
            <w:tcW w:w="20" w:type="dxa"/>
            <w:vAlign w:val="bottom"/>
          </w:tcPr>
          <w:p>
            <w:pPr>
              <w:spacing w:after="0"/>
              <w:rPr>
                <w:sz w:val="19"/>
                <w:szCs w:val="19"/>
                <w:color w:val="auto"/>
              </w:rPr>
            </w:pPr>
          </w:p>
        </w:tc>
      </w:tr>
      <w:tr>
        <w:trPr>
          <w:trHeight w:val="256"/>
        </w:trPr>
        <w:tc>
          <w:tcPr>
            <w:tcW w:w="10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8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222,222</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gridSpan w:val="2"/>
            <w:shd w:val="clear" w:color="auto" w:fill="CCEEFF"/>
          </w:tcPr>
          <w:p>
            <w:pPr>
              <w:jc w:val="right"/>
              <w:ind w:right="87"/>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151,269</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r>
      <w:tr>
        <w:trPr>
          <w:trHeight w:val="413"/>
        </w:trPr>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020" w:type="dxa"/>
            <w:vAlign w:val="bottom"/>
          </w:tcPr>
          <w:p>
            <w:pPr>
              <w:ind w:left="160"/>
              <w:spacing w:after="0"/>
              <w:rPr>
                <w:sz w:val="20"/>
                <w:szCs w:val="20"/>
                <w:color w:val="auto"/>
              </w:rPr>
            </w:pPr>
            <w:r>
              <w:rPr>
                <w:rFonts w:ascii="Arial" w:cs="Arial" w:eastAsia="Arial" w:hAnsi="Arial"/>
                <w:sz w:val="18"/>
                <w:szCs w:val="18"/>
                <w:color w:val="auto"/>
              </w:rPr>
              <w:t>F-23</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1080" w:type="dxa"/>
            <w:vAlign w:val="bottom"/>
            <w:tcBorders>
              <w:bottom w:val="single" w:sz="8" w:color="EEEEEE"/>
            </w:tcBorders>
          </w:tcPr>
          <w:p>
            <w:pPr>
              <w:spacing w:after="0"/>
              <w:rPr>
                <w:sz w:val="17"/>
                <w:szCs w:val="17"/>
                <w:color w:val="auto"/>
              </w:rPr>
            </w:pPr>
          </w:p>
        </w:tc>
        <w:tc>
          <w:tcPr>
            <w:tcW w:w="380" w:type="dxa"/>
            <w:vAlign w:val="bottom"/>
            <w:tcBorders>
              <w:bottom w:val="single" w:sz="8" w:color="EEEEEE"/>
            </w:tcBorders>
          </w:tcPr>
          <w:p>
            <w:pPr>
              <w:spacing w:after="0"/>
              <w:rPr>
                <w:sz w:val="17"/>
                <w:szCs w:val="17"/>
                <w:color w:val="auto"/>
              </w:rPr>
            </w:pPr>
          </w:p>
        </w:tc>
        <w:tc>
          <w:tcPr>
            <w:tcW w:w="3800" w:type="dxa"/>
            <w:vAlign w:val="bottom"/>
            <w:tcBorders>
              <w:bottom w:val="single" w:sz="8" w:color="EEEEEE"/>
            </w:tcBorders>
          </w:tcPr>
          <w:p>
            <w:pPr>
              <w:spacing w:after="0"/>
              <w:rPr>
                <w:sz w:val="17"/>
                <w:szCs w:val="17"/>
                <w:color w:val="auto"/>
              </w:rPr>
            </w:pPr>
          </w:p>
        </w:tc>
        <w:tc>
          <w:tcPr>
            <w:tcW w:w="1020" w:type="dxa"/>
            <w:vAlign w:val="bottom"/>
            <w:tcBorders>
              <w:bottom w:val="single" w:sz="8" w:color="EEEEEE"/>
            </w:tcBorders>
          </w:tcPr>
          <w:p>
            <w:pPr>
              <w:spacing w:after="0"/>
              <w:rPr>
                <w:sz w:val="17"/>
                <w:szCs w:val="17"/>
                <w:color w:val="auto"/>
              </w:rPr>
            </w:pPr>
          </w:p>
        </w:tc>
        <w:tc>
          <w:tcPr>
            <w:tcW w:w="220" w:type="dxa"/>
            <w:vAlign w:val="bottom"/>
            <w:tcBorders>
              <w:bottom w:val="single" w:sz="8" w:color="EEEEEE"/>
            </w:tcBorders>
          </w:tcPr>
          <w:p>
            <w:pPr>
              <w:spacing w:after="0"/>
              <w:rPr>
                <w:sz w:val="17"/>
                <w:szCs w:val="17"/>
                <w:color w:val="auto"/>
              </w:rPr>
            </w:pPr>
          </w:p>
        </w:tc>
        <w:tc>
          <w:tcPr>
            <w:tcW w:w="220" w:type="dxa"/>
            <w:vAlign w:val="bottom"/>
            <w:tcBorders>
              <w:bottom w:val="single" w:sz="8" w:color="EEEEEE"/>
            </w:tcBorders>
          </w:tcPr>
          <w:p>
            <w:pPr>
              <w:spacing w:after="0"/>
              <w:rPr>
                <w:sz w:val="17"/>
                <w:szCs w:val="17"/>
                <w:color w:val="auto"/>
              </w:rPr>
            </w:pPr>
          </w:p>
        </w:tc>
        <w:tc>
          <w:tcPr>
            <w:tcW w:w="800" w:type="dxa"/>
            <w:vAlign w:val="bottom"/>
            <w:tcBorders>
              <w:bottom w:val="single" w:sz="8" w:color="EEEEEE"/>
            </w:tcBorders>
          </w:tcPr>
          <w:p>
            <w:pPr>
              <w:spacing w:after="0"/>
              <w:rPr>
                <w:sz w:val="17"/>
                <w:szCs w:val="17"/>
                <w:color w:val="auto"/>
              </w:rPr>
            </w:pPr>
          </w:p>
        </w:tc>
        <w:tc>
          <w:tcPr>
            <w:tcW w:w="220" w:type="dxa"/>
            <w:vAlign w:val="bottom"/>
            <w:tcBorders>
              <w:bottom w:val="single" w:sz="8" w:color="EEEEEE"/>
            </w:tcBorders>
          </w:tcPr>
          <w:p>
            <w:pPr>
              <w:spacing w:after="0"/>
              <w:rPr>
                <w:sz w:val="17"/>
                <w:szCs w:val="17"/>
                <w:color w:val="auto"/>
              </w:rPr>
            </w:pPr>
          </w:p>
        </w:tc>
        <w:tc>
          <w:tcPr>
            <w:tcW w:w="220" w:type="dxa"/>
            <w:vAlign w:val="bottom"/>
            <w:tcBorders>
              <w:bottom w:val="single" w:sz="8" w:color="EEEEEE"/>
            </w:tcBorders>
          </w:tcPr>
          <w:p>
            <w:pPr>
              <w:spacing w:after="0"/>
              <w:rPr>
                <w:sz w:val="17"/>
                <w:szCs w:val="17"/>
                <w:color w:val="auto"/>
              </w:rPr>
            </w:pPr>
          </w:p>
        </w:tc>
        <w:tc>
          <w:tcPr>
            <w:tcW w:w="800" w:type="dxa"/>
            <w:vAlign w:val="bottom"/>
            <w:tcBorders>
              <w:bottom w:val="single" w:sz="8" w:color="EEEEEE"/>
            </w:tcBorders>
          </w:tcPr>
          <w:p>
            <w:pPr>
              <w:spacing w:after="0"/>
              <w:rPr>
                <w:sz w:val="17"/>
                <w:szCs w:val="17"/>
                <w:color w:val="auto"/>
              </w:rPr>
            </w:pPr>
          </w:p>
        </w:tc>
        <w:tc>
          <w:tcPr>
            <w:tcW w:w="40" w:type="dxa"/>
            <w:vAlign w:val="bottom"/>
            <w:tcBorders>
              <w:bottom w:val="single" w:sz="8" w:color="EEEEEE"/>
            </w:tcBorders>
          </w:tcPr>
          <w:p>
            <w:pPr>
              <w:spacing w:after="0"/>
              <w:rPr>
                <w:sz w:val="17"/>
                <w:szCs w:val="17"/>
                <w:color w:val="auto"/>
              </w:rPr>
            </w:pPr>
          </w:p>
        </w:tc>
        <w:tc>
          <w:tcPr>
            <w:tcW w:w="140" w:type="dxa"/>
            <w:vAlign w:val="bottom"/>
            <w:tcBorders>
              <w:bottom w:val="single" w:sz="8" w:color="EEEEEE"/>
            </w:tcBorders>
          </w:tcPr>
          <w:p>
            <w:pPr>
              <w:spacing w:after="0"/>
              <w:rPr>
                <w:sz w:val="17"/>
                <w:szCs w:val="17"/>
                <w:color w:val="auto"/>
              </w:rPr>
            </w:pPr>
          </w:p>
        </w:tc>
        <w:tc>
          <w:tcPr>
            <w:tcW w:w="200" w:type="dxa"/>
            <w:vAlign w:val="bottom"/>
            <w:tcBorders>
              <w:bottom w:val="single" w:sz="8" w:color="EEEEEE"/>
            </w:tcBorders>
          </w:tcPr>
          <w:p>
            <w:pPr>
              <w:spacing w:after="0"/>
              <w:rPr>
                <w:sz w:val="17"/>
                <w:szCs w:val="17"/>
                <w:color w:val="auto"/>
              </w:rPr>
            </w:pPr>
          </w:p>
        </w:tc>
        <w:tc>
          <w:tcPr>
            <w:tcW w:w="740" w:type="dxa"/>
            <w:vAlign w:val="bottom"/>
            <w:tcBorders>
              <w:bottom w:val="single" w:sz="8" w:color="EEEEEE"/>
            </w:tcBorders>
          </w:tcPr>
          <w:p>
            <w:pPr>
              <w:spacing w:after="0"/>
              <w:rPr>
                <w:sz w:val="17"/>
                <w:szCs w:val="17"/>
                <w:color w:val="auto"/>
              </w:rPr>
            </w:pPr>
          </w:p>
        </w:tc>
        <w:tc>
          <w:tcPr>
            <w:tcW w:w="6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80" w:type="dxa"/>
            <w:vAlign w:val="bottom"/>
            <w:tcBorders>
              <w:bottom w:val="single" w:sz="8" w:color="EEEEEE"/>
            </w:tcBorders>
          </w:tcPr>
          <w:p>
            <w:pPr>
              <w:spacing w:after="0"/>
              <w:rPr>
                <w:sz w:val="17"/>
                <w:szCs w:val="17"/>
                <w:color w:val="auto"/>
              </w:rPr>
            </w:pPr>
          </w:p>
        </w:tc>
        <w:tc>
          <w:tcPr>
            <w:tcW w:w="180" w:type="dxa"/>
            <w:vAlign w:val="bottom"/>
            <w:tcBorders>
              <w:bottom w:val="single" w:sz="8" w:color="EEEEEE"/>
            </w:tcBorders>
          </w:tcPr>
          <w:p>
            <w:pPr>
              <w:spacing w:after="0"/>
              <w:rPr>
                <w:sz w:val="17"/>
                <w:szCs w:val="17"/>
                <w:color w:val="auto"/>
              </w:rPr>
            </w:pPr>
          </w:p>
        </w:tc>
        <w:tc>
          <w:tcPr>
            <w:tcW w:w="820" w:type="dxa"/>
            <w:vAlign w:val="bottom"/>
            <w:tcBorders>
              <w:bottom w:val="single" w:sz="8" w:color="EEEEEE"/>
            </w:tcBorders>
          </w:tcPr>
          <w:p>
            <w:pPr>
              <w:spacing w:after="0"/>
              <w:rPr>
                <w:sz w:val="17"/>
                <w:szCs w:val="17"/>
                <w:color w:val="auto"/>
              </w:rPr>
            </w:pPr>
          </w:p>
        </w:tc>
        <w:tc>
          <w:tcPr>
            <w:tcW w:w="80" w:type="dxa"/>
            <w:vAlign w:val="bottom"/>
            <w:tcBorders>
              <w:bottom w:val="single" w:sz="8" w:color="EEEEEE"/>
            </w:tcBorders>
          </w:tcPr>
          <w:p>
            <w:pPr>
              <w:spacing w:after="0"/>
              <w:rPr>
                <w:sz w:val="17"/>
                <w:szCs w:val="17"/>
                <w:color w:val="auto"/>
              </w:rPr>
            </w:pP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19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NOTE 11</w:t>
        <w:tab/>
        <w:t>- OTHER LONG-TERM DEBT (Cont.)</w:t>
      </w:r>
    </w:p>
    <w:p>
      <w:pPr>
        <w:spacing w:after="0" w:line="198" w:lineRule="exact"/>
        <w:rPr>
          <w:sz w:val="20"/>
          <w:szCs w:val="20"/>
          <w:color w:val="auto"/>
        </w:rPr>
      </w:pPr>
    </w:p>
    <w:p>
      <w:pPr>
        <w:ind w:left="1440" w:hanging="352"/>
        <w:spacing w:after="0"/>
        <w:tabs>
          <w:tab w:leader="none" w:pos="14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Repayment Schedule of Long-term JPY Loan:</w:t>
      </w:r>
    </w:p>
    <w:p>
      <w:pPr>
        <w:spacing w:after="0" w:line="202" w:lineRule="exact"/>
        <w:rPr>
          <w:sz w:val="20"/>
          <w:szCs w:val="20"/>
          <w:color w:val="auto"/>
        </w:rPr>
      </w:pPr>
    </w:p>
    <w:tbl>
      <w:tblPr>
        <w:tblLayout w:type="fixed"/>
        <w:tblInd w:w="144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color w:val="auto"/>
              </w:rPr>
              <w:t>As of December 31, 2020</w:t>
            </w:r>
          </w:p>
        </w:tc>
        <w:tc>
          <w:tcPr>
            <w:tcW w:w="6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Interest rate</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2021</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2023</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4"/>
              </w:rPr>
              <w:t>2024</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2025</w:t>
            </w:r>
          </w:p>
        </w:tc>
        <w:tc>
          <w:tcPr>
            <w:tcW w:w="200" w:type="dxa"/>
            <w:vAlign w:val="bottom"/>
          </w:tcPr>
          <w:p>
            <w:pPr>
              <w:spacing w:after="0"/>
              <w:rPr>
                <w:sz w:val="19"/>
                <w:szCs w:val="19"/>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Total</w:t>
            </w:r>
          </w:p>
        </w:tc>
      </w:tr>
      <w:tr>
        <w:trPr>
          <w:trHeight w:val="223"/>
        </w:trPr>
        <w:tc>
          <w:tcPr>
            <w:tcW w:w="20" w:type="dxa"/>
            <w:vAlign w:val="bottom"/>
          </w:tcPr>
          <w:p>
            <w:pPr>
              <w:spacing w:after="0"/>
              <w:rPr>
                <w:sz w:val="19"/>
                <w:szCs w:val="19"/>
                <w:color w:val="auto"/>
              </w:rPr>
            </w:pPr>
          </w:p>
        </w:tc>
        <w:tc>
          <w:tcPr>
            <w:tcW w:w="2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JPY loan</w:t>
            </w:r>
          </w:p>
        </w:tc>
        <w:tc>
          <w:tcPr>
            <w:tcW w:w="8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1.95%</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23,715</w:t>
            </w:r>
          </w:p>
        </w:tc>
        <w:tc>
          <w:tcPr>
            <w:tcW w:w="1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23,715</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23,715</w:t>
            </w: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23,715</w:t>
            </w:r>
          </w:p>
        </w:tc>
        <w:tc>
          <w:tcPr>
            <w:tcW w:w="1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11,859</w:t>
            </w:r>
          </w:p>
        </w:tc>
        <w:tc>
          <w:tcPr>
            <w:tcW w:w="2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106,719</w:t>
            </w:r>
          </w:p>
        </w:tc>
      </w:tr>
    </w:tbl>
    <w:p>
      <w:pPr>
        <w:spacing w:after="0" w:line="171" w:lineRule="exact"/>
        <w:rPr>
          <w:sz w:val="20"/>
          <w:szCs w:val="20"/>
          <w:color w:val="auto"/>
        </w:rPr>
      </w:pPr>
    </w:p>
    <w:p>
      <w:pPr>
        <w:ind w:left="1440" w:hanging="352"/>
        <w:spacing w:after="0"/>
        <w:tabs>
          <w:tab w:leader="none" w:pos="14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Long-term JPY loan</w:t>
      </w:r>
    </w:p>
    <w:p>
      <w:pPr>
        <w:spacing w:after="0" w:line="215" w:lineRule="exact"/>
        <w:rPr>
          <w:rFonts w:ascii="Arial" w:cs="Arial" w:eastAsia="Arial" w:hAnsi="Arial"/>
          <w:sz w:val="18"/>
          <w:szCs w:val="18"/>
          <w:b w:val="1"/>
          <w:bCs w:val="1"/>
          <w:color w:val="auto"/>
        </w:rPr>
      </w:pPr>
    </w:p>
    <w:p>
      <w:pPr>
        <w:jc w:val="both"/>
        <w:ind w:left="144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In June 2018, TPSCo refinanced its two outstanding loans with 11 Billion JPY (approximately $100,000) new asset-based loan agreements with a consortia of financial institutions comprised of (i) JA Mitsui Leasing, Ltd., (ii) Sumitomo Mitsui Trust Bank, Limited (SMTB) replaced in 2020 by Sumitomo Mitsui Finance and Leasing Company, Limited (SMFL), (iii) Sumitomo Mitsui Banking Corporation (SMBC) and (iv) China trust Commercial Bank Corporation (CTBC) replaced in 2020 by Mitsubishi UFJ Lease &amp; Finance Co. Ltd (MUL) (“JP Loan”). The JP Loan carries a fixed interest rate of 1.95% per annum with principal payable in nine semiannual payments from June 2021 until June 2025. The JP Loan is secured mainly by a lien over the machinery and equipment of TPSCo located in the Uozu and Tonami manufacturing facilities. Outstanding principal amount was approximately $107,000 as of December 31, 2020.</w:t>
      </w:r>
    </w:p>
    <w:p>
      <w:pPr>
        <w:spacing w:after="0" w:line="178" w:lineRule="exact"/>
        <w:rPr>
          <w:sz w:val="20"/>
          <w:szCs w:val="20"/>
          <w:color w:val="auto"/>
        </w:rPr>
      </w:pPr>
    </w:p>
    <w:p>
      <w:pPr>
        <w:ind w:left="1440"/>
        <w:spacing w:after="0" w:line="342" w:lineRule="auto"/>
        <w:rPr>
          <w:sz w:val="20"/>
          <w:szCs w:val="20"/>
          <w:color w:val="auto"/>
        </w:rPr>
      </w:pPr>
      <w:r>
        <w:rPr>
          <w:rFonts w:ascii="Arial" w:cs="Arial" w:eastAsia="Arial" w:hAnsi="Arial"/>
          <w:sz w:val="16"/>
          <w:szCs w:val="16"/>
          <w:color w:val="auto"/>
        </w:rPr>
        <w:t>The JP Loan also contains certain financial ratios and covenants, as well as customary definitions of events of default and acceleration of the repayment schedule. TPSCo’s obligations pursuant to the JP Loan are not guaranteed by Tower, NTCJ, or any of its affiliates.</w:t>
      </w:r>
    </w:p>
    <w:p>
      <w:pPr>
        <w:spacing w:after="0" w:line="97" w:lineRule="exact"/>
        <w:rPr>
          <w:sz w:val="20"/>
          <w:szCs w:val="20"/>
          <w:color w:val="auto"/>
        </w:rPr>
      </w:pPr>
    </w:p>
    <w:p>
      <w:pPr>
        <w:ind w:left="1440"/>
        <w:spacing w:after="0"/>
        <w:rPr>
          <w:sz w:val="20"/>
          <w:szCs w:val="20"/>
          <w:color w:val="auto"/>
        </w:rPr>
      </w:pPr>
      <w:r>
        <w:rPr>
          <w:rFonts w:ascii="Arial" w:cs="Arial" w:eastAsia="Arial" w:hAnsi="Arial"/>
          <w:sz w:val="17"/>
          <w:szCs w:val="17"/>
          <w:color w:val="auto"/>
        </w:rPr>
        <w:t>As of December 31, 2020, TPSCo was in compliance with all of the financial ratios and covenants under the amended JP Loan.</w:t>
      </w:r>
    </w:p>
    <w:p>
      <w:pPr>
        <w:spacing w:after="0" w:line="219" w:lineRule="exact"/>
        <w:rPr>
          <w:sz w:val="20"/>
          <w:szCs w:val="20"/>
          <w:color w:val="auto"/>
        </w:rPr>
      </w:pPr>
    </w:p>
    <w:p>
      <w:pPr>
        <w:ind w:left="1440" w:hanging="352"/>
        <w:spacing w:after="0"/>
        <w:tabs>
          <w:tab w:leader="none" w:pos="14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Capital Lease Agreements and Other Long-Term Liabilities</w:t>
      </w:r>
    </w:p>
    <w:p>
      <w:pPr>
        <w:spacing w:after="0" w:line="215" w:lineRule="exact"/>
        <w:rPr>
          <w:rFonts w:ascii="Arial" w:cs="Arial" w:eastAsia="Arial" w:hAnsi="Arial"/>
          <w:sz w:val="18"/>
          <w:szCs w:val="18"/>
          <w:b w:val="1"/>
          <w:bCs w:val="1"/>
          <w:color w:val="auto"/>
        </w:rPr>
      </w:pPr>
    </w:p>
    <w:p>
      <w:pPr>
        <w:jc w:val="both"/>
        <w:ind w:left="14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Certain of the Company’s subsidiaries enter, from time to time, into capital lease agreements for certain machinery and equipment it operates in some of its fabrication facilities, usually for a period of four years, with an option to buy the machinery and equipment after a period of between three to four years from the start of the lease period. The lease agreements contain annual interest rates of approximately 2% and the assets under the lease agreements are pledged to the lender until the time at which the respective subsidiary will buy the assets. The obligations under the capital lease agreements are guaranteed by Tower, except for TPSCo’s obligations under its capital lease agreements.</w:t>
      </w:r>
    </w:p>
    <w:p>
      <w:pPr>
        <w:spacing w:after="0" w:line="165" w:lineRule="exact"/>
        <w:rPr>
          <w:rFonts w:ascii="Arial" w:cs="Arial" w:eastAsia="Arial" w:hAnsi="Arial"/>
          <w:sz w:val="18"/>
          <w:szCs w:val="18"/>
          <w:b w:val="1"/>
          <w:bCs w:val="1"/>
          <w:color w:val="auto"/>
        </w:rPr>
      </w:pPr>
    </w:p>
    <w:p>
      <w:pPr>
        <w:jc w:val="both"/>
        <w:ind w:left="144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TPSCo leases its fabrication facility buildings in Japan from NTCJ under a long-term capital lease that was renewed in 2020 for continuation of the lease until at least March 2032. Under the lease agreement, TPSCo and NTCJ are expected to make best efforts to negotiate the purchase of the relevant facilities, buildings and related land, based on terms and conditions stipulated in the lease agreement, however if mutually agreed terms are not reached, the lease contract will continue until at least 2032.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19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NOTE 11</w:t>
        <w:tab/>
        <w:t>- OTHER LONG-TERM DEBT (Cont.)</w:t>
      </w:r>
    </w:p>
    <w:p>
      <w:pPr>
        <w:spacing w:after="0" w:line="202" w:lineRule="exact"/>
        <w:rPr>
          <w:sz w:val="20"/>
          <w:szCs w:val="20"/>
          <w:color w:val="auto"/>
        </w:rPr>
      </w:pPr>
    </w:p>
    <w:p>
      <w:pPr>
        <w:ind w:left="1440"/>
        <w:spacing w:after="0" w:line="308" w:lineRule="auto"/>
        <w:rPr>
          <w:sz w:val="20"/>
          <w:szCs w:val="20"/>
          <w:color w:val="auto"/>
        </w:rPr>
      </w:pPr>
      <w:r>
        <w:rPr>
          <w:rFonts w:ascii="Arial" w:cs="Arial" w:eastAsia="Arial" w:hAnsi="Arial"/>
          <w:sz w:val="17"/>
          <w:szCs w:val="17"/>
          <w:color w:val="auto"/>
        </w:rPr>
        <w:t>As of December 31, 2020 and 2019, the Company’s total outstanding capital lease liabilities for fixed assets was $159,650 and $60,277, respectively, of which $34,863 and $21,070 respectively, were included under current maturities of long-term debt.</w:t>
      </w:r>
    </w:p>
    <w:p>
      <w:pPr>
        <w:spacing w:after="0" w:line="13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The following presents the maturity of capital lease and other long-term liabilities as of December 31, 2020:</w:t>
      </w:r>
    </w:p>
    <w:p>
      <w:pPr>
        <w:spacing w:after="0" w:line="18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Fiscal Year</w:t>
      </w:r>
    </w:p>
    <w:p>
      <w:pPr>
        <w:spacing w:after="0" w:line="23" w:lineRule="exact"/>
        <w:rPr>
          <w:sz w:val="20"/>
          <w:szCs w:val="20"/>
          <w:color w:val="auto"/>
        </w:rPr>
      </w:pPr>
    </w:p>
    <w:tbl>
      <w:tblPr>
        <w:tblLayout w:type="fixed"/>
        <w:tblInd w:w="1440" w:type="dxa"/>
        <w:tblCellMar>
          <w:top w:w="0" w:type="dxa"/>
          <w:left w:w="0" w:type="dxa"/>
          <w:bottom w:w="0" w:type="dxa"/>
          <w:right w:w="0" w:type="dxa"/>
        </w:tblCellMar>
      </w:tblPr>
      <w:tr>
        <w:trPr>
          <w:trHeight w:val="223"/>
        </w:trPr>
        <w:tc>
          <w:tcPr>
            <w:tcW w:w="20" w:type="dxa"/>
            <w:vAlign w:val="bottom"/>
            <w:tcBorders>
              <w:top w:val="single" w:sz="8" w:color="auto"/>
            </w:tcBorders>
          </w:tcPr>
          <w:p>
            <w:pPr>
              <w:spacing w:after="0"/>
              <w:rPr>
                <w:sz w:val="19"/>
                <w:szCs w:val="19"/>
                <w:color w:val="auto"/>
              </w:rPr>
            </w:pPr>
          </w:p>
        </w:tc>
        <w:tc>
          <w:tcPr>
            <w:tcW w:w="5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2021</w:t>
            </w:r>
          </w:p>
        </w:tc>
        <w:tc>
          <w:tcPr>
            <w:tcW w:w="3760" w:type="dxa"/>
            <w:vAlign w:val="bottom"/>
            <w:tcBorders>
              <w:top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38,136</w:t>
            </w:r>
          </w:p>
        </w:tc>
        <w:tc>
          <w:tcPr>
            <w:tcW w:w="10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2022</w:t>
            </w:r>
          </w:p>
        </w:tc>
        <w:tc>
          <w:tcPr>
            <w:tcW w:w="3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36,606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3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25,350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2024</w:t>
            </w:r>
          </w:p>
        </w:tc>
        <w:tc>
          <w:tcPr>
            <w:tcW w:w="3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26,808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3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6,788</w:t>
            </w:r>
          </w:p>
        </w:tc>
        <w:tc>
          <w:tcPr>
            <w:tcW w:w="100" w:type="dxa"/>
            <w:vAlign w:val="bottom"/>
            <w:shd w:val="clear" w:color="auto" w:fill="CCEEFF"/>
          </w:tcPr>
          <w:p>
            <w:pPr>
              <w:spacing w:after="0"/>
              <w:rPr>
                <w:sz w:val="18"/>
                <w:szCs w:val="18"/>
                <w:color w:val="auto"/>
              </w:rPr>
            </w:pPr>
          </w:p>
        </w:tc>
      </w:tr>
      <w:tr>
        <w:trPr>
          <w:trHeight w:val="223"/>
        </w:trPr>
        <w:tc>
          <w:tcPr>
            <w:tcW w:w="5140" w:type="dxa"/>
            <w:vAlign w:val="bottom"/>
            <w:gridSpan w:val="2"/>
          </w:tcPr>
          <w:p>
            <w:pPr>
              <w:spacing w:after="0"/>
              <w:rPr>
                <w:sz w:val="20"/>
                <w:szCs w:val="20"/>
                <w:color w:val="auto"/>
              </w:rPr>
            </w:pPr>
            <w:r>
              <w:rPr>
                <w:rFonts w:ascii="Arial" w:cs="Arial" w:eastAsia="Arial" w:hAnsi="Arial"/>
                <w:sz w:val="18"/>
                <w:szCs w:val="18"/>
                <w:color w:val="auto"/>
              </w:rPr>
              <w:t>2026 and on</w:t>
            </w:r>
          </w:p>
        </w:tc>
        <w:tc>
          <w:tcPr>
            <w:tcW w:w="34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39,111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172,799</w:t>
            </w:r>
          </w:p>
        </w:tc>
        <w:tc>
          <w:tcPr>
            <w:tcW w:w="100" w:type="dxa"/>
            <w:vAlign w:val="bottom"/>
            <w:shd w:val="clear" w:color="auto" w:fill="CCEEFF"/>
          </w:tcPr>
          <w:p>
            <w:pPr>
              <w:spacing w:after="0"/>
              <w:rPr>
                <w:sz w:val="18"/>
                <w:szCs w:val="18"/>
                <w:color w:val="auto"/>
              </w:rPr>
            </w:pPr>
          </w:p>
        </w:tc>
      </w:tr>
      <w:tr>
        <w:trPr>
          <w:trHeight w:val="223"/>
        </w:trPr>
        <w:tc>
          <w:tcPr>
            <w:tcW w:w="5140" w:type="dxa"/>
            <w:vAlign w:val="bottom"/>
            <w:gridSpan w:val="2"/>
          </w:tcPr>
          <w:p>
            <w:pPr>
              <w:spacing w:after="0"/>
              <w:rPr>
                <w:sz w:val="20"/>
                <w:szCs w:val="20"/>
                <w:color w:val="auto"/>
              </w:rPr>
            </w:pPr>
            <w:r>
              <w:rPr>
                <w:rFonts w:ascii="Arial" w:cs="Arial" w:eastAsia="Arial" w:hAnsi="Arial"/>
                <w:sz w:val="18"/>
                <w:szCs w:val="18"/>
                <w:color w:val="auto"/>
              </w:rPr>
              <w:t>Less - imputed interest</w:t>
            </w:r>
          </w:p>
        </w:tc>
        <w:tc>
          <w:tcPr>
            <w:tcW w:w="3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(10,628 )</w:t>
            </w:r>
          </w:p>
        </w:tc>
      </w:tr>
      <w:tr>
        <w:trPr>
          <w:trHeight w:val="256"/>
        </w:trPr>
        <w:tc>
          <w:tcPr>
            <w:tcW w:w="20" w:type="dxa"/>
            <w:vAlign w:val="bottom"/>
          </w:tcPr>
          <w:p>
            <w:pPr>
              <w:spacing w:after="0"/>
              <w:rPr>
                <w:sz w:val="22"/>
                <w:szCs w:val="22"/>
                <w:color w:val="auto"/>
              </w:rPr>
            </w:pPr>
          </w:p>
        </w:tc>
        <w:tc>
          <w:tcPr>
            <w:tcW w:w="5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4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162,171</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84" w:lineRule="exact"/>
        <w:rPr>
          <w:sz w:val="20"/>
          <w:szCs w:val="20"/>
          <w:color w:val="auto"/>
        </w:rPr>
      </w:pPr>
    </w:p>
    <w:p>
      <w:pPr>
        <w:ind w:left="1440" w:hanging="352"/>
        <w:spacing w:after="0"/>
        <w:tabs>
          <w:tab w:leader="none" w:pos="14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Lease Agreements</w:t>
      </w:r>
    </w:p>
    <w:p>
      <w:pPr>
        <w:spacing w:after="0" w:line="215" w:lineRule="exact"/>
        <w:rPr>
          <w:rFonts w:ascii="Arial" w:cs="Arial" w:eastAsia="Arial" w:hAnsi="Arial"/>
          <w:sz w:val="18"/>
          <w:szCs w:val="18"/>
          <w:b w:val="1"/>
          <w:bCs w:val="1"/>
          <w:color w:val="auto"/>
        </w:rPr>
      </w:pPr>
    </w:p>
    <w:p>
      <w:pPr>
        <w:jc w:val="both"/>
        <w:ind w:left="144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 xml:space="preserve">In 2019, the Company adopted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The Company enters from time to time into operating leases for office space, operating facilities and vehicles. Operating lease cost for the years ended December 31, 2020, 2019 and 2018 was $7,627, $8,045 and $8,773, respectively. During 2020, cash paid for operating lease liabilities was $7,065.</w:t>
      </w:r>
    </w:p>
    <w:p>
      <w:pPr>
        <w:spacing w:after="0" w:line="138" w:lineRule="exact"/>
        <w:rPr>
          <w:rFonts w:ascii="Arial" w:cs="Arial" w:eastAsia="Arial" w:hAnsi="Arial"/>
          <w:sz w:val="18"/>
          <w:szCs w:val="18"/>
          <w:b w:val="1"/>
          <w:bCs w:val="1"/>
          <w:color w:val="auto"/>
        </w:rPr>
      </w:pPr>
    </w:p>
    <w:p>
      <w:pPr>
        <w:ind w:left="1440"/>
        <w:spacing w:after="0"/>
        <w:rPr>
          <w:rFonts w:ascii="Arial" w:cs="Arial" w:eastAsia="Arial" w:hAnsi="Arial"/>
          <w:sz w:val="18"/>
          <w:szCs w:val="18"/>
          <w:b w:val="1"/>
          <w:bCs w:val="1"/>
          <w:color w:val="auto"/>
        </w:rPr>
      </w:pPr>
      <w:r>
        <w:rPr>
          <w:rFonts w:ascii="Arial" w:cs="Arial" w:eastAsia="Arial" w:hAnsi="Arial"/>
          <w:sz w:val="18"/>
          <w:szCs w:val="18"/>
          <w:color w:val="auto"/>
        </w:rPr>
        <w:t>The following presents the composition of operating leases in the balance sheets: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3"/>
          </w:tcPr>
          <w:p>
            <w:pPr>
              <w:jc w:val="right"/>
              <w:ind w:right="240"/>
              <w:spacing w:after="0"/>
              <w:rPr>
                <w:sz w:val="20"/>
                <w:szCs w:val="20"/>
                <w:color w:val="auto"/>
              </w:rPr>
            </w:pPr>
            <w:r>
              <w:rPr>
                <w:rFonts w:ascii="Arial" w:cs="Arial" w:eastAsia="Arial" w:hAnsi="Arial"/>
                <w:sz w:val="18"/>
                <w:szCs w:val="18"/>
                <w:color w:val="auto"/>
                <w:w w:val="90"/>
              </w:rPr>
              <w:t>December 31,</w:t>
            </w:r>
          </w:p>
        </w:tc>
        <w:tc>
          <w:tcPr>
            <w:tcW w:w="60" w:type="dxa"/>
            <w:vAlign w:val="bottom"/>
          </w:tcPr>
          <w:p>
            <w:pPr>
              <w:spacing w:after="0"/>
              <w:rPr>
                <w:sz w:val="18"/>
                <w:szCs w:val="18"/>
                <w:color w:val="auto"/>
              </w:rPr>
            </w:pPr>
          </w:p>
        </w:tc>
        <w:tc>
          <w:tcPr>
            <w:tcW w:w="1220" w:type="dxa"/>
            <w:vAlign w:val="bottom"/>
            <w:gridSpan w:val="4"/>
          </w:tcPr>
          <w:p>
            <w:pPr>
              <w:ind w:left="2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37"/>
        </w:trPr>
        <w:tc>
          <w:tcPr>
            <w:tcW w:w="146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3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Classification in the Consolidated Balance Sheets</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460" w:type="dxa"/>
            <w:vAlign w:val="bottom"/>
          </w:tcPr>
          <w:p>
            <w:pPr>
              <w:spacing w:after="0"/>
              <w:rPr>
                <w:sz w:val="22"/>
                <w:szCs w:val="22"/>
                <w:color w:val="auto"/>
              </w:rPr>
            </w:pPr>
          </w:p>
        </w:tc>
        <w:tc>
          <w:tcPr>
            <w:tcW w:w="3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Right of use - assets under operating leases</w:t>
            </w:r>
          </w:p>
        </w:tc>
        <w:tc>
          <w:tcPr>
            <w:tcW w:w="3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 and other long-term assets, net</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18,990</w:t>
            </w:r>
          </w:p>
        </w:tc>
        <w:tc>
          <w:tcPr>
            <w:tcW w:w="2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17,828</w:t>
            </w:r>
          </w:p>
        </w:tc>
        <w:tc>
          <w:tcPr>
            <w:tcW w:w="1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460" w:type="dxa"/>
            <w:vAlign w:val="bottom"/>
          </w:tcPr>
          <w:p>
            <w:pPr>
              <w:spacing w:after="0"/>
              <w:rPr>
                <w:sz w:val="17"/>
                <w:szCs w:val="17"/>
                <w:color w:val="auto"/>
              </w:rPr>
            </w:pPr>
          </w:p>
        </w:tc>
        <w:tc>
          <w:tcPr>
            <w:tcW w:w="3560" w:type="dxa"/>
            <w:vAlign w:val="bottom"/>
          </w:tcPr>
          <w:p>
            <w:pPr>
              <w:spacing w:after="0" w:line="196" w:lineRule="exact"/>
              <w:rPr>
                <w:sz w:val="20"/>
                <w:szCs w:val="20"/>
                <w:color w:val="auto"/>
              </w:rPr>
            </w:pPr>
            <w:r>
              <w:rPr>
                <w:rFonts w:ascii="Arial" w:cs="Arial" w:eastAsia="Arial" w:hAnsi="Arial"/>
                <w:sz w:val="18"/>
                <w:szCs w:val="18"/>
                <w:color w:val="auto"/>
              </w:rPr>
              <w:t>Lease liabilities:</w:t>
            </w:r>
          </w:p>
        </w:tc>
        <w:tc>
          <w:tcPr>
            <w:tcW w:w="3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Current operating lease liabilities</w:t>
            </w: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Current maturities of long-term debt</w:t>
            </w:r>
          </w:p>
        </w:tc>
        <w:tc>
          <w:tcPr>
            <w:tcW w:w="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6,550</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20" w:type="dxa"/>
            <w:vAlign w:val="bottom"/>
            <w:gridSpan w:val="2"/>
          </w:tcPr>
          <w:p>
            <w:pPr>
              <w:ind w:left="1440"/>
              <w:spacing w:after="0"/>
              <w:rPr>
                <w:sz w:val="20"/>
                <w:szCs w:val="20"/>
                <w:color w:val="auto"/>
              </w:rPr>
            </w:pPr>
            <w:r>
              <w:rPr>
                <w:rFonts w:ascii="Arial" w:cs="Arial" w:eastAsia="Arial" w:hAnsi="Arial"/>
                <w:sz w:val="18"/>
                <w:szCs w:val="18"/>
                <w:color w:val="auto"/>
              </w:rPr>
              <w:t>Long-term operating lease liabilities</w:t>
            </w:r>
          </w:p>
        </w:tc>
        <w:tc>
          <w:tcPr>
            <w:tcW w:w="3580" w:type="dxa"/>
            <w:vAlign w:val="bottom"/>
          </w:tcPr>
          <w:p>
            <w:pPr>
              <w:spacing w:after="0"/>
              <w:rPr>
                <w:sz w:val="20"/>
                <w:szCs w:val="20"/>
                <w:color w:val="auto"/>
              </w:rPr>
            </w:pPr>
            <w:r>
              <w:rPr>
                <w:rFonts w:ascii="Arial" w:cs="Arial" w:eastAsia="Arial" w:hAnsi="Arial"/>
                <w:sz w:val="18"/>
                <w:szCs w:val="18"/>
                <w:color w:val="auto"/>
              </w:rPr>
              <w:t>Other long-term debt</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12,440</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10,697</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1460" w:type="dxa"/>
            <w:vAlign w:val="bottom"/>
          </w:tcPr>
          <w:p>
            <w:pPr>
              <w:spacing w:after="0"/>
              <w:rPr>
                <w:sz w:val="22"/>
                <w:szCs w:val="22"/>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lease liabilities</w:t>
            </w:r>
          </w:p>
        </w:tc>
        <w:tc>
          <w:tcPr>
            <w:tcW w:w="3580" w:type="dxa"/>
            <w:vAlign w:val="bottom"/>
            <w:shd w:val="clear" w:color="auto" w:fill="CCEEFF"/>
          </w:tcPr>
          <w:p>
            <w:pPr>
              <w:spacing w:after="0"/>
              <w:rPr>
                <w:sz w:val="22"/>
                <w:szCs w:val="22"/>
                <w:color w:val="auto"/>
              </w:rPr>
            </w:pPr>
          </w:p>
        </w:tc>
        <w:tc>
          <w:tcPr>
            <w:tcW w:w="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18,990</w:t>
            </w:r>
          </w:p>
        </w:tc>
        <w:tc>
          <w:tcPr>
            <w:tcW w:w="20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17,828</w:t>
            </w: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1460" w:type="dxa"/>
            <w:vAlign w:val="bottom"/>
          </w:tcPr>
          <w:p>
            <w:pPr>
              <w:spacing w:after="0"/>
              <w:rPr>
                <w:sz w:val="15"/>
                <w:szCs w:val="15"/>
                <w:color w:val="auto"/>
              </w:rPr>
            </w:pPr>
          </w:p>
        </w:tc>
        <w:tc>
          <w:tcPr>
            <w:tcW w:w="3560" w:type="dxa"/>
            <w:vAlign w:val="bottom"/>
            <w:tcBorders>
              <w:top w:val="single" w:sz="8" w:color="CCEEFF"/>
            </w:tcBorders>
          </w:tcPr>
          <w:p>
            <w:pPr>
              <w:spacing w:after="0" w:line="182" w:lineRule="exact"/>
              <w:rPr>
                <w:sz w:val="20"/>
                <w:szCs w:val="20"/>
                <w:color w:val="auto"/>
              </w:rPr>
            </w:pPr>
            <w:r>
              <w:rPr>
                <w:rFonts w:ascii="Arial" w:cs="Arial" w:eastAsia="Arial" w:hAnsi="Arial"/>
                <w:sz w:val="18"/>
                <w:szCs w:val="18"/>
                <w:color w:val="auto"/>
              </w:rPr>
              <w:t>Weighted average remaining lease term</w:t>
            </w:r>
          </w:p>
        </w:tc>
        <w:tc>
          <w:tcPr>
            <w:tcW w:w="358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5.1</w:t>
            </w:r>
          </w:p>
        </w:tc>
        <w:tc>
          <w:tcPr>
            <w:tcW w:w="20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4.9</w:t>
            </w:r>
          </w:p>
        </w:tc>
        <w:tc>
          <w:tcPr>
            <w:tcW w:w="14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460" w:type="dxa"/>
            <w:vAlign w:val="bottom"/>
          </w:tcPr>
          <w:p>
            <w:pPr>
              <w:spacing w:after="0"/>
              <w:rPr>
                <w:sz w:val="16"/>
                <w:szCs w:val="16"/>
                <w:color w:val="auto"/>
              </w:rPr>
            </w:pPr>
          </w:p>
        </w:tc>
        <w:tc>
          <w:tcPr>
            <w:tcW w:w="3560" w:type="dxa"/>
            <w:vAlign w:val="bottom"/>
          </w:tcPr>
          <w:p>
            <w:pPr>
              <w:ind w:left="120"/>
              <w:spacing w:after="0" w:line="190" w:lineRule="exact"/>
              <w:rPr>
                <w:sz w:val="20"/>
                <w:szCs w:val="20"/>
                <w:color w:val="auto"/>
              </w:rPr>
            </w:pPr>
            <w:r>
              <w:rPr>
                <w:rFonts w:ascii="Arial" w:cs="Arial" w:eastAsia="Arial" w:hAnsi="Arial"/>
                <w:sz w:val="18"/>
                <w:szCs w:val="18"/>
                <w:color w:val="auto"/>
              </w:rPr>
              <w:t>(years)</w:t>
            </w:r>
          </w:p>
        </w:tc>
        <w:tc>
          <w:tcPr>
            <w:tcW w:w="3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460" w:type="dxa"/>
            <w:vAlign w:val="bottom"/>
          </w:tcPr>
          <w:p>
            <w:pPr>
              <w:spacing w:after="0"/>
              <w:rPr>
                <w:sz w:val="20"/>
                <w:szCs w:val="20"/>
                <w:color w:val="auto"/>
              </w:rPr>
            </w:pPr>
          </w:p>
        </w:tc>
        <w:tc>
          <w:tcPr>
            <w:tcW w:w="3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 average discount rate</w:t>
            </w:r>
          </w:p>
        </w:tc>
        <w:tc>
          <w:tcPr>
            <w:tcW w:w="3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1.94%</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1.95%</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13"/>
        </w:trPr>
        <w:tc>
          <w:tcPr>
            <w:tcW w:w="1460" w:type="dxa"/>
            <w:vAlign w:val="bottom"/>
          </w:tcPr>
          <w:p>
            <w:pPr>
              <w:spacing w:after="0"/>
              <w:rPr>
                <w:sz w:val="24"/>
                <w:szCs w:val="24"/>
                <w:color w:val="auto"/>
              </w:rPr>
            </w:pPr>
          </w:p>
        </w:tc>
        <w:tc>
          <w:tcPr>
            <w:tcW w:w="3560" w:type="dxa"/>
            <w:vAlign w:val="bottom"/>
            <w:tcBorders>
              <w:top w:val="single" w:sz="8" w:color="CCEEFF"/>
            </w:tcBorders>
          </w:tcPr>
          <w:p>
            <w:pPr>
              <w:spacing w:after="0"/>
              <w:rPr>
                <w:sz w:val="24"/>
                <w:szCs w:val="24"/>
                <w:color w:val="auto"/>
              </w:rPr>
            </w:pPr>
          </w:p>
        </w:tc>
        <w:tc>
          <w:tcPr>
            <w:tcW w:w="3580" w:type="dxa"/>
            <w:vAlign w:val="bottom"/>
            <w:tcBorders>
              <w:top w:val="single" w:sz="8" w:color="CCEEFF"/>
            </w:tcBorders>
          </w:tcPr>
          <w:p>
            <w:pPr>
              <w:ind w:left="400"/>
              <w:spacing w:after="0"/>
              <w:rPr>
                <w:sz w:val="20"/>
                <w:szCs w:val="20"/>
                <w:color w:val="auto"/>
              </w:rPr>
            </w:pPr>
            <w:r>
              <w:rPr>
                <w:rFonts w:ascii="Arial" w:cs="Arial" w:eastAsia="Arial" w:hAnsi="Arial"/>
                <w:sz w:val="18"/>
                <w:szCs w:val="18"/>
                <w:color w:val="auto"/>
              </w:rPr>
              <w:t>F-25</w:t>
            </w:r>
          </w:p>
        </w:tc>
        <w:tc>
          <w:tcPr>
            <w:tcW w:w="8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460" w:type="dxa"/>
            <w:vAlign w:val="bottom"/>
            <w:tcBorders>
              <w:bottom w:val="single" w:sz="8" w:color="EEEEEE"/>
            </w:tcBorders>
          </w:tcPr>
          <w:p>
            <w:pPr>
              <w:spacing w:after="0"/>
              <w:rPr>
                <w:sz w:val="17"/>
                <w:szCs w:val="17"/>
                <w:color w:val="auto"/>
              </w:rPr>
            </w:pPr>
          </w:p>
        </w:tc>
        <w:tc>
          <w:tcPr>
            <w:tcW w:w="3560" w:type="dxa"/>
            <w:vAlign w:val="bottom"/>
            <w:tcBorders>
              <w:bottom w:val="single" w:sz="8" w:color="EEEEEE"/>
            </w:tcBorders>
          </w:tcPr>
          <w:p>
            <w:pPr>
              <w:spacing w:after="0"/>
              <w:rPr>
                <w:sz w:val="17"/>
                <w:szCs w:val="17"/>
                <w:color w:val="auto"/>
              </w:rPr>
            </w:pPr>
          </w:p>
        </w:tc>
        <w:tc>
          <w:tcPr>
            <w:tcW w:w="3580" w:type="dxa"/>
            <w:vAlign w:val="bottom"/>
            <w:tcBorders>
              <w:bottom w:val="single" w:sz="8" w:color="EEEEEE"/>
            </w:tcBorders>
          </w:tcPr>
          <w:p>
            <w:pPr>
              <w:spacing w:after="0"/>
              <w:rPr>
                <w:sz w:val="17"/>
                <w:szCs w:val="17"/>
                <w:color w:val="auto"/>
              </w:rPr>
            </w:pPr>
          </w:p>
        </w:tc>
        <w:tc>
          <w:tcPr>
            <w:tcW w:w="80" w:type="dxa"/>
            <w:vAlign w:val="bottom"/>
            <w:tcBorders>
              <w:bottom w:val="single" w:sz="8" w:color="EEEEEE"/>
            </w:tcBorders>
          </w:tcPr>
          <w:p>
            <w:pPr>
              <w:spacing w:after="0"/>
              <w:rPr>
                <w:sz w:val="17"/>
                <w:szCs w:val="17"/>
                <w:color w:val="auto"/>
              </w:rPr>
            </w:pPr>
          </w:p>
        </w:tc>
        <w:tc>
          <w:tcPr>
            <w:tcW w:w="220" w:type="dxa"/>
            <w:vAlign w:val="bottom"/>
            <w:tcBorders>
              <w:bottom w:val="single" w:sz="8" w:color="EEEEEE"/>
            </w:tcBorders>
          </w:tcPr>
          <w:p>
            <w:pPr>
              <w:spacing w:after="0"/>
              <w:rPr>
                <w:sz w:val="17"/>
                <w:szCs w:val="17"/>
                <w:color w:val="auto"/>
              </w:rPr>
            </w:pPr>
          </w:p>
        </w:tc>
        <w:tc>
          <w:tcPr>
            <w:tcW w:w="860" w:type="dxa"/>
            <w:vAlign w:val="bottom"/>
            <w:tcBorders>
              <w:bottom w:val="single" w:sz="8" w:color="EEEEEE"/>
            </w:tcBorders>
          </w:tcPr>
          <w:p>
            <w:pPr>
              <w:spacing w:after="0"/>
              <w:rPr>
                <w:sz w:val="17"/>
                <w:szCs w:val="17"/>
                <w:color w:val="auto"/>
              </w:rPr>
            </w:pPr>
          </w:p>
        </w:tc>
        <w:tc>
          <w:tcPr>
            <w:tcW w:w="200" w:type="dxa"/>
            <w:vAlign w:val="bottom"/>
            <w:tcBorders>
              <w:bottom w:val="single" w:sz="8" w:color="EEEEEE"/>
            </w:tcBorders>
          </w:tcPr>
          <w:p>
            <w:pPr>
              <w:spacing w:after="0"/>
              <w:rPr>
                <w:sz w:val="17"/>
                <w:szCs w:val="17"/>
                <w:color w:val="auto"/>
              </w:rPr>
            </w:pPr>
          </w:p>
        </w:tc>
        <w:tc>
          <w:tcPr>
            <w:tcW w:w="60" w:type="dxa"/>
            <w:vAlign w:val="bottom"/>
            <w:tcBorders>
              <w:bottom w:val="single" w:sz="8" w:color="EEEEEE"/>
            </w:tcBorders>
          </w:tcPr>
          <w:p>
            <w:pPr>
              <w:spacing w:after="0"/>
              <w:rPr>
                <w:sz w:val="17"/>
                <w:szCs w:val="17"/>
                <w:color w:val="auto"/>
              </w:rPr>
            </w:pPr>
          </w:p>
        </w:tc>
        <w:tc>
          <w:tcPr>
            <w:tcW w:w="200" w:type="dxa"/>
            <w:vAlign w:val="bottom"/>
            <w:tcBorders>
              <w:bottom w:val="single" w:sz="8" w:color="EEEEEE"/>
            </w:tcBorders>
          </w:tcPr>
          <w:p>
            <w:pPr>
              <w:spacing w:after="0"/>
              <w:rPr>
                <w:sz w:val="17"/>
                <w:szCs w:val="17"/>
                <w:color w:val="auto"/>
              </w:rPr>
            </w:pPr>
          </w:p>
        </w:tc>
        <w:tc>
          <w:tcPr>
            <w:tcW w:w="860" w:type="dxa"/>
            <w:vAlign w:val="bottom"/>
            <w:tcBorders>
              <w:bottom w:val="single" w:sz="8" w:color="EEEEEE"/>
            </w:tcBorders>
          </w:tcPr>
          <w:p>
            <w:pPr>
              <w:spacing w:after="0"/>
              <w:rPr>
                <w:sz w:val="17"/>
                <w:szCs w:val="17"/>
                <w:color w:val="auto"/>
              </w:rPr>
            </w:pPr>
          </w:p>
        </w:tc>
        <w:tc>
          <w:tcPr>
            <w:tcW w:w="140" w:type="dxa"/>
            <w:vAlign w:val="bottom"/>
            <w:tcBorders>
              <w:bottom w:val="single" w:sz="8" w:color="EEEE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16"/>
        </w:trPr>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520" w:type="dxa"/>
            <w:vAlign w:val="bottom"/>
          </w:tcPr>
          <w:p>
            <w:pPr>
              <w:jc w:val="center"/>
              <w:ind w:right="110"/>
              <w:spacing w:after="0"/>
              <w:rPr>
                <w:sz w:val="20"/>
                <w:szCs w:val="20"/>
                <w:color w:val="auto"/>
              </w:rPr>
            </w:pPr>
            <w:r>
              <w:rPr>
                <w:rFonts w:ascii="Arial" w:cs="Arial" w:eastAsia="Arial" w:hAnsi="Arial"/>
                <w:sz w:val="18"/>
                <w:szCs w:val="18"/>
                <w:b w:val="1"/>
                <w:bCs w:val="1"/>
                <w:color w:val="auto"/>
              </w:rPr>
              <w:t>TOWER SEMICONDUCTOR LTD. AND SUBSIDIARIES</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520" w:type="dxa"/>
            <w:vAlign w:val="bottom"/>
          </w:tcPr>
          <w:p>
            <w:pPr>
              <w:jc w:val="center"/>
              <w:ind w:right="110"/>
              <w:spacing w:after="0"/>
              <w:rPr>
                <w:sz w:val="20"/>
                <w:szCs w:val="20"/>
                <w:color w:val="auto"/>
              </w:rPr>
            </w:pPr>
            <w:r>
              <w:rPr>
                <w:rFonts w:ascii="Arial" w:cs="Arial" w:eastAsia="Arial" w:hAnsi="Arial"/>
                <w:sz w:val="18"/>
                <w:szCs w:val="18"/>
                <w:b w:val="1"/>
                <w:bCs w:val="1"/>
                <w:color w:val="auto"/>
              </w:rPr>
              <w:t>NOTES TO CONSOLIDATED FINANCIAL STATEMENTS</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0"/>
        </w:trPr>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520" w:type="dxa"/>
            <w:vAlign w:val="bottom"/>
          </w:tcPr>
          <w:p>
            <w:pPr>
              <w:jc w:val="center"/>
              <w:ind w:right="110"/>
              <w:spacing w:after="0"/>
              <w:rPr>
                <w:sz w:val="20"/>
                <w:szCs w:val="20"/>
                <w:color w:val="auto"/>
              </w:rPr>
            </w:pPr>
            <w:r>
              <w:rPr>
                <w:rFonts w:ascii="Arial" w:cs="Arial" w:eastAsia="Arial" w:hAnsi="Arial"/>
                <w:sz w:val="18"/>
                <w:szCs w:val="18"/>
                <w:b w:val="1"/>
                <w:bCs w:val="1"/>
                <w:color w:val="auto"/>
                <w:w w:val="95"/>
              </w:rPr>
              <w:t>AS OF DECEMBER 31, 2020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520" w:type="dxa"/>
            <w:vAlign w:val="bottom"/>
          </w:tcPr>
          <w:p>
            <w:pPr>
              <w:jc w:val="center"/>
              <w:ind w:right="110"/>
              <w:spacing w:after="0"/>
              <w:rPr>
                <w:sz w:val="20"/>
                <w:szCs w:val="20"/>
                <w:color w:val="auto"/>
              </w:rPr>
            </w:pPr>
            <w:r>
              <w:rPr>
                <w:rFonts w:ascii="Arial" w:cs="Arial" w:eastAsia="Arial" w:hAnsi="Arial"/>
                <w:sz w:val="18"/>
                <w:szCs w:val="18"/>
                <w:color w:val="auto"/>
                <w:w w:val="88"/>
              </w:rPr>
              <w:t>(dollars in thousands, except per share data)</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9"/>
        </w:trPr>
        <w:tc>
          <w:tcPr>
            <w:tcW w:w="9980" w:type="dxa"/>
            <w:vAlign w:val="bottom"/>
            <w:gridSpan w:val="3"/>
          </w:tcPr>
          <w:p>
            <w:pPr>
              <w:spacing w:after="0"/>
              <w:rPr>
                <w:sz w:val="20"/>
                <w:szCs w:val="20"/>
                <w:color w:val="auto"/>
              </w:rPr>
            </w:pPr>
            <w:r>
              <w:rPr>
                <w:rFonts w:ascii="Arial" w:cs="Arial" w:eastAsia="Arial" w:hAnsi="Arial"/>
                <w:sz w:val="18"/>
                <w:szCs w:val="18"/>
                <w:b w:val="1"/>
                <w:bCs w:val="1"/>
                <w:color w:val="auto"/>
              </w:rPr>
              <w:t>NOTE 11  - OTHER LONG-TERM DEBT (Cont.)</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5"/>
        </w:trPr>
        <w:tc>
          <w:tcPr>
            <w:tcW w:w="1440" w:type="dxa"/>
            <w:vAlign w:val="bottom"/>
          </w:tcPr>
          <w:p>
            <w:pPr>
              <w:spacing w:after="0"/>
              <w:rPr>
                <w:sz w:val="24"/>
                <w:szCs w:val="24"/>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rPr>
              <w:t>The following presents the maturity of operating lease liabilities as of December 31, 2020:</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2"/>
        </w:trPr>
        <w:tc>
          <w:tcPr>
            <w:tcW w:w="1440" w:type="dxa"/>
            <w:vAlign w:val="bottom"/>
          </w:tcPr>
          <w:p>
            <w:pPr>
              <w:spacing w:after="0"/>
              <w:rPr>
                <w:sz w:val="24"/>
                <w:szCs w:val="24"/>
                <w:color w:val="auto"/>
              </w:rPr>
            </w:pPr>
          </w:p>
        </w:tc>
        <w:tc>
          <w:tcPr>
            <w:tcW w:w="8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Fiscal Year</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4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6,564</w:t>
            </w:r>
          </w:p>
        </w:tc>
        <w:tc>
          <w:tcPr>
            <w:tcW w:w="100" w:type="dxa"/>
            <w:vAlign w:val="bottom"/>
            <w:shd w:val="clear" w:color="auto" w:fill="CCEEFF"/>
          </w:tcPr>
          <w:p>
            <w:pPr>
              <w:spacing w:after="0"/>
              <w:rPr>
                <w:sz w:val="18"/>
                <w:szCs w:val="18"/>
                <w:color w:val="auto"/>
              </w:rPr>
            </w:pPr>
          </w:p>
        </w:tc>
      </w:tr>
      <w:tr>
        <w:trPr>
          <w:trHeight w:val="216"/>
        </w:trPr>
        <w:tc>
          <w:tcPr>
            <w:tcW w:w="1460" w:type="dxa"/>
            <w:vAlign w:val="bottom"/>
            <w:gridSpan w:val="2"/>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2022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3,526</w:t>
            </w:r>
          </w:p>
        </w:tc>
        <w:tc>
          <w:tcPr>
            <w:tcW w:w="100" w:type="dxa"/>
            <w:vAlign w:val="bottom"/>
          </w:tcPr>
          <w:p>
            <w:pPr>
              <w:spacing w:after="0"/>
              <w:rPr>
                <w:sz w:val="18"/>
                <w:szCs w:val="18"/>
                <w:color w:val="auto"/>
              </w:rPr>
            </w:pPr>
          </w:p>
        </w:tc>
      </w:tr>
      <w:tr>
        <w:trPr>
          <w:trHeight w:val="216"/>
        </w:trPr>
        <w:tc>
          <w:tcPr>
            <w:tcW w:w="1460" w:type="dxa"/>
            <w:vAlign w:val="bottom"/>
            <w:gridSpan w:val="2"/>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2,301</w:t>
            </w:r>
          </w:p>
        </w:tc>
        <w:tc>
          <w:tcPr>
            <w:tcW w:w="100" w:type="dxa"/>
            <w:vAlign w:val="bottom"/>
            <w:shd w:val="clear" w:color="auto" w:fill="CCEEFF"/>
          </w:tcPr>
          <w:p>
            <w:pPr>
              <w:spacing w:after="0"/>
              <w:rPr>
                <w:sz w:val="18"/>
                <w:szCs w:val="18"/>
                <w:color w:val="auto"/>
              </w:rPr>
            </w:pPr>
          </w:p>
        </w:tc>
      </w:tr>
      <w:tr>
        <w:trPr>
          <w:trHeight w:val="216"/>
        </w:trPr>
        <w:tc>
          <w:tcPr>
            <w:tcW w:w="1460" w:type="dxa"/>
            <w:vAlign w:val="bottom"/>
            <w:gridSpan w:val="2"/>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2024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2,166</w:t>
            </w:r>
          </w:p>
        </w:tc>
        <w:tc>
          <w:tcPr>
            <w:tcW w:w="100" w:type="dxa"/>
            <w:vAlign w:val="bottom"/>
          </w:tcPr>
          <w:p>
            <w:pPr>
              <w:spacing w:after="0"/>
              <w:rPr>
                <w:sz w:val="18"/>
                <w:szCs w:val="18"/>
                <w:color w:val="auto"/>
              </w:rPr>
            </w:pPr>
          </w:p>
        </w:tc>
      </w:tr>
      <w:tr>
        <w:trPr>
          <w:trHeight w:val="216"/>
        </w:trPr>
        <w:tc>
          <w:tcPr>
            <w:tcW w:w="1460" w:type="dxa"/>
            <w:vAlign w:val="bottom"/>
            <w:gridSpan w:val="2"/>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2,202</w:t>
            </w:r>
          </w:p>
        </w:tc>
        <w:tc>
          <w:tcPr>
            <w:tcW w:w="100" w:type="dxa"/>
            <w:vAlign w:val="bottom"/>
            <w:shd w:val="clear" w:color="auto" w:fill="CCEEFF"/>
          </w:tcPr>
          <w:p>
            <w:pPr>
              <w:spacing w:after="0"/>
              <w:rPr>
                <w:sz w:val="18"/>
                <w:szCs w:val="18"/>
                <w:color w:val="auto"/>
              </w:rPr>
            </w:pPr>
          </w:p>
        </w:tc>
      </w:tr>
      <w:tr>
        <w:trPr>
          <w:trHeight w:val="223"/>
        </w:trPr>
        <w:tc>
          <w:tcPr>
            <w:tcW w:w="1440" w:type="dxa"/>
            <w:vAlign w:val="bottom"/>
          </w:tcPr>
          <w:p>
            <w:pPr>
              <w:spacing w:after="0"/>
              <w:rPr>
                <w:sz w:val="19"/>
                <w:szCs w:val="19"/>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2,893</w:t>
            </w:r>
          </w:p>
        </w:tc>
        <w:tc>
          <w:tcPr>
            <w:tcW w:w="100" w:type="dxa"/>
            <w:vAlign w:val="bottom"/>
          </w:tcPr>
          <w:p>
            <w:pPr>
              <w:spacing w:after="0"/>
              <w:rPr>
                <w:sz w:val="19"/>
                <w:szCs w:val="19"/>
                <w:color w:val="auto"/>
              </w:rPr>
            </w:pPr>
          </w:p>
        </w:tc>
      </w:tr>
      <w:tr>
        <w:trPr>
          <w:trHeight w:val="216"/>
        </w:trPr>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19,652</w:t>
            </w:r>
          </w:p>
        </w:tc>
        <w:tc>
          <w:tcPr>
            <w:tcW w:w="100" w:type="dxa"/>
            <w:vAlign w:val="bottom"/>
            <w:shd w:val="clear" w:color="auto" w:fill="CCEEFF"/>
          </w:tcPr>
          <w:p>
            <w:pPr>
              <w:spacing w:after="0"/>
              <w:rPr>
                <w:sz w:val="18"/>
                <w:szCs w:val="18"/>
                <w:color w:val="auto"/>
              </w:rPr>
            </w:pPr>
          </w:p>
        </w:tc>
      </w:tr>
      <w:tr>
        <w:trPr>
          <w:trHeight w:val="223"/>
        </w:trPr>
        <w:tc>
          <w:tcPr>
            <w:tcW w:w="1440" w:type="dxa"/>
            <w:vAlign w:val="bottom"/>
          </w:tcPr>
          <w:p>
            <w:pPr>
              <w:spacing w:after="0"/>
              <w:rPr>
                <w:sz w:val="19"/>
                <w:szCs w:val="19"/>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rPr>
              <w:t>Less – imputed interest</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(662)</w:t>
            </w:r>
          </w:p>
        </w:tc>
      </w:tr>
      <w:tr>
        <w:trPr>
          <w:trHeight w:val="256"/>
        </w:trPr>
        <w:tc>
          <w:tcPr>
            <w:tcW w:w="1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18,990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71" w:lineRule="exact"/>
        <w:rPr>
          <w:sz w:val="20"/>
          <w:szCs w:val="20"/>
          <w:color w:val="auto"/>
        </w:rPr>
      </w:pPr>
    </w:p>
    <w:p>
      <w:pPr>
        <w:ind w:left="1440" w:hanging="352"/>
        <w:spacing w:after="0"/>
        <w:tabs>
          <w:tab w:leader="none" w:pos="14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Wells Fargo Credit Line</w:t>
      </w:r>
    </w:p>
    <w:p>
      <w:pPr>
        <w:spacing w:after="0" w:line="215" w:lineRule="exact"/>
        <w:rPr>
          <w:rFonts w:ascii="Arial" w:cs="Arial" w:eastAsia="Arial" w:hAnsi="Arial"/>
          <w:sz w:val="18"/>
          <w:szCs w:val="18"/>
          <w:b w:val="1"/>
          <w:bCs w:val="1"/>
          <w:color w:val="auto"/>
        </w:rPr>
      </w:pPr>
    </w:p>
    <w:p>
      <w:pPr>
        <w:jc w:val="both"/>
        <w:ind w:left="14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TSNP entered into an agreement with Wells Fargo Capital Finance, part of Wells Fargo &amp; Company (“Wells Fargo”), for a secured asset-based revolving credit line in the total amount of up to $70,000, maturing in 2023 (the “TSNP Credit Line Agreement”). The applicable interest on the loans is at a rate equal to, at lender’s option, either the lender’s prime rate plus a margin ranging from 0.0% to 0.5% or the LIBOR rate plus a margin ranging from 1.25% to 1.75% per annum.</w:t>
      </w:r>
    </w:p>
    <w:p>
      <w:pPr>
        <w:spacing w:after="0" w:line="173" w:lineRule="exact"/>
        <w:rPr>
          <w:rFonts w:ascii="Arial" w:cs="Arial" w:eastAsia="Arial" w:hAnsi="Arial"/>
          <w:sz w:val="18"/>
          <w:szCs w:val="18"/>
          <w:b w:val="1"/>
          <w:bCs w:val="1"/>
          <w:color w:val="auto"/>
        </w:rPr>
      </w:pPr>
    </w:p>
    <w:p>
      <w:pPr>
        <w:jc w:val="both"/>
        <w:ind w:left="14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outstanding borrowing availability varies from time to time based on the levels of TSNP’s eligible accounts receivable, eligible equipment, eligible inventories and other terms and conditions described in the TSNP Credit Line Agreement. The obligations of TSNP under the TSNP Credit Line Agreement are secured by a security interest on all the assets of TSNP. The TSNP Credit Line Agreement contains customary covenants and other terms, including customary events of default. TSNP’s obligations pursuant to the TSNP Credit Line Agreement are not guaranteed by Tower or any of its affiliates.</w:t>
      </w:r>
    </w:p>
    <w:p>
      <w:pPr>
        <w:spacing w:after="0" w:line="160" w:lineRule="exact"/>
        <w:rPr>
          <w:rFonts w:ascii="Arial" w:cs="Arial" w:eastAsia="Arial" w:hAnsi="Arial"/>
          <w:sz w:val="18"/>
          <w:szCs w:val="18"/>
          <w:b w:val="1"/>
          <w:bCs w:val="1"/>
          <w:color w:val="auto"/>
        </w:rPr>
      </w:pPr>
    </w:p>
    <w:p>
      <w:pPr>
        <w:ind w:left="1440"/>
        <w:spacing w:after="0"/>
        <w:rPr>
          <w:rFonts w:ascii="Arial" w:cs="Arial" w:eastAsia="Arial" w:hAnsi="Arial"/>
          <w:sz w:val="18"/>
          <w:szCs w:val="18"/>
          <w:b w:val="1"/>
          <w:bCs w:val="1"/>
          <w:color w:val="auto"/>
        </w:rPr>
      </w:pPr>
      <w:r>
        <w:rPr>
          <w:rFonts w:ascii="Arial" w:cs="Arial" w:eastAsia="Arial" w:hAnsi="Arial"/>
          <w:sz w:val="18"/>
          <w:szCs w:val="18"/>
          <w:color w:val="auto"/>
        </w:rPr>
        <w:t>As of December 31, 2020, TSNP was in compliance with all of the covenants under the TSNP Credit Line Agreement.</w:t>
      </w:r>
    </w:p>
    <w:p>
      <w:pPr>
        <w:spacing w:after="0" w:line="211" w:lineRule="exact"/>
        <w:rPr>
          <w:rFonts w:ascii="Arial" w:cs="Arial" w:eastAsia="Arial" w:hAnsi="Arial"/>
          <w:sz w:val="18"/>
          <w:szCs w:val="18"/>
          <w:b w:val="1"/>
          <w:bCs w:val="1"/>
          <w:color w:val="auto"/>
        </w:rPr>
      </w:pPr>
    </w:p>
    <w:p>
      <w:pPr>
        <w:ind w:left="14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As of December 31, 2020, borrowing availability under the TSNP Credit Line Agreement was approximately $69,000, of which approximately $1,000 was utilized through letters of credit.</w:t>
      </w:r>
    </w:p>
    <w:p>
      <w:pPr>
        <w:spacing w:after="0" w:line="156" w:lineRule="exact"/>
        <w:rPr>
          <w:rFonts w:ascii="Arial" w:cs="Arial" w:eastAsia="Arial" w:hAnsi="Arial"/>
          <w:sz w:val="18"/>
          <w:szCs w:val="18"/>
          <w:b w:val="1"/>
          <w:bCs w:val="1"/>
          <w:color w:val="auto"/>
        </w:rPr>
      </w:pPr>
    </w:p>
    <w:p>
      <w:pPr>
        <w:ind w:left="1440"/>
        <w:spacing w:after="0"/>
        <w:rPr>
          <w:rFonts w:ascii="Arial" w:cs="Arial" w:eastAsia="Arial" w:hAnsi="Arial"/>
          <w:sz w:val="18"/>
          <w:szCs w:val="18"/>
          <w:b w:val="1"/>
          <w:bCs w:val="1"/>
          <w:color w:val="auto"/>
        </w:rPr>
      </w:pPr>
      <w:r>
        <w:rPr>
          <w:rFonts w:ascii="Arial" w:cs="Arial" w:eastAsia="Arial" w:hAnsi="Arial"/>
          <w:sz w:val="18"/>
          <w:szCs w:val="18"/>
          <w:color w:val="auto"/>
        </w:rPr>
        <w:t>As of December 31, 2020 and 2019, no loan amounts were outstanding under the TSNP Credit Line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15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NOTE 12</w:t>
        <w:tab/>
        <w:t>- FINANCIAL INSTRUMENTS AND FAIR VALUE MEASUREMENTS</w:t>
      </w:r>
    </w:p>
    <w:p>
      <w:pPr>
        <w:spacing w:after="0" w:line="216" w:lineRule="exact"/>
        <w:rPr>
          <w:sz w:val="20"/>
          <w:szCs w:val="20"/>
          <w:color w:val="auto"/>
        </w:rPr>
      </w:pPr>
    </w:p>
    <w:p>
      <w:pPr>
        <w:jc w:val="both"/>
        <w:ind w:left="1080"/>
        <w:spacing w:after="0" w:line="263" w:lineRule="auto"/>
        <w:rPr>
          <w:sz w:val="20"/>
          <w:szCs w:val="20"/>
          <w:color w:val="auto"/>
        </w:rPr>
      </w:pPr>
      <w:r>
        <w:rPr>
          <w:rFonts w:ascii="Arial" w:cs="Arial" w:eastAsia="Arial" w:hAnsi="Arial"/>
          <w:sz w:val="18"/>
          <w:szCs w:val="18"/>
          <w:color w:val="auto"/>
        </w:rPr>
        <w:t>The Company makes certain disclosures as detailed below with regard to financial instruments, including derivatives. These disclosures include, among other matters, the nature and terms of derivative transactions, information about significant concentrations of credit risk and the fair value of financial assets and liabilities.</w:t>
      </w:r>
    </w:p>
    <w:p>
      <w:pPr>
        <w:spacing w:after="0" w:line="153" w:lineRule="exact"/>
        <w:rPr>
          <w:sz w:val="20"/>
          <w:szCs w:val="20"/>
          <w:color w:val="auto"/>
        </w:rPr>
      </w:pPr>
    </w:p>
    <w:p>
      <w:pPr>
        <w:ind w:left="1440" w:hanging="352"/>
        <w:spacing w:after="0"/>
        <w:tabs>
          <w:tab w:leader="none" w:pos="144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Non-Designated Exchange Rate Transactions</w:t>
      </w:r>
    </w:p>
    <w:p>
      <w:pPr>
        <w:spacing w:after="0" w:line="215" w:lineRule="exact"/>
        <w:rPr>
          <w:rFonts w:ascii="Arial" w:cs="Arial" w:eastAsia="Arial" w:hAnsi="Arial"/>
          <w:sz w:val="18"/>
          <w:szCs w:val="18"/>
          <w:b w:val="1"/>
          <w:bCs w:val="1"/>
          <w:color w:val="auto"/>
        </w:rPr>
      </w:pPr>
    </w:p>
    <w:p>
      <w:pPr>
        <w:jc w:val="both"/>
        <w:ind w:left="14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As the functional currency of Tower is the USD and part of Tower's expenses are denominated in NIS, Tower enters from time to time into exchange rate agreements to partially protect against the volatility of future cash flows caused by changes in foreign exchange rates on NIS denominated expenses.</w:t>
      </w:r>
    </w:p>
    <w:p>
      <w:pPr>
        <w:spacing w:after="0" w:line="170" w:lineRule="exact"/>
        <w:rPr>
          <w:rFonts w:ascii="Arial" w:cs="Arial" w:eastAsia="Arial" w:hAnsi="Arial"/>
          <w:sz w:val="18"/>
          <w:szCs w:val="18"/>
          <w:b w:val="1"/>
          <w:bCs w:val="1"/>
          <w:color w:val="auto"/>
        </w:rPr>
      </w:pPr>
    </w:p>
    <w:p>
      <w:pPr>
        <w:jc w:val="both"/>
        <w:ind w:left="14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As of December 31, 2020, the fair value amounts of such exchange rate agreements were $5,143 in an asset position, presented in other current assets with a face value of $51,000. As of December 31, 2019, the fair value amounts of such exchange rate agreements were $167 in an asset position, presented in other current assets with a face value of $48,000.</w:t>
      </w:r>
    </w:p>
    <w:p>
      <w:pPr>
        <w:spacing w:after="0" w:line="156" w:lineRule="exact"/>
        <w:rPr>
          <w:rFonts w:ascii="Arial" w:cs="Arial" w:eastAsia="Arial" w:hAnsi="Arial"/>
          <w:sz w:val="18"/>
          <w:szCs w:val="18"/>
          <w:b w:val="1"/>
          <w:bCs w:val="1"/>
          <w:color w:val="auto"/>
        </w:rPr>
      </w:pPr>
    </w:p>
    <w:p>
      <w:pPr>
        <w:ind w:left="1440"/>
        <w:spacing w:after="0"/>
        <w:rPr>
          <w:rFonts w:ascii="Arial" w:cs="Arial" w:eastAsia="Arial" w:hAnsi="Arial"/>
          <w:sz w:val="18"/>
          <w:szCs w:val="18"/>
          <w:b w:val="1"/>
          <w:bCs w:val="1"/>
          <w:color w:val="auto"/>
        </w:rPr>
      </w:pPr>
      <w:r>
        <w:rPr>
          <w:rFonts w:ascii="Arial" w:cs="Arial" w:eastAsia="Arial" w:hAnsi="Arial"/>
          <w:sz w:val="18"/>
          <w:szCs w:val="18"/>
          <w:color w:val="auto"/>
        </w:rPr>
        <w:t>Changes in the fair values of such derivatives are presented in cost of revenues in the statements of operations.</w:t>
      </w:r>
    </w:p>
    <w:p>
      <w:pPr>
        <w:spacing w:after="0" w:line="211" w:lineRule="exact"/>
        <w:rPr>
          <w:rFonts w:ascii="Arial" w:cs="Arial" w:eastAsia="Arial" w:hAnsi="Arial"/>
          <w:sz w:val="18"/>
          <w:szCs w:val="18"/>
          <w:b w:val="1"/>
          <w:bCs w:val="1"/>
          <w:color w:val="auto"/>
        </w:rPr>
      </w:pPr>
    </w:p>
    <w:p>
      <w:pPr>
        <w:jc w:val="both"/>
        <w:ind w:left="14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As the functional currency of the Company is the USD and part of TPSCo revenues and expenses are denominated in JPY, the Company enters from time to time into exchange rate agreements to protect against the volatility of future cash flows caused by changes in foreign exchange rates on JPY denominated amounts. As of December 31, 2020 and 2019, the fair value amounts of such exchange rate agreements were $150 in an asset position and $318, in a liability position, respectively, presented in other current assets and other current liabilities, respectively, with a face value of $40,000 and $36,000, respectively. Changes in the fair value of such derivatives are presented in the statements of operations.</w:t>
      </w:r>
    </w:p>
    <w:p>
      <w:pPr>
        <w:spacing w:after="0" w:line="174" w:lineRule="exact"/>
        <w:rPr>
          <w:rFonts w:ascii="Arial" w:cs="Arial" w:eastAsia="Arial" w:hAnsi="Arial"/>
          <w:sz w:val="18"/>
          <w:szCs w:val="18"/>
          <w:b w:val="1"/>
          <w:bCs w:val="1"/>
          <w:color w:val="auto"/>
        </w:rPr>
      </w:pPr>
    </w:p>
    <w:p>
      <w:pPr>
        <w:ind w:left="1440" w:hanging="352"/>
        <w:spacing w:after="0"/>
        <w:tabs>
          <w:tab w:leader="none" w:pos="144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of Credit Risks</w:t>
      </w:r>
    </w:p>
    <w:p>
      <w:pPr>
        <w:spacing w:after="0" w:line="202" w:lineRule="exact"/>
        <w:rPr>
          <w:rFonts w:ascii="Arial" w:cs="Arial" w:eastAsia="Arial" w:hAnsi="Arial"/>
          <w:sz w:val="18"/>
          <w:szCs w:val="18"/>
          <w:b w:val="1"/>
          <w:bCs w:val="1"/>
          <w:color w:val="auto"/>
        </w:rPr>
      </w:pPr>
    </w:p>
    <w:p>
      <w:pPr>
        <w:jc w:val="both"/>
        <w:ind w:left="14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Financial instruments that potentially subject the Company to concentrations of credit risk consist principally of cash and cash equivalents, bank deposits, marketable securities, derivatives, trade receivables and government and other receivables. The Company's cash, deposits, marketable securities and derivatives are maintained with large and reputable banks and investment banks. The composition and maturities of investments are regularly monitored by the Company. Generally, these securities may be redeemed upon demand and bear minimal risk.</w:t>
      </w:r>
    </w:p>
    <w:p>
      <w:pPr>
        <w:spacing w:after="0" w:line="174" w:lineRule="exact"/>
        <w:rPr>
          <w:rFonts w:ascii="Arial" w:cs="Arial" w:eastAsia="Arial" w:hAnsi="Arial"/>
          <w:sz w:val="18"/>
          <w:szCs w:val="18"/>
          <w:b w:val="1"/>
          <w:bCs w:val="1"/>
          <w:color w:val="auto"/>
        </w:rPr>
      </w:pPr>
    </w:p>
    <w:p>
      <w:pPr>
        <w:jc w:val="both"/>
        <w:ind w:left="144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The Company generally does not require collateral for insurance of receivables; however, in certain circumstances, the Company obtains credit insurance or may require advance payments. An allowance for current expected credit losses is maintained with respect to trade accounts receivables and marketable securities. The Company performs ongoing credit evaluations of its customers.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19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NOTE 12</w:t>
        <w:tab/>
        <w:t>-  FINANCIAL INSTRUMENTS AND FAIR VALUE MEASUREMENTS (Cont.)</w:t>
      </w:r>
    </w:p>
    <w:p>
      <w:pPr>
        <w:spacing w:after="0" w:line="198" w:lineRule="exact"/>
        <w:rPr>
          <w:sz w:val="20"/>
          <w:szCs w:val="20"/>
          <w:color w:val="auto"/>
        </w:rPr>
      </w:pPr>
    </w:p>
    <w:p>
      <w:pPr>
        <w:ind w:left="1440" w:hanging="352"/>
        <w:spacing w:after="0"/>
        <w:tabs>
          <w:tab w:leader="none" w:pos="144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215" w:lineRule="exact"/>
        <w:rPr>
          <w:rFonts w:ascii="Arial" w:cs="Arial" w:eastAsia="Arial" w:hAnsi="Arial"/>
          <w:sz w:val="18"/>
          <w:szCs w:val="18"/>
          <w:b w:val="1"/>
          <w:bCs w:val="1"/>
          <w:color w:val="auto"/>
        </w:rPr>
      </w:pPr>
    </w:p>
    <w:p>
      <w:pPr>
        <w:jc w:val="both"/>
        <w:ind w:left="14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estimated fair values of the Company’s financial instruments, excluding debentures, do not materially differ from their respective carrying amounts as of December 31, 2020 and 2019. The fair value of debentures, based on quoted market prices as of December 31, 2020 and 2019, was approximately $107,000 and $140,000, respectively, compared to carrying amounts of approximately $102,000 and $132,000, for the above dates, respectively.</w:t>
      </w:r>
    </w:p>
    <w:p>
      <w:pPr>
        <w:spacing w:after="0" w:line="169" w:lineRule="exact"/>
        <w:rPr>
          <w:rFonts w:ascii="Arial" w:cs="Arial" w:eastAsia="Arial" w:hAnsi="Arial"/>
          <w:sz w:val="18"/>
          <w:szCs w:val="18"/>
          <w:b w:val="1"/>
          <w:bCs w:val="1"/>
          <w:color w:val="auto"/>
        </w:rPr>
      </w:pPr>
    </w:p>
    <w:p>
      <w:pPr>
        <w:ind w:left="1440" w:hanging="352"/>
        <w:spacing w:after="0"/>
        <w:tabs>
          <w:tab w:leader="none" w:pos="144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Designated Cash Flow Hedge Transactions</w:t>
      </w:r>
    </w:p>
    <w:p>
      <w:pPr>
        <w:spacing w:after="0" w:line="202" w:lineRule="exact"/>
        <w:rPr>
          <w:rFonts w:ascii="Arial" w:cs="Arial" w:eastAsia="Arial" w:hAnsi="Arial"/>
          <w:sz w:val="18"/>
          <w:szCs w:val="18"/>
          <w:b w:val="1"/>
          <w:bCs w:val="1"/>
          <w:color w:val="auto"/>
        </w:rPr>
      </w:pPr>
    </w:p>
    <w:p>
      <w:pPr>
        <w:ind w:left="144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The Company entered into designated cash flow hedging transactions to mitigate the foreign exchange rate differences on principal and interest using a cross currency swap to mitigate the risk arising from the Series G Debentures denomination in NIS.</w:t>
      </w:r>
    </w:p>
    <w:p>
      <w:pPr>
        <w:spacing w:after="0" w:line="132" w:lineRule="exact"/>
        <w:rPr>
          <w:rFonts w:ascii="Arial" w:cs="Arial" w:eastAsia="Arial" w:hAnsi="Arial"/>
          <w:sz w:val="18"/>
          <w:szCs w:val="18"/>
          <w:b w:val="1"/>
          <w:bCs w:val="1"/>
          <w:color w:val="auto"/>
        </w:rPr>
      </w:pPr>
    </w:p>
    <w:p>
      <w:pPr>
        <w:jc w:val="both"/>
        <w:ind w:left="144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As of December 31, 2020, the fair value of the swap was $16,977 in an asset net position, of which $6,316 was presented in other current assets and $10,661 was presented in long-term assets. As of December 31, 2019, the fair value of the swap was $15,642 in an asset net position, of which $3,017 was presented in other current assets and $12,625 was presented in long-term assets.</w:t>
      </w:r>
    </w:p>
    <w:p>
      <w:pPr>
        <w:spacing w:after="0" w:line="151" w:lineRule="exact"/>
        <w:rPr>
          <w:rFonts w:ascii="Arial" w:cs="Arial" w:eastAsia="Arial" w:hAnsi="Arial"/>
          <w:sz w:val="18"/>
          <w:szCs w:val="18"/>
          <w:b w:val="1"/>
          <w:bCs w:val="1"/>
          <w:color w:val="auto"/>
        </w:rPr>
      </w:pPr>
    </w:p>
    <w:p>
      <w:pPr>
        <w:jc w:val="both"/>
        <w:ind w:left="14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As of December 31, 2020 and December 31, 2019, the effective portions of $323 loss and $1,504 income, respectively, were recorded in OCI, of which a loss of $533 is expected to be recorded in earnings during the twelve months ending December 31, 2021. For the years ended December 31, 2020 and December 31, 2019, the hedging effect on the Company’s results of operations was $5,252 and $8,816 income, respectively, and was recognized as financing income, to offset the effect of the rate difference related to the Series G Debentures.</w:t>
      </w:r>
    </w:p>
    <w:p>
      <w:pPr>
        <w:spacing w:after="0" w:line="156" w:lineRule="exact"/>
        <w:rPr>
          <w:rFonts w:ascii="Arial" w:cs="Arial" w:eastAsia="Arial" w:hAnsi="Arial"/>
          <w:sz w:val="18"/>
          <w:szCs w:val="18"/>
          <w:b w:val="1"/>
          <w:bCs w:val="1"/>
          <w:color w:val="auto"/>
        </w:rPr>
      </w:pPr>
    </w:p>
    <w:p>
      <w:pPr>
        <w:ind w:left="1440" w:right="7820" w:hanging="352"/>
        <w:spacing w:after="0" w:line="548" w:lineRule="auto"/>
        <w:tabs>
          <w:tab w:leader="none" w:pos="1434" w:val="left"/>
        </w:tabs>
        <w:numPr>
          <w:ilvl w:val="0"/>
          <w:numId w:val="21"/>
        </w:numPr>
        <w:rPr>
          <w:rFonts w:ascii="Arial" w:cs="Arial" w:eastAsia="Arial" w:hAnsi="Arial"/>
          <w:sz w:val="16"/>
          <w:szCs w:val="16"/>
          <w:b w:val="1"/>
          <w:bCs w:val="1"/>
          <w:color w:val="auto"/>
        </w:rPr>
      </w:pPr>
      <w:r>
        <w:rPr>
          <w:rFonts w:ascii="Arial" w:cs="Arial" w:eastAsia="Arial" w:hAnsi="Arial"/>
          <w:sz w:val="16"/>
          <w:szCs w:val="16"/>
          <w:b w:val="1"/>
          <w:bCs w:val="1"/>
          <w:color w:val="auto"/>
        </w:rPr>
        <w:t>Fair Value Measurements Valuation Techniques</w:t>
      </w:r>
    </w:p>
    <w:p>
      <w:pPr>
        <w:jc w:val="both"/>
        <w:ind w:left="1440"/>
        <w:spacing w:after="0" w:line="257" w:lineRule="auto"/>
        <w:rPr>
          <w:rFonts w:ascii="Arial" w:cs="Arial" w:eastAsia="Arial" w:hAnsi="Arial"/>
          <w:sz w:val="16"/>
          <w:szCs w:val="16"/>
          <w:b w:val="1"/>
          <w:bCs w:val="1"/>
          <w:color w:val="auto"/>
        </w:rPr>
      </w:pPr>
      <w:r>
        <w:rPr>
          <w:rFonts w:ascii="Arial" w:cs="Arial" w:eastAsia="Arial" w:hAnsi="Arial"/>
          <w:sz w:val="18"/>
          <w:szCs w:val="18"/>
          <w:color w:val="auto"/>
        </w:rPr>
        <w:t>In general, and where applicable, the Company uses quoted prices in active markets for identical assets or liabilities to determine fair value. This pricing methodology applies to the Company’s Level 1 assets and liabilities. If quoted prices in active markets for identical assets and liabilities are not available to determine fair value, the Company uses quoted prices for similar assets and liabilities or inputs other than the quoted prices that are observable, either directly or indirectly. This pricing methodology applies to the Company’s Level 2 and Level 3 assets and liabilities.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19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NOTE 12</w:t>
        <w:tab/>
        <w:t>-  FINANCIAL INSTRUMENTS AND FAIR VALUE MEASUREMENTS (Cont.)</w:t>
      </w:r>
    </w:p>
    <w:p>
      <w:pPr>
        <w:spacing w:after="0" w:line="202" w:lineRule="exact"/>
        <w:rPr>
          <w:sz w:val="20"/>
          <w:szCs w:val="20"/>
          <w:color w:val="auto"/>
        </w:rPr>
      </w:pPr>
    </w:p>
    <w:p>
      <w:pPr>
        <w:ind w:left="1440"/>
        <w:spacing w:after="0"/>
        <w:rPr>
          <w:sz w:val="20"/>
          <w:szCs w:val="20"/>
          <w:color w:val="auto"/>
        </w:rPr>
      </w:pPr>
      <w:r>
        <w:rPr>
          <w:rFonts w:ascii="Arial" w:cs="Arial" w:eastAsia="Arial" w:hAnsi="Arial"/>
          <w:sz w:val="18"/>
          <w:szCs w:val="18"/>
          <w:b w:val="1"/>
          <w:bCs w:val="1"/>
          <w:i w:val="1"/>
          <w:iCs w:val="1"/>
          <w:color w:val="auto"/>
        </w:rPr>
        <w:t>Level 1 Measurements</w:t>
      </w:r>
    </w:p>
    <w:p>
      <w:pPr>
        <w:spacing w:after="0" w:line="23" w:lineRule="exact"/>
        <w:rPr>
          <w:sz w:val="20"/>
          <w:szCs w:val="20"/>
          <w:color w:val="auto"/>
        </w:rPr>
      </w:pPr>
    </w:p>
    <w:p>
      <w:pPr>
        <w:jc w:val="both"/>
        <w:ind w:left="1440"/>
        <w:spacing w:after="0" w:line="255" w:lineRule="auto"/>
        <w:rPr>
          <w:sz w:val="20"/>
          <w:szCs w:val="20"/>
          <w:color w:val="auto"/>
        </w:rPr>
      </w:pPr>
      <w:r>
        <w:rPr>
          <w:rFonts w:ascii="Arial" w:cs="Arial" w:eastAsia="Arial" w:hAnsi="Arial"/>
          <w:sz w:val="18"/>
          <w:szCs w:val="18"/>
          <w:color w:val="auto"/>
        </w:rPr>
        <w:t>Securities classified as available-for-sale are reported at fair value on a recurring basis. These securities are classified as Level 1 of the valuation hierarchy where quoted market prices from reputable third-party brokers are available in an active market. Changes in fair value of securities available-for-sale are recorded in other comprehensive income.</w:t>
      </w:r>
    </w:p>
    <w:p>
      <w:pPr>
        <w:spacing w:after="0" w:line="176" w:lineRule="exact"/>
        <w:rPr>
          <w:sz w:val="20"/>
          <w:szCs w:val="20"/>
          <w:color w:val="auto"/>
        </w:rPr>
      </w:pPr>
    </w:p>
    <w:p>
      <w:pPr>
        <w:ind w:left="1440"/>
        <w:spacing w:after="0"/>
        <w:rPr>
          <w:sz w:val="20"/>
          <w:szCs w:val="20"/>
          <w:color w:val="auto"/>
        </w:rPr>
      </w:pPr>
      <w:r>
        <w:rPr>
          <w:rFonts w:ascii="Arial" w:cs="Arial" w:eastAsia="Arial" w:hAnsi="Arial"/>
          <w:sz w:val="18"/>
          <w:szCs w:val="18"/>
          <w:b w:val="1"/>
          <w:bCs w:val="1"/>
          <w:i w:val="1"/>
          <w:iCs w:val="1"/>
          <w:color w:val="auto"/>
        </w:rPr>
        <w:t>Level 2 Measurements</w:t>
      </w:r>
    </w:p>
    <w:p>
      <w:pPr>
        <w:spacing w:after="0" w:line="23" w:lineRule="exact"/>
        <w:rPr>
          <w:sz w:val="20"/>
          <w:szCs w:val="20"/>
          <w:color w:val="auto"/>
        </w:rPr>
      </w:pPr>
    </w:p>
    <w:p>
      <w:pPr>
        <w:jc w:val="both"/>
        <w:ind w:left="1440"/>
        <w:spacing w:after="0" w:line="295" w:lineRule="auto"/>
        <w:rPr>
          <w:sz w:val="20"/>
          <w:szCs w:val="20"/>
          <w:color w:val="auto"/>
        </w:rPr>
      </w:pPr>
      <w:r>
        <w:rPr>
          <w:rFonts w:ascii="Arial" w:cs="Arial" w:eastAsia="Arial" w:hAnsi="Arial"/>
          <w:sz w:val="16"/>
          <w:szCs w:val="16"/>
          <w:color w:val="auto"/>
        </w:rPr>
        <w:t>If quoted market prices are not available, the Company obtains fair value measurements of similar assets and liabilities from an independent pricing service. These securities are reported using Level 2 inputs and the fair value measurements consider observable data that may include dealer quotes, market spreads, cash flows, U.S. government and agency yield curves, live trading levels, trade execution data, market consensus prepayment speeds, credit information, and the security’s terms and conditions, among other factors.</w:t>
      </w:r>
    </w:p>
    <w:p>
      <w:pPr>
        <w:spacing w:after="0" w:line="148" w:lineRule="exact"/>
        <w:rPr>
          <w:sz w:val="20"/>
          <w:szCs w:val="20"/>
          <w:color w:val="auto"/>
        </w:rPr>
      </w:pPr>
    </w:p>
    <w:p>
      <w:pPr>
        <w:jc w:val="both"/>
        <w:ind w:left="1440"/>
        <w:spacing w:after="0" w:line="277" w:lineRule="auto"/>
        <w:rPr>
          <w:sz w:val="20"/>
          <w:szCs w:val="20"/>
          <w:color w:val="auto"/>
        </w:rPr>
      </w:pPr>
      <w:r>
        <w:rPr>
          <w:rFonts w:ascii="Arial" w:cs="Arial" w:eastAsia="Arial" w:hAnsi="Arial"/>
          <w:sz w:val="18"/>
          <w:szCs w:val="18"/>
          <w:color w:val="auto"/>
        </w:rPr>
        <w:t>For cross currency swap measured under Level 2 - the Company uses the market approach using quotations from banks and other public information.</w:t>
      </w:r>
    </w:p>
    <w:p>
      <w:pPr>
        <w:spacing w:after="0" w:line="143" w:lineRule="exact"/>
        <w:rPr>
          <w:sz w:val="20"/>
          <w:szCs w:val="20"/>
          <w:color w:val="auto"/>
        </w:rPr>
      </w:pPr>
    </w:p>
    <w:p>
      <w:pPr>
        <w:ind w:left="1440"/>
        <w:spacing w:after="0"/>
        <w:rPr>
          <w:sz w:val="20"/>
          <w:szCs w:val="20"/>
          <w:color w:val="auto"/>
        </w:rPr>
      </w:pPr>
      <w:r>
        <w:rPr>
          <w:rFonts w:ascii="Arial" w:cs="Arial" w:eastAsia="Arial" w:hAnsi="Arial"/>
          <w:sz w:val="18"/>
          <w:szCs w:val="18"/>
          <w:b w:val="1"/>
          <w:bCs w:val="1"/>
          <w:i w:val="1"/>
          <w:iCs w:val="1"/>
          <w:color w:val="auto"/>
        </w:rPr>
        <w:t>Level 3 Measurements</w:t>
      </w:r>
    </w:p>
    <w:p>
      <w:pPr>
        <w:spacing w:after="0" w:line="23" w:lineRule="exact"/>
        <w:rPr>
          <w:sz w:val="20"/>
          <w:szCs w:val="20"/>
          <w:color w:val="auto"/>
        </w:rPr>
      </w:pPr>
    </w:p>
    <w:p>
      <w:pPr>
        <w:jc w:val="both"/>
        <w:ind w:left="1440"/>
        <w:spacing w:after="0" w:line="253" w:lineRule="auto"/>
        <w:rPr>
          <w:sz w:val="20"/>
          <w:szCs w:val="20"/>
          <w:color w:val="auto"/>
        </w:rPr>
      </w:pPr>
      <w:r>
        <w:rPr>
          <w:rFonts w:ascii="Arial" w:cs="Arial" w:eastAsia="Arial" w:hAnsi="Arial"/>
          <w:sz w:val="18"/>
          <w:szCs w:val="18"/>
          <w:color w:val="auto"/>
        </w:rPr>
        <w:t>Equity Securities without Readily Determinable Fair Values - Investments in privately-held companies are measured using the Measurement Alternatives, see Note 2J above. The Company reviews these investments for impairment and observable price changes on a quarterly basis and adjusts the carrying value accordingly. For the years ended December 31, 2020 and 2019, the Company recorded an increase in the value of such investments, of $358 and $5,270, respectively, presented in “other income (expense), net”, in the statements of operations.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80" w:type="dxa"/>
            <w:vAlign w:val="bottom"/>
            <w:gridSpan w:val="2"/>
          </w:tcPr>
          <w:p>
            <w:pPr>
              <w:ind w:left="1440"/>
              <w:spacing w:after="0"/>
              <w:rPr>
                <w:sz w:val="20"/>
                <w:szCs w:val="20"/>
                <w:color w:val="auto"/>
              </w:rPr>
            </w:pPr>
            <w:r>
              <w:rPr>
                <w:rFonts w:ascii="Arial" w:cs="Arial" w:eastAsia="Arial" w:hAnsi="Arial"/>
                <w:sz w:val="18"/>
                <w:szCs w:val="18"/>
                <w:color w:val="auto"/>
                <w:w w:val="93"/>
              </w:rPr>
              <w:t>Recurring fair value measurements using the indicated inputs: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77"/>
        </w:trPr>
        <w:tc>
          <w:tcPr>
            <w:tcW w:w="146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center"/>
              <w:ind w:right="50"/>
              <w:spacing w:after="0"/>
              <w:rPr>
                <w:sz w:val="20"/>
                <w:szCs w:val="20"/>
                <w:color w:val="auto"/>
              </w:rPr>
            </w:pPr>
            <w:r>
              <w:rPr>
                <w:rFonts w:ascii="Arial" w:cs="Arial" w:eastAsia="Arial" w:hAnsi="Arial"/>
                <w:sz w:val="18"/>
                <w:szCs w:val="18"/>
                <w:color w:val="auto"/>
                <w:w w:val="87"/>
              </w:rPr>
              <w:t>Quoted</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146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center"/>
              <w:ind w:right="30"/>
              <w:spacing w:after="0"/>
              <w:rPr>
                <w:sz w:val="20"/>
                <w:szCs w:val="20"/>
                <w:color w:val="auto"/>
              </w:rPr>
            </w:pPr>
            <w:r>
              <w:rPr>
                <w:rFonts w:ascii="Arial" w:cs="Arial" w:eastAsia="Arial" w:hAnsi="Arial"/>
                <w:sz w:val="18"/>
                <w:szCs w:val="18"/>
                <w:color w:val="auto"/>
                <w:w w:val="92"/>
              </w:rPr>
              <w:t>prices in</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center"/>
              <w:ind w:right="50"/>
              <w:spacing w:after="0"/>
              <w:rPr>
                <w:sz w:val="20"/>
                <w:szCs w:val="20"/>
                <w:color w:val="auto"/>
              </w:rPr>
            </w:pPr>
            <w:r>
              <w:rPr>
                <w:rFonts w:ascii="Arial" w:cs="Arial" w:eastAsia="Arial" w:hAnsi="Arial"/>
                <w:sz w:val="18"/>
                <w:szCs w:val="18"/>
                <w:color w:val="auto"/>
                <w:w w:val="93"/>
              </w:rPr>
              <w:t>active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right="30"/>
              <w:spacing w:after="0"/>
              <w:rPr>
                <w:sz w:val="20"/>
                <w:szCs w:val="20"/>
                <w:color w:val="auto"/>
              </w:rPr>
            </w:pPr>
            <w:r>
              <w:rPr>
                <w:rFonts w:ascii="Arial" w:cs="Arial" w:eastAsia="Arial" w:hAnsi="Arial"/>
                <w:sz w:val="18"/>
                <w:szCs w:val="18"/>
                <w:color w:val="auto"/>
                <w:w w:val="96"/>
              </w:rPr>
              <w:t>Significant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center"/>
              <w:ind w:right="50"/>
              <w:spacing w:after="0"/>
              <w:rPr>
                <w:sz w:val="20"/>
                <w:szCs w:val="20"/>
                <w:color w:val="auto"/>
              </w:rPr>
            </w:pPr>
            <w:r>
              <w:rPr>
                <w:rFonts w:ascii="Arial" w:cs="Arial" w:eastAsia="Arial" w:hAnsi="Arial"/>
                <w:sz w:val="18"/>
                <w:szCs w:val="18"/>
                <w:color w:val="auto"/>
                <w:w w:val="93"/>
              </w:rPr>
              <w:t>market for</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right="30"/>
              <w:spacing w:after="0"/>
              <w:rPr>
                <w:sz w:val="20"/>
                <w:szCs w:val="20"/>
                <w:color w:val="auto"/>
              </w:rPr>
            </w:pPr>
            <w:r>
              <w:rPr>
                <w:rFonts w:ascii="Arial" w:cs="Arial" w:eastAsia="Arial" w:hAnsi="Arial"/>
                <w:sz w:val="18"/>
                <w:szCs w:val="18"/>
                <w:color w:val="auto"/>
                <w:w w:val="87"/>
              </w:rPr>
              <w:t>other</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right="50"/>
              <w:spacing w:after="0"/>
              <w:rPr>
                <w:sz w:val="20"/>
                <w:szCs w:val="20"/>
                <w:color w:val="auto"/>
              </w:rPr>
            </w:pPr>
            <w:r>
              <w:rPr>
                <w:rFonts w:ascii="Arial" w:cs="Arial" w:eastAsia="Arial" w:hAnsi="Arial"/>
                <w:sz w:val="18"/>
                <w:szCs w:val="18"/>
                <w:color w:val="auto"/>
                <w:w w:val="93"/>
              </w:rPr>
              <w:t>Significant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w w:val="91"/>
              </w:rPr>
              <w:t>December</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center"/>
              <w:ind w:right="30"/>
              <w:spacing w:after="0"/>
              <w:rPr>
                <w:sz w:val="20"/>
                <w:szCs w:val="20"/>
                <w:color w:val="auto"/>
              </w:rPr>
            </w:pPr>
            <w:r>
              <w:rPr>
                <w:rFonts w:ascii="Arial" w:cs="Arial" w:eastAsia="Arial" w:hAnsi="Arial"/>
                <w:sz w:val="18"/>
                <w:szCs w:val="18"/>
                <w:color w:val="auto"/>
                <w:w w:val="93"/>
              </w:rPr>
              <w:t>identical</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right="50"/>
              <w:spacing w:after="0"/>
              <w:rPr>
                <w:sz w:val="20"/>
                <w:szCs w:val="20"/>
                <w:color w:val="auto"/>
              </w:rPr>
            </w:pPr>
            <w:r>
              <w:rPr>
                <w:rFonts w:ascii="Arial" w:cs="Arial" w:eastAsia="Arial" w:hAnsi="Arial"/>
                <w:sz w:val="18"/>
                <w:szCs w:val="18"/>
                <w:color w:val="auto"/>
                <w:w w:val="88"/>
              </w:rPr>
              <w:t>observable</w:t>
            </w:r>
          </w:p>
        </w:tc>
        <w:tc>
          <w:tcPr>
            <w:tcW w:w="180" w:type="dxa"/>
            <w:vAlign w:val="bottom"/>
          </w:tcPr>
          <w:p>
            <w:pPr>
              <w:spacing w:after="0"/>
              <w:rPr>
                <w:sz w:val="18"/>
                <w:szCs w:val="18"/>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color w:val="auto"/>
                <w:w w:val="88"/>
              </w:rPr>
              <w:t>unobservable</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center"/>
              <w:ind w:right="50"/>
              <w:spacing w:after="0"/>
              <w:rPr>
                <w:sz w:val="20"/>
                <w:szCs w:val="20"/>
                <w:color w:val="auto"/>
              </w:rPr>
            </w:pPr>
            <w:r>
              <w:rPr>
                <w:rFonts w:ascii="Arial" w:cs="Arial" w:eastAsia="Arial" w:hAnsi="Arial"/>
                <w:sz w:val="18"/>
                <w:szCs w:val="18"/>
                <w:color w:val="auto"/>
              </w:rPr>
              <w:t>liability</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right="30"/>
              <w:spacing w:after="0"/>
              <w:rPr>
                <w:sz w:val="20"/>
                <w:szCs w:val="20"/>
                <w:color w:val="auto"/>
              </w:rPr>
            </w:pPr>
            <w:r>
              <w:rPr>
                <w:rFonts w:ascii="Arial" w:cs="Arial" w:eastAsia="Arial" w:hAnsi="Arial"/>
                <w:sz w:val="18"/>
                <w:szCs w:val="18"/>
                <w:color w:val="auto"/>
                <w:w w:val="91"/>
              </w:rPr>
              <w:t>inputs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right="30"/>
              <w:spacing w:after="0"/>
              <w:rPr>
                <w:sz w:val="20"/>
                <w:szCs w:val="20"/>
                <w:color w:val="auto"/>
              </w:rPr>
            </w:pPr>
            <w:r>
              <w:rPr>
                <w:rFonts w:ascii="Arial" w:cs="Arial" w:eastAsia="Arial" w:hAnsi="Arial"/>
                <w:sz w:val="18"/>
                <w:szCs w:val="18"/>
                <w:color w:val="auto"/>
                <w:w w:val="91"/>
              </w:rPr>
              <w:t>inputs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7"/>
        </w:trPr>
        <w:tc>
          <w:tcPr>
            <w:tcW w:w="146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4"/>
              </w:rPr>
              <w:t>(Level 1)</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7"/>
              </w:rPr>
              <w:t>(Level 2)</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4"/>
              </w:rPr>
              <w:t>(Level 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146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Cross currency swap - net asset position</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Privately-held companies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17,727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17,727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 held for sale</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188,186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188,186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23"/>
        </w:trPr>
        <w:tc>
          <w:tcPr>
            <w:tcW w:w="6080" w:type="dxa"/>
            <w:vAlign w:val="bottom"/>
            <w:gridSpan w:val="2"/>
          </w:tcPr>
          <w:p>
            <w:pPr>
              <w:ind w:left="1440"/>
              <w:spacing w:after="0"/>
              <w:rPr>
                <w:sz w:val="20"/>
                <w:szCs w:val="20"/>
                <w:color w:val="auto"/>
              </w:rPr>
            </w:pPr>
            <w:r>
              <w:rPr>
                <w:rFonts w:ascii="Arial" w:cs="Arial" w:eastAsia="Arial" w:hAnsi="Arial"/>
                <w:sz w:val="18"/>
                <w:szCs w:val="18"/>
                <w:color w:val="auto"/>
                <w:w w:val="97"/>
              </w:rPr>
              <w:t>Foreign exchange forward and cylinders - net asset position</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5,293</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5,293</w:t>
            </w: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6"/>
        </w:trPr>
        <w:tc>
          <w:tcPr>
            <w:tcW w:w="1460" w:type="dxa"/>
            <w:vAlign w:val="bottom"/>
          </w:tcPr>
          <w:p>
            <w:pPr>
              <w:spacing w:after="0"/>
              <w:rPr>
                <w:sz w:val="22"/>
                <w:szCs w:val="22"/>
                <w:color w:val="auto"/>
              </w:rPr>
            </w:pPr>
          </w:p>
        </w:tc>
        <w:tc>
          <w:tcPr>
            <w:tcW w:w="462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228,183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188,186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22,270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17,727</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r>
      <w:tr>
        <w:trPr>
          <w:trHeight w:val="413"/>
        </w:trPr>
        <w:tc>
          <w:tcPr>
            <w:tcW w:w="1460" w:type="dxa"/>
            <w:vAlign w:val="bottom"/>
          </w:tcPr>
          <w:p>
            <w:pPr>
              <w:spacing w:after="0"/>
              <w:rPr>
                <w:sz w:val="24"/>
                <w:szCs w:val="24"/>
                <w:color w:val="auto"/>
              </w:rPr>
            </w:pPr>
          </w:p>
        </w:tc>
        <w:tc>
          <w:tcPr>
            <w:tcW w:w="4620" w:type="dxa"/>
            <w:vAlign w:val="bottom"/>
            <w:tcBorders>
              <w:top w:val="single" w:sz="8" w:color="CCEEFF"/>
            </w:tcBorders>
          </w:tcPr>
          <w:p>
            <w:pPr>
              <w:ind w:left="3960"/>
              <w:spacing w:after="0"/>
              <w:rPr>
                <w:sz w:val="20"/>
                <w:szCs w:val="20"/>
                <w:color w:val="auto"/>
              </w:rPr>
            </w:pPr>
            <w:r>
              <w:rPr>
                <w:rFonts w:ascii="Arial" w:cs="Arial" w:eastAsia="Arial" w:hAnsi="Arial"/>
                <w:sz w:val="18"/>
                <w:szCs w:val="18"/>
                <w:color w:val="auto"/>
              </w:rPr>
              <w:t>F-29</w:t>
            </w:r>
          </w:p>
        </w:tc>
        <w:tc>
          <w:tcPr>
            <w:tcW w:w="2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16"/>
        </w:trPr>
        <w:tc>
          <w:tcPr>
            <w:tcW w:w="1460" w:type="dxa"/>
            <w:vAlign w:val="bottom"/>
            <w:tcBorders>
              <w:bottom w:val="single" w:sz="8" w:color="EEEEEE"/>
            </w:tcBorders>
          </w:tcPr>
          <w:p>
            <w:pPr>
              <w:spacing w:after="0"/>
              <w:rPr>
                <w:sz w:val="18"/>
                <w:szCs w:val="18"/>
                <w:color w:val="auto"/>
              </w:rPr>
            </w:pPr>
          </w:p>
        </w:tc>
        <w:tc>
          <w:tcPr>
            <w:tcW w:w="4620" w:type="dxa"/>
            <w:vAlign w:val="bottom"/>
            <w:tcBorders>
              <w:bottom w:val="single" w:sz="8" w:color="EEEEEE"/>
            </w:tcBorders>
          </w:tcPr>
          <w:p>
            <w:pPr>
              <w:spacing w:after="0"/>
              <w:rPr>
                <w:sz w:val="18"/>
                <w:szCs w:val="18"/>
                <w:color w:val="auto"/>
              </w:rPr>
            </w:pPr>
          </w:p>
        </w:tc>
        <w:tc>
          <w:tcPr>
            <w:tcW w:w="200" w:type="dxa"/>
            <w:vAlign w:val="bottom"/>
            <w:tcBorders>
              <w:bottom w:val="single" w:sz="8" w:color="EEEEEE"/>
            </w:tcBorders>
          </w:tcPr>
          <w:p>
            <w:pPr>
              <w:spacing w:after="0"/>
              <w:rPr>
                <w:sz w:val="18"/>
                <w:szCs w:val="18"/>
                <w:color w:val="auto"/>
              </w:rPr>
            </w:pPr>
          </w:p>
        </w:tc>
        <w:tc>
          <w:tcPr>
            <w:tcW w:w="120" w:type="dxa"/>
            <w:vAlign w:val="bottom"/>
            <w:tcBorders>
              <w:bottom w:val="single" w:sz="8" w:color="EEEEEE"/>
            </w:tcBorders>
          </w:tcPr>
          <w:p>
            <w:pPr>
              <w:spacing w:after="0"/>
              <w:rPr>
                <w:sz w:val="18"/>
                <w:szCs w:val="18"/>
                <w:color w:val="auto"/>
              </w:rPr>
            </w:pPr>
          </w:p>
        </w:tc>
        <w:tc>
          <w:tcPr>
            <w:tcW w:w="960" w:type="dxa"/>
            <w:vAlign w:val="bottom"/>
            <w:tcBorders>
              <w:bottom w:val="single" w:sz="8" w:color="EEEEEE"/>
            </w:tcBorders>
          </w:tcPr>
          <w:p>
            <w:pPr>
              <w:spacing w:after="0"/>
              <w:rPr>
                <w:sz w:val="18"/>
                <w:szCs w:val="18"/>
                <w:color w:val="auto"/>
              </w:rPr>
            </w:pPr>
          </w:p>
        </w:tc>
        <w:tc>
          <w:tcPr>
            <w:tcW w:w="200" w:type="dxa"/>
            <w:vAlign w:val="bottom"/>
            <w:tcBorders>
              <w:bottom w:val="single" w:sz="8" w:color="EEEEEE"/>
            </w:tcBorders>
          </w:tcPr>
          <w:p>
            <w:pPr>
              <w:spacing w:after="0"/>
              <w:rPr>
                <w:sz w:val="18"/>
                <w:szCs w:val="18"/>
                <w:color w:val="auto"/>
              </w:rPr>
            </w:pPr>
          </w:p>
        </w:tc>
        <w:tc>
          <w:tcPr>
            <w:tcW w:w="120" w:type="dxa"/>
            <w:vAlign w:val="bottom"/>
            <w:tcBorders>
              <w:bottom w:val="single" w:sz="8" w:color="EEEEEE"/>
            </w:tcBorders>
          </w:tcPr>
          <w:p>
            <w:pPr>
              <w:spacing w:after="0"/>
              <w:rPr>
                <w:sz w:val="18"/>
                <w:szCs w:val="18"/>
                <w:color w:val="auto"/>
              </w:rPr>
            </w:pPr>
          </w:p>
        </w:tc>
        <w:tc>
          <w:tcPr>
            <w:tcW w:w="940" w:type="dxa"/>
            <w:vAlign w:val="bottom"/>
            <w:tcBorders>
              <w:bottom w:val="single" w:sz="8" w:color="EEEEEE"/>
            </w:tcBorders>
          </w:tcPr>
          <w:p>
            <w:pPr>
              <w:spacing w:after="0"/>
              <w:rPr>
                <w:sz w:val="18"/>
                <w:szCs w:val="18"/>
                <w:color w:val="auto"/>
              </w:rPr>
            </w:pPr>
          </w:p>
        </w:tc>
        <w:tc>
          <w:tcPr>
            <w:tcW w:w="180" w:type="dxa"/>
            <w:vAlign w:val="bottom"/>
            <w:tcBorders>
              <w:bottom w:val="single" w:sz="8" w:color="EEEEEE"/>
            </w:tcBorders>
          </w:tcPr>
          <w:p>
            <w:pPr>
              <w:spacing w:after="0"/>
              <w:rPr>
                <w:sz w:val="18"/>
                <w:szCs w:val="18"/>
                <w:color w:val="auto"/>
              </w:rPr>
            </w:pPr>
          </w:p>
        </w:tc>
        <w:tc>
          <w:tcPr>
            <w:tcW w:w="120" w:type="dxa"/>
            <w:vAlign w:val="bottom"/>
            <w:tcBorders>
              <w:bottom w:val="single" w:sz="8" w:color="EEEEEE"/>
            </w:tcBorders>
          </w:tcPr>
          <w:p>
            <w:pPr>
              <w:spacing w:after="0"/>
              <w:rPr>
                <w:sz w:val="18"/>
                <w:szCs w:val="18"/>
                <w:color w:val="auto"/>
              </w:rPr>
            </w:pPr>
          </w:p>
        </w:tc>
        <w:tc>
          <w:tcPr>
            <w:tcW w:w="960" w:type="dxa"/>
            <w:vAlign w:val="bottom"/>
            <w:tcBorders>
              <w:bottom w:val="single" w:sz="8" w:color="EEEEEE"/>
            </w:tcBorders>
          </w:tcPr>
          <w:p>
            <w:pPr>
              <w:spacing w:after="0"/>
              <w:rPr>
                <w:sz w:val="18"/>
                <w:szCs w:val="18"/>
                <w:color w:val="auto"/>
              </w:rPr>
            </w:pPr>
          </w:p>
        </w:tc>
        <w:tc>
          <w:tcPr>
            <w:tcW w:w="180" w:type="dxa"/>
            <w:vAlign w:val="bottom"/>
            <w:tcBorders>
              <w:bottom w:val="single" w:sz="8" w:color="EEEEEE"/>
            </w:tcBorders>
          </w:tcPr>
          <w:p>
            <w:pPr>
              <w:spacing w:after="0"/>
              <w:rPr>
                <w:sz w:val="18"/>
                <w:szCs w:val="18"/>
                <w:color w:val="auto"/>
              </w:rPr>
            </w:pPr>
          </w:p>
        </w:tc>
        <w:tc>
          <w:tcPr>
            <w:tcW w:w="120" w:type="dxa"/>
            <w:vAlign w:val="bottom"/>
            <w:tcBorders>
              <w:bottom w:val="single" w:sz="8" w:color="EEEEEE"/>
            </w:tcBorders>
          </w:tcPr>
          <w:p>
            <w:pPr>
              <w:spacing w:after="0"/>
              <w:rPr>
                <w:sz w:val="18"/>
                <w:szCs w:val="18"/>
                <w:color w:val="auto"/>
              </w:rPr>
            </w:pPr>
          </w:p>
        </w:tc>
        <w:tc>
          <w:tcPr>
            <w:tcW w:w="960" w:type="dxa"/>
            <w:vAlign w:val="bottom"/>
            <w:tcBorders>
              <w:bottom w:val="single" w:sz="8" w:color="EEEEEE"/>
            </w:tcBorders>
          </w:tcPr>
          <w:p>
            <w:pPr>
              <w:spacing w:after="0"/>
              <w:rPr>
                <w:sz w:val="18"/>
                <w:szCs w:val="18"/>
                <w:color w:val="auto"/>
              </w:rPr>
            </w:pPr>
          </w:p>
        </w:tc>
        <w:tc>
          <w:tcPr>
            <w:tcW w:w="80" w:type="dxa"/>
            <w:vAlign w:val="bottom"/>
            <w:tcBorders>
              <w:bottom w:val="single" w:sz="8" w:color="EEEEEE"/>
            </w:tcBorders>
          </w:tcPr>
          <w:p>
            <w:pPr>
              <w:spacing w:after="0"/>
              <w:rPr>
                <w:sz w:val="18"/>
                <w:szCs w:val="18"/>
                <w:color w:val="auto"/>
              </w:rPr>
            </w:pP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19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NOTE 12</w:t>
        <w:tab/>
        <w:t>-  FINANCIAL INSTRUMENTS AND FAIR VALUE MEASUREMENTS (Cont.)</w:t>
      </w:r>
    </w:p>
    <w:p>
      <w:pPr>
        <w:spacing w:after="0" w:line="198" w:lineRule="exact"/>
        <w:rPr>
          <w:sz w:val="20"/>
          <w:szCs w:val="20"/>
          <w:color w:val="auto"/>
        </w:rPr>
      </w:pPr>
    </w:p>
    <w:tbl>
      <w:tblPr>
        <w:tblLayout w:type="fixed"/>
        <w:tblInd w:w="1080" w:type="dxa"/>
        <w:tblCellMar>
          <w:top w:w="0" w:type="dxa"/>
          <w:left w:w="0" w:type="dxa"/>
          <w:bottom w:w="0" w:type="dxa"/>
          <w:right w:w="0" w:type="dxa"/>
        </w:tblCellMar>
      </w:tblPr>
      <w:tr>
        <w:trPr>
          <w:trHeight w:val="234"/>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E.  Fair Value Measurements (Cont.)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1"/>
        </w:trPr>
        <w:tc>
          <w:tcPr>
            <w:tcW w:w="38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center"/>
              <w:ind w:right="50"/>
              <w:spacing w:after="0"/>
              <w:rPr>
                <w:sz w:val="20"/>
                <w:szCs w:val="20"/>
                <w:color w:val="auto"/>
              </w:rPr>
            </w:pPr>
            <w:r>
              <w:rPr>
                <w:rFonts w:ascii="Arial" w:cs="Arial" w:eastAsia="Arial" w:hAnsi="Arial"/>
                <w:sz w:val="18"/>
                <w:szCs w:val="18"/>
                <w:color w:val="auto"/>
                <w:w w:val="87"/>
              </w:rPr>
              <w:t>Quoted</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8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center"/>
              <w:ind w:right="30"/>
              <w:spacing w:after="0"/>
              <w:rPr>
                <w:sz w:val="20"/>
                <w:szCs w:val="20"/>
                <w:color w:val="auto"/>
              </w:rPr>
            </w:pPr>
            <w:r>
              <w:rPr>
                <w:rFonts w:ascii="Arial" w:cs="Arial" w:eastAsia="Arial" w:hAnsi="Arial"/>
                <w:sz w:val="18"/>
                <w:szCs w:val="18"/>
                <w:color w:val="auto"/>
                <w:w w:val="92"/>
              </w:rPr>
              <w:t>prices in</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center"/>
              <w:ind w:right="50"/>
              <w:spacing w:after="0"/>
              <w:rPr>
                <w:sz w:val="20"/>
                <w:szCs w:val="20"/>
                <w:color w:val="auto"/>
              </w:rPr>
            </w:pPr>
            <w:r>
              <w:rPr>
                <w:rFonts w:ascii="Arial" w:cs="Arial" w:eastAsia="Arial" w:hAnsi="Arial"/>
                <w:sz w:val="18"/>
                <w:szCs w:val="18"/>
                <w:color w:val="auto"/>
                <w:w w:val="93"/>
              </w:rPr>
              <w:t>active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8"/>
                <w:szCs w:val="18"/>
                <w:color w:val="auto"/>
                <w:w w:val="96"/>
              </w:rPr>
              <w:t>Significant</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center"/>
              <w:ind w:right="50"/>
              <w:spacing w:after="0"/>
              <w:rPr>
                <w:sz w:val="20"/>
                <w:szCs w:val="20"/>
                <w:color w:val="auto"/>
              </w:rPr>
            </w:pPr>
            <w:r>
              <w:rPr>
                <w:rFonts w:ascii="Arial" w:cs="Arial" w:eastAsia="Arial" w:hAnsi="Arial"/>
                <w:sz w:val="18"/>
                <w:szCs w:val="18"/>
                <w:color w:val="auto"/>
                <w:w w:val="93"/>
              </w:rPr>
              <w:t>market for</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8"/>
                <w:szCs w:val="18"/>
                <w:color w:val="auto"/>
                <w:w w:val="87"/>
              </w:rPr>
              <w:t>other</w:t>
            </w:r>
          </w:p>
        </w:tc>
        <w:tc>
          <w:tcPr>
            <w:tcW w:w="120" w:type="dxa"/>
            <w:vAlign w:val="bottom"/>
          </w:tcPr>
          <w:p>
            <w:pPr>
              <w:spacing w:after="0"/>
              <w:rPr>
                <w:sz w:val="18"/>
                <w:szCs w:val="18"/>
                <w:color w:val="auto"/>
              </w:rPr>
            </w:pPr>
          </w:p>
        </w:tc>
        <w:tc>
          <w:tcPr>
            <w:tcW w:w="960" w:type="dxa"/>
            <w:vAlign w:val="bottom"/>
          </w:tcPr>
          <w:p>
            <w:pPr>
              <w:jc w:val="center"/>
              <w:ind w:right="50"/>
              <w:spacing w:after="0"/>
              <w:rPr>
                <w:sz w:val="20"/>
                <w:szCs w:val="20"/>
                <w:color w:val="auto"/>
              </w:rPr>
            </w:pPr>
            <w:r>
              <w:rPr>
                <w:rFonts w:ascii="Arial" w:cs="Arial" w:eastAsia="Arial" w:hAnsi="Arial"/>
                <w:sz w:val="18"/>
                <w:szCs w:val="18"/>
                <w:color w:val="auto"/>
                <w:w w:val="93"/>
              </w:rPr>
              <w:t>Significant</w:t>
            </w:r>
          </w:p>
        </w:tc>
        <w:tc>
          <w:tcPr>
            <w:tcW w:w="1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w w:val="91"/>
              </w:rPr>
              <w:t>December</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center"/>
              <w:ind w:right="30"/>
              <w:spacing w:after="0"/>
              <w:rPr>
                <w:sz w:val="20"/>
                <w:szCs w:val="20"/>
                <w:color w:val="auto"/>
              </w:rPr>
            </w:pPr>
            <w:r>
              <w:rPr>
                <w:rFonts w:ascii="Arial" w:cs="Arial" w:eastAsia="Arial" w:hAnsi="Arial"/>
                <w:sz w:val="18"/>
                <w:szCs w:val="18"/>
                <w:color w:val="auto"/>
                <w:w w:val="93"/>
              </w:rPr>
              <w:t>identical</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observable</w:t>
            </w:r>
          </w:p>
        </w:tc>
        <w:tc>
          <w:tcPr>
            <w:tcW w:w="1080" w:type="dxa"/>
            <w:vAlign w:val="bottom"/>
            <w:gridSpan w:val="2"/>
          </w:tcPr>
          <w:p>
            <w:pPr>
              <w:jc w:val="center"/>
              <w:spacing w:after="0"/>
              <w:rPr>
                <w:sz w:val="20"/>
                <w:szCs w:val="20"/>
                <w:color w:val="auto"/>
              </w:rPr>
            </w:pPr>
            <w:r>
              <w:rPr>
                <w:rFonts w:ascii="Arial" w:cs="Arial" w:eastAsia="Arial" w:hAnsi="Arial"/>
                <w:sz w:val="18"/>
                <w:szCs w:val="18"/>
                <w:color w:val="auto"/>
                <w:w w:val="88"/>
              </w:rPr>
              <w:t>unobservable</w:t>
            </w:r>
          </w:p>
        </w:tc>
        <w:tc>
          <w:tcPr>
            <w:tcW w:w="1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center"/>
              <w:ind w:right="50"/>
              <w:spacing w:after="0"/>
              <w:rPr>
                <w:sz w:val="20"/>
                <w:szCs w:val="20"/>
                <w:color w:val="auto"/>
              </w:rPr>
            </w:pPr>
            <w:r>
              <w:rPr>
                <w:rFonts w:ascii="Arial" w:cs="Arial" w:eastAsia="Arial" w:hAnsi="Arial"/>
                <w:sz w:val="18"/>
                <w:szCs w:val="18"/>
                <w:color w:val="auto"/>
              </w:rPr>
              <w:t>liability</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inputs</w:t>
            </w:r>
          </w:p>
        </w:tc>
        <w:tc>
          <w:tcPr>
            <w:tcW w:w="120" w:type="dxa"/>
            <w:vAlign w:val="bottom"/>
          </w:tcPr>
          <w:p>
            <w:pPr>
              <w:spacing w:after="0"/>
              <w:rPr>
                <w:sz w:val="18"/>
                <w:szCs w:val="18"/>
                <w:color w:val="auto"/>
              </w:rPr>
            </w:pPr>
          </w:p>
        </w:tc>
        <w:tc>
          <w:tcPr>
            <w:tcW w:w="960" w:type="dxa"/>
            <w:vAlign w:val="bottom"/>
          </w:tcPr>
          <w:p>
            <w:pPr>
              <w:jc w:val="center"/>
              <w:ind w:right="30"/>
              <w:spacing w:after="0"/>
              <w:rPr>
                <w:sz w:val="20"/>
                <w:szCs w:val="20"/>
                <w:color w:val="auto"/>
              </w:rPr>
            </w:pPr>
            <w:r>
              <w:rPr>
                <w:rFonts w:ascii="Arial" w:cs="Arial" w:eastAsia="Arial" w:hAnsi="Arial"/>
                <w:sz w:val="18"/>
                <w:szCs w:val="18"/>
                <w:color w:val="auto"/>
                <w:w w:val="91"/>
              </w:rPr>
              <w:t>inputs</w:t>
            </w:r>
          </w:p>
        </w:tc>
        <w:tc>
          <w:tcPr>
            <w:tcW w:w="100" w:type="dxa"/>
            <w:vAlign w:val="bottom"/>
          </w:tcPr>
          <w:p>
            <w:pPr>
              <w:spacing w:after="0"/>
              <w:rPr>
                <w:sz w:val="18"/>
                <w:szCs w:val="18"/>
                <w:color w:val="auto"/>
              </w:rPr>
            </w:pPr>
          </w:p>
        </w:tc>
      </w:tr>
      <w:tr>
        <w:trPr>
          <w:trHeight w:val="237"/>
        </w:trPr>
        <w:tc>
          <w:tcPr>
            <w:tcW w:w="38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center"/>
              <w:ind w:right="30"/>
              <w:spacing w:after="0"/>
              <w:rPr>
                <w:sz w:val="20"/>
                <w:szCs w:val="20"/>
                <w:color w:val="auto"/>
              </w:rPr>
            </w:pPr>
            <w:r>
              <w:rPr>
                <w:rFonts w:ascii="Arial" w:cs="Arial" w:eastAsia="Arial" w:hAnsi="Arial"/>
                <w:sz w:val="18"/>
                <w:szCs w:val="18"/>
                <w:color w:val="auto"/>
                <w:w w:val="94"/>
              </w:rPr>
              <w:t>(Level 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8"/>
                <w:szCs w:val="18"/>
                <w:color w:val="auto"/>
                <w:w w:val="97"/>
              </w:rPr>
              <w:t>(Level 2)</w:t>
            </w:r>
          </w:p>
        </w:tc>
        <w:tc>
          <w:tcPr>
            <w:tcW w:w="120" w:type="dxa"/>
            <w:vAlign w:val="bottom"/>
          </w:tcPr>
          <w:p>
            <w:pPr>
              <w:spacing w:after="0"/>
              <w:rPr>
                <w:sz w:val="20"/>
                <w:szCs w:val="20"/>
                <w:color w:val="auto"/>
              </w:rPr>
            </w:pPr>
          </w:p>
        </w:tc>
        <w:tc>
          <w:tcPr>
            <w:tcW w:w="960" w:type="dxa"/>
            <w:vAlign w:val="bottom"/>
          </w:tcPr>
          <w:p>
            <w:pPr>
              <w:jc w:val="center"/>
              <w:ind w:right="50"/>
              <w:spacing w:after="0"/>
              <w:rPr>
                <w:sz w:val="20"/>
                <w:szCs w:val="20"/>
                <w:color w:val="auto"/>
              </w:rPr>
            </w:pPr>
            <w:r>
              <w:rPr>
                <w:rFonts w:ascii="Arial" w:cs="Arial" w:eastAsia="Arial" w:hAnsi="Arial"/>
                <w:sz w:val="18"/>
                <w:szCs w:val="18"/>
                <w:color w:val="auto"/>
                <w:w w:val="94"/>
              </w:rPr>
              <w:t>(Level 3)</w:t>
            </w:r>
          </w:p>
        </w:tc>
        <w:tc>
          <w:tcPr>
            <w:tcW w:w="100" w:type="dxa"/>
            <w:vAlign w:val="bottom"/>
          </w:tcPr>
          <w:p>
            <w:pPr>
              <w:spacing w:after="0"/>
              <w:rPr>
                <w:sz w:val="20"/>
                <w:szCs w:val="20"/>
                <w:color w:val="auto"/>
              </w:rPr>
            </w:pPr>
          </w:p>
        </w:tc>
      </w:tr>
      <w:tr>
        <w:trPr>
          <w:trHeight w:val="216"/>
        </w:trPr>
        <w:tc>
          <w:tcPr>
            <w:tcW w:w="38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Cross currency swap - net asset position</w:t>
            </w: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15,642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15,642</w:t>
            </w: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Privately-held companies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15,725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15,725</w:t>
            </w:r>
          </w:p>
        </w:tc>
        <w:tc>
          <w:tcPr>
            <w:tcW w:w="1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 held for sale</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175,305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175,305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5040" w:type="dxa"/>
            <w:vAlign w:val="bottom"/>
            <w:gridSpan w:val="2"/>
          </w:tcPr>
          <w:p>
            <w:pPr>
              <w:ind w:left="360"/>
              <w:spacing w:after="0"/>
              <w:rPr>
                <w:sz w:val="20"/>
                <w:szCs w:val="20"/>
                <w:color w:val="auto"/>
              </w:rPr>
            </w:pPr>
            <w:r>
              <w:rPr>
                <w:rFonts w:ascii="Arial" w:cs="Arial" w:eastAsia="Arial" w:hAnsi="Arial"/>
                <w:sz w:val="18"/>
                <w:szCs w:val="18"/>
                <w:color w:val="auto"/>
                <w:w w:val="95"/>
              </w:rPr>
              <w:t>Foreign exchange forward and cylinders - net liability position</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(151)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7"/>
        </w:trPr>
        <w:tc>
          <w:tcPr>
            <w:tcW w:w="38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6"/>
        </w:trPr>
        <w:tc>
          <w:tcPr>
            <w:tcW w:w="380" w:type="dxa"/>
            <w:vAlign w:val="bottom"/>
          </w:tcPr>
          <w:p>
            <w:pPr>
              <w:spacing w:after="0"/>
              <w:rPr>
                <w:sz w:val="20"/>
                <w:szCs w:val="20"/>
                <w:color w:val="auto"/>
              </w:rPr>
            </w:pPr>
          </w:p>
        </w:tc>
        <w:tc>
          <w:tcPr>
            <w:tcW w:w="466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206,521</w:t>
            </w:r>
          </w:p>
        </w:tc>
        <w:tc>
          <w:tcPr>
            <w:tcW w:w="12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175,305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15,491</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15,725</w:t>
            </w:r>
          </w:p>
        </w:tc>
        <w:tc>
          <w:tcPr>
            <w:tcW w:w="100" w:type="dxa"/>
            <w:vAlign w:val="bottom"/>
            <w:shd w:val="clear" w:color="auto" w:fill="CCEEFF"/>
          </w:tcPr>
          <w:p>
            <w:pPr>
              <w:spacing w:after="0"/>
              <w:rPr>
                <w:sz w:val="20"/>
                <w:szCs w:val="20"/>
                <w:color w:val="auto"/>
              </w:rPr>
            </w:pPr>
          </w:p>
        </w:tc>
      </w:tr>
      <w:tr>
        <w:trPr>
          <w:trHeight w:val="20"/>
        </w:trPr>
        <w:tc>
          <w:tcPr>
            <w:tcW w:w="380" w:type="dxa"/>
            <w:vAlign w:val="bottom"/>
          </w:tcPr>
          <w:p>
            <w:pPr>
              <w:spacing w:after="0" w:line="20" w:lineRule="exact"/>
              <w:rPr>
                <w:sz w:val="1"/>
                <w:szCs w:val="1"/>
                <w:color w:val="auto"/>
              </w:rPr>
            </w:pPr>
          </w:p>
        </w:tc>
        <w:tc>
          <w:tcPr>
            <w:tcW w:w="46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71" w:lineRule="exact"/>
        <w:rPr>
          <w:sz w:val="20"/>
          <w:szCs w:val="20"/>
          <w:color w:val="auto"/>
        </w:rPr>
      </w:pPr>
    </w:p>
    <w:p>
      <w:pPr>
        <w:ind w:left="1440" w:hanging="352"/>
        <w:spacing w:after="0"/>
        <w:tabs>
          <w:tab w:leader="none" w:pos="144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Short-Term and Long-Term Deposits and Marketable Securities</w:t>
      </w:r>
    </w:p>
    <w:p>
      <w:pPr>
        <w:spacing w:after="0" w:line="215" w:lineRule="exact"/>
        <w:rPr>
          <w:rFonts w:ascii="Arial" w:cs="Arial" w:eastAsia="Arial" w:hAnsi="Arial"/>
          <w:sz w:val="18"/>
          <w:szCs w:val="18"/>
          <w:b w:val="1"/>
          <w:bCs w:val="1"/>
          <w:color w:val="auto"/>
        </w:rPr>
      </w:pPr>
    </w:p>
    <w:p>
      <w:pPr>
        <w:jc w:val="both"/>
        <w:ind w:left="144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Deposits and marketable securities as of December 31, 2020 included short term deposits in the amount of $310,230, marketable securities with applicable accrued interest in the amount of $188,967 and a long-term bank deposit in the amount of $12,500; as of December 31, 2019, deposits and marketable securities included short term deposits in the amount of $215,609, marketable securities with applicable accrued interest in the amount of $176,070 and a long-term bank deposit in the amount of $12,500.</w:t>
      </w:r>
    </w:p>
    <w:p>
      <w:pPr>
        <w:spacing w:after="0" w:line="157" w:lineRule="exact"/>
        <w:rPr>
          <w:rFonts w:ascii="Arial" w:cs="Arial" w:eastAsia="Arial" w:hAnsi="Arial"/>
          <w:sz w:val="18"/>
          <w:szCs w:val="18"/>
          <w:b w:val="1"/>
          <w:bCs w:val="1"/>
          <w:color w:val="auto"/>
        </w:rPr>
      </w:pPr>
    </w:p>
    <w:p>
      <w:pPr>
        <w:ind w:left="144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following table summarizes amortized costs, gross unrealized gains and losses and estimated fair values of available-for-sale marketable securities as of December 31, 2020:</w:t>
      </w:r>
    </w:p>
    <w:p>
      <w:pPr>
        <w:spacing w:after="0" w:line="130"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center"/>
              <w:ind w:right="90"/>
              <w:spacing w:after="0"/>
              <w:rPr>
                <w:sz w:val="20"/>
                <w:szCs w:val="20"/>
                <w:color w:val="auto"/>
              </w:rPr>
            </w:pPr>
            <w:r>
              <w:rPr>
                <w:rFonts w:ascii="Arial" w:cs="Arial" w:eastAsia="Arial" w:hAnsi="Arial"/>
                <w:sz w:val="18"/>
                <w:szCs w:val="18"/>
                <w:color w:val="auto"/>
                <w:w w:val="87"/>
              </w:rPr>
              <w:t>Gross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Gross</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230"/>
              <w:spacing w:after="0"/>
              <w:rPr>
                <w:sz w:val="20"/>
                <w:szCs w:val="20"/>
                <w:color w:val="auto"/>
              </w:rPr>
            </w:pPr>
            <w:r>
              <w:rPr>
                <w:rFonts w:ascii="Arial" w:cs="Arial" w:eastAsia="Arial" w:hAnsi="Arial"/>
                <w:sz w:val="18"/>
                <w:szCs w:val="18"/>
                <w:color w:val="auto"/>
              </w:rPr>
              <w:t>Amortized</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center"/>
              <w:ind w:right="110"/>
              <w:spacing w:after="0"/>
              <w:rPr>
                <w:sz w:val="20"/>
                <w:szCs w:val="20"/>
                <w:color w:val="auto"/>
              </w:rPr>
            </w:pPr>
            <w:r>
              <w:rPr>
                <w:rFonts w:ascii="Arial" w:cs="Arial" w:eastAsia="Arial" w:hAnsi="Arial"/>
                <w:sz w:val="18"/>
                <w:szCs w:val="18"/>
                <w:color w:val="auto"/>
                <w:w w:val="91"/>
              </w:rPr>
              <w:t>unrealized</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Unrealized</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250"/>
              <w:spacing w:after="0"/>
              <w:rPr>
                <w:sz w:val="20"/>
                <w:szCs w:val="20"/>
                <w:color w:val="auto"/>
              </w:rPr>
            </w:pPr>
            <w:r>
              <w:rPr>
                <w:rFonts w:ascii="Arial" w:cs="Arial" w:eastAsia="Arial" w:hAnsi="Arial"/>
                <w:sz w:val="18"/>
                <w:szCs w:val="18"/>
                <w:color w:val="auto"/>
              </w:rPr>
              <w:t>Estimated</w:t>
            </w:r>
          </w:p>
        </w:tc>
        <w:tc>
          <w:tcPr>
            <w:tcW w:w="10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color w:val="auto"/>
              </w:rPr>
              <w:t>cost (*)</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center"/>
              <w:ind w:right="90"/>
              <w:spacing w:after="0"/>
              <w:rPr>
                <w:sz w:val="20"/>
                <w:szCs w:val="20"/>
                <w:color w:val="auto"/>
              </w:rPr>
            </w:pPr>
            <w:r>
              <w:rPr>
                <w:rFonts w:ascii="Arial" w:cs="Arial" w:eastAsia="Arial" w:hAnsi="Arial"/>
                <w:sz w:val="18"/>
                <w:szCs w:val="18"/>
                <w:color w:val="auto"/>
                <w:w w:val="89"/>
              </w:rPr>
              <w:t>Gains</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color w:val="auto"/>
                <w:w w:val="82"/>
              </w:rPr>
              <w:t>losses</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270"/>
              <w:spacing w:after="0"/>
              <w:rPr>
                <w:sz w:val="20"/>
                <w:szCs w:val="20"/>
                <w:color w:val="auto"/>
              </w:rPr>
            </w:pPr>
            <w:r>
              <w:rPr>
                <w:rFonts w:ascii="Arial" w:cs="Arial" w:eastAsia="Arial" w:hAnsi="Arial"/>
                <w:sz w:val="18"/>
                <w:szCs w:val="18"/>
                <w:color w:val="auto"/>
              </w:rPr>
              <w:t>fair value</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154,577</w:t>
            </w:r>
          </w:p>
        </w:tc>
        <w:tc>
          <w:tcPr>
            <w:tcW w:w="1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1,207</w:t>
            </w: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155,049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Government bonds</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32,894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32,878</w:t>
            </w: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Certificate of deposits</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187,719</w:t>
            </w:r>
          </w:p>
        </w:tc>
        <w:tc>
          <w:tcPr>
            <w:tcW w:w="3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1,255</w:t>
            </w:r>
          </w:p>
        </w:tc>
        <w:tc>
          <w:tcPr>
            <w:tcW w:w="3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(788)</w:t>
            </w: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188,186</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 Excluding accrued interest of $781.</w:t>
      </w:r>
    </w:p>
    <w:p>
      <w:pPr>
        <w:spacing w:after="0" w:line="198"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The scheduled maturities of available-for-sale marketable securities as of December 31, 2020, were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210"/>
              <w:spacing w:after="0"/>
              <w:rPr>
                <w:sz w:val="20"/>
                <w:szCs w:val="20"/>
                <w:color w:val="auto"/>
              </w:rPr>
            </w:pPr>
            <w:r>
              <w:rPr>
                <w:rFonts w:ascii="Arial" w:cs="Arial" w:eastAsia="Arial" w:hAnsi="Arial"/>
                <w:sz w:val="18"/>
                <w:szCs w:val="18"/>
                <w:color w:val="auto"/>
              </w:rPr>
              <w:t>Amortized</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250"/>
              <w:spacing w:after="0"/>
              <w:rPr>
                <w:sz w:val="20"/>
                <w:szCs w:val="20"/>
                <w:color w:val="auto"/>
              </w:rPr>
            </w:pPr>
            <w:r>
              <w:rPr>
                <w:rFonts w:ascii="Arial" w:cs="Arial" w:eastAsia="Arial" w:hAnsi="Arial"/>
                <w:sz w:val="18"/>
                <w:szCs w:val="18"/>
                <w:color w:val="auto"/>
              </w:rPr>
              <w:t>Estimated</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7"/>
        </w:trPr>
        <w:tc>
          <w:tcPr>
            <w:tcW w:w="14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cost</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fair value</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146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40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22,772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Due within 2-5 years</w:t>
            </w:r>
          </w:p>
        </w:tc>
        <w:tc>
          <w:tcPr>
            <w:tcW w:w="4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138,894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139,210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1460" w:type="dxa"/>
            <w:vAlign w:val="bottom"/>
          </w:tcPr>
          <w:p>
            <w:pPr>
              <w:spacing w:after="0"/>
              <w:rPr>
                <w:sz w:val="19"/>
                <w:szCs w:val="19"/>
                <w:color w:val="auto"/>
              </w:rPr>
            </w:pPr>
          </w:p>
        </w:tc>
        <w:tc>
          <w:tcPr>
            <w:tcW w:w="2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after 5 years</w:t>
            </w:r>
          </w:p>
        </w:tc>
        <w:tc>
          <w:tcPr>
            <w:tcW w:w="40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26,053</w:t>
            </w:r>
          </w:p>
        </w:tc>
        <w:tc>
          <w:tcPr>
            <w:tcW w:w="1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26,176</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r>
      <w:tr>
        <w:trPr>
          <w:trHeight w:val="216"/>
        </w:trPr>
        <w:tc>
          <w:tcPr>
            <w:tcW w:w="14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2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187,719</w:t>
            </w:r>
          </w:p>
        </w:tc>
        <w:tc>
          <w:tcPr>
            <w:tcW w:w="3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188,186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14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3"/>
        </w:trPr>
        <w:tc>
          <w:tcPr>
            <w:tcW w:w="14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4200" w:type="dxa"/>
            <w:vAlign w:val="bottom"/>
            <w:gridSpan w:val="2"/>
          </w:tcPr>
          <w:p>
            <w:pPr>
              <w:jc w:val="right"/>
              <w:ind w:right="2487"/>
              <w:spacing w:after="0"/>
              <w:rPr>
                <w:sz w:val="20"/>
                <w:szCs w:val="20"/>
                <w:color w:val="auto"/>
              </w:rPr>
            </w:pPr>
            <w:r>
              <w:rPr>
                <w:rFonts w:ascii="Arial" w:cs="Arial" w:eastAsia="Arial" w:hAnsi="Arial"/>
                <w:sz w:val="18"/>
                <w:szCs w:val="18"/>
                <w:color w:val="auto"/>
              </w:rPr>
              <w:t>F-30</w:t>
            </w: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2"/>
        </w:trPr>
        <w:tc>
          <w:tcPr>
            <w:tcW w:w="1460" w:type="dxa"/>
            <w:vAlign w:val="bottom"/>
            <w:tcBorders>
              <w:bottom w:val="single" w:sz="8" w:color="EEEEEE"/>
            </w:tcBorders>
          </w:tcPr>
          <w:p>
            <w:pPr>
              <w:spacing w:after="0"/>
              <w:rPr>
                <w:sz w:val="17"/>
                <w:szCs w:val="17"/>
                <w:color w:val="auto"/>
              </w:rPr>
            </w:pPr>
          </w:p>
        </w:tc>
        <w:tc>
          <w:tcPr>
            <w:tcW w:w="2740" w:type="dxa"/>
            <w:vAlign w:val="bottom"/>
            <w:tcBorders>
              <w:bottom w:val="single" w:sz="8" w:color="EEEEEE"/>
            </w:tcBorders>
          </w:tcPr>
          <w:p>
            <w:pPr>
              <w:spacing w:after="0"/>
              <w:rPr>
                <w:sz w:val="17"/>
                <w:szCs w:val="17"/>
                <w:color w:val="auto"/>
              </w:rPr>
            </w:pPr>
          </w:p>
        </w:tc>
        <w:tc>
          <w:tcPr>
            <w:tcW w:w="4020" w:type="dxa"/>
            <w:vAlign w:val="bottom"/>
            <w:tcBorders>
              <w:bottom w:val="single" w:sz="8" w:color="EEEEEE"/>
            </w:tcBorders>
          </w:tcPr>
          <w:p>
            <w:pPr>
              <w:spacing w:after="0"/>
              <w:rPr>
                <w:sz w:val="17"/>
                <w:szCs w:val="17"/>
                <w:color w:val="auto"/>
              </w:rPr>
            </w:pPr>
          </w:p>
        </w:tc>
        <w:tc>
          <w:tcPr>
            <w:tcW w:w="180" w:type="dxa"/>
            <w:vAlign w:val="bottom"/>
            <w:tcBorders>
              <w:bottom w:val="single" w:sz="8" w:color="EEEEEE"/>
            </w:tcBorders>
          </w:tcPr>
          <w:p>
            <w:pPr>
              <w:spacing w:after="0"/>
              <w:rPr>
                <w:sz w:val="17"/>
                <w:szCs w:val="17"/>
                <w:color w:val="auto"/>
              </w:rPr>
            </w:pPr>
          </w:p>
        </w:tc>
        <w:tc>
          <w:tcPr>
            <w:tcW w:w="1180" w:type="dxa"/>
            <w:vAlign w:val="bottom"/>
            <w:tcBorders>
              <w:bottom w:val="single" w:sz="8" w:color="EEEEEE"/>
            </w:tcBorders>
          </w:tcPr>
          <w:p>
            <w:pPr>
              <w:spacing w:after="0"/>
              <w:rPr>
                <w:sz w:val="17"/>
                <w:szCs w:val="17"/>
                <w:color w:val="auto"/>
              </w:rPr>
            </w:pPr>
          </w:p>
        </w:tc>
        <w:tc>
          <w:tcPr>
            <w:tcW w:w="180" w:type="dxa"/>
            <w:vAlign w:val="bottom"/>
            <w:tcBorders>
              <w:bottom w:val="single" w:sz="8" w:color="EEEEEE"/>
            </w:tcBorders>
          </w:tcPr>
          <w:p>
            <w:pPr>
              <w:spacing w:after="0"/>
              <w:rPr>
                <w:sz w:val="17"/>
                <w:szCs w:val="17"/>
                <w:color w:val="auto"/>
              </w:rPr>
            </w:pPr>
          </w:p>
        </w:tc>
        <w:tc>
          <w:tcPr>
            <w:tcW w:w="200" w:type="dxa"/>
            <w:vAlign w:val="bottom"/>
            <w:tcBorders>
              <w:bottom w:val="single" w:sz="8" w:color="EEEEEE"/>
            </w:tcBorders>
          </w:tcPr>
          <w:p>
            <w:pPr>
              <w:spacing w:after="0"/>
              <w:rPr>
                <w:sz w:val="17"/>
                <w:szCs w:val="17"/>
                <w:color w:val="auto"/>
              </w:rPr>
            </w:pPr>
          </w:p>
        </w:tc>
        <w:tc>
          <w:tcPr>
            <w:tcW w:w="1180" w:type="dxa"/>
            <w:vAlign w:val="bottom"/>
            <w:tcBorders>
              <w:bottom w:val="single" w:sz="8" w:color="EEEEEE"/>
            </w:tcBorders>
          </w:tcPr>
          <w:p>
            <w:pPr>
              <w:spacing w:after="0"/>
              <w:rPr>
                <w:sz w:val="17"/>
                <w:szCs w:val="17"/>
                <w:color w:val="auto"/>
              </w:rPr>
            </w:pPr>
          </w:p>
        </w:tc>
        <w:tc>
          <w:tcPr>
            <w:tcW w:w="80" w:type="dxa"/>
            <w:vAlign w:val="bottom"/>
            <w:tcBorders>
              <w:bottom w:val="single" w:sz="8" w:color="EEEEEE"/>
            </w:tcBorders>
          </w:tcPr>
          <w:p>
            <w:pPr>
              <w:spacing w:after="0"/>
              <w:rPr>
                <w:sz w:val="17"/>
                <w:szCs w:val="17"/>
                <w:color w:val="auto"/>
              </w:rPr>
            </w:pP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19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NOTE 12</w:t>
        <w:tab/>
        <w:t>-  FINANCIAL INSTRUMENTS AND FAIR VALUE MEASUREMENTS (Cont.)</w:t>
      </w:r>
    </w:p>
    <w:p>
      <w:pPr>
        <w:spacing w:after="0" w:line="198" w:lineRule="exact"/>
        <w:rPr>
          <w:sz w:val="20"/>
          <w:szCs w:val="20"/>
          <w:color w:val="auto"/>
        </w:rPr>
      </w:pPr>
    </w:p>
    <w:p>
      <w:pPr>
        <w:ind w:left="1440" w:hanging="352"/>
        <w:spacing w:after="0"/>
        <w:tabs>
          <w:tab w:leader="none" w:pos="144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Short-Term and Long-Term Deposits and Marketable Securities (Cont.)</w:t>
      </w:r>
    </w:p>
    <w:p>
      <w:pPr>
        <w:spacing w:after="0" w:line="215" w:lineRule="exact"/>
        <w:rPr>
          <w:rFonts w:ascii="Arial" w:cs="Arial" w:eastAsia="Arial" w:hAnsi="Arial"/>
          <w:sz w:val="18"/>
          <w:szCs w:val="18"/>
          <w:b w:val="1"/>
          <w:bCs w:val="1"/>
          <w:color w:val="auto"/>
        </w:rPr>
      </w:pPr>
    </w:p>
    <w:p>
      <w:pPr>
        <w:ind w:left="144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following table summarizes amortized costs, gross unrealized gains and losses and estimated fair values of available-for-sale marketable securities as of December 31, 2019:</w:t>
      </w:r>
    </w:p>
    <w:p>
      <w:pPr>
        <w:spacing w:after="0" w:line="130"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center"/>
              <w:ind w:right="30"/>
              <w:spacing w:after="0"/>
              <w:rPr>
                <w:sz w:val="20"/>
                <w:szCs w:val="20"/>
                <w:color w:val="auto"/>
              </w:rPr>
            </w:pPr>
            <w:r>
              <w:rPr>
                <w:rFonts w:ascii="Arial" w:cs="Arial" w:eastAsia="Arial" w:hAnsi="Arial"/>
                <w:sz w:val="18"/>
                <w:szCs w:val="18"/>
                <w:color w:val="auto"/>
                <w:w w:val="87"/>
              </w:rPr>
              <w:t>Gross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Gross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w w:val="96"/>
              </w:rPr>
              <w:t>Amortized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center"/>
              <w:ind w:right="50"/>
              <w:spacing w:after="0"/>
              <w:rPr>
                <w:sz w:val="20"/>
                <w:szCs w:val="20"/>
                <w:color w:val="auto"/>
              </w:rPr>
            </w:pPr>
            <w:r>
              <w:rPr>
                <w:rFonts w:ascii="Arial" w:cs="Arial" w:eastAsia="Arial" w:hAnsi="Arial"/>
                <w:sz w:val="18"/>
                <w:szCs w:val="18"/>
                <w:color w:val="auto"/>
                <w:w w:val="91"/>
              </w:rPr>
              <w:t>unrealized</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Unrealized</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w w:val="92"/>
              </w:rPr>
              <w:t>Estimated</w:t>
            </w:r>
          </w:p>
        </w:tc>
        <w:tc>
          <w:tcPr>
            <w:tcW w:w="10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cost (*)</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center"/>
              <w:ind w:right="30"/>
              <w:spacing w:after="0"/>
              <w:rPr>
                <w:sz w:val="20"/>
                <w:szCs w:val="20"/>
                <w:color w:val="auto"/>
              </w:rPr>
            </w:pPr>
            <w:r>
              <w:rPr>
                <w:rFonts w:ascii="Arial" w:cs="Arial" w:eastAsia="Arial" w:hAnsi="Arial"/>
                <w:sz w:val="18"/>
                <w:szCs w:val="18"/>
                <w:color w:val="auto"/>
                <w:w w:val="89"/>
              </w:rPr>
              <w:t>Gains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losses</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color w:val="auto"/>
                <w:w w:val="98"/>
              </w:rPr>
              <w:t>fair value</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154,167</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1,273</w:t>
            </w: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155,226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Government bonds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2,969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3,006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Municipal bonds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Money market fund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15,225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15,591</w:t>
            </w: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Certificate of deposits</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173,817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1,702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(214)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175,305</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 Excluding accrued interest of $765.</w:t>
      </w:r>
    </w:p>
    <w:p>
      <w:pPr>
        <w:spacing w:after="0" w:line="212"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The scheduled maturities of available-for-sale marketable securities as of December 31, 2019, were as follows:</w:t>
      </w:r>
    </w:p>
    <w:p>
      <w:pPr>
        <w:spacing w:after="0" w:line="185"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w w:val="96"/>
              </w:rPr>
              <w:t>Amortized</w:t>
            </w:r>
          </w:p>
        </w:tc>
        <w:tc>
          <w:tcPr>
            <w:tcW w:w="1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w w:val="92"/>
              </w:rPr>
              <w:t>Estimated fair</w:t>
            </w:r>
          </w:p>
        </w:tc>
        <w:tc>
          <w:tcPr>
            <w:tcW w:w="10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7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cost</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value</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37,845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37,818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Due within 2-5 years</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119,202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120,344</w:t>
            </w: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after 5 years</w:t>
            </w: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16,770</w:t>
            </w:r>
          </w:p>
        </w:tc>
        <w:tc>
          <w:tcPr>
            <w:tcW w:w="1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17,143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173,817</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175,305</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Investments with continuous unrealized losses for less than twelve months and twelve months or more and their related fair values as of</w:t>
      </w:r>
    </w:p>
    <w:p>
      <w:pPr>
        <w:spacing w:after="0" w:line="4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December 31, 2020 and December 31, 2019, were as indicated in the following tables: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4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5"/>
          </w:tcPr>
          <w:p>
            <w:pPr>
              <w:jc w:val="right"/>
              <w:ind w:right="680"/>
              <w:spacing w:after="0"/>
              <w:rPr>
                <w:sz w:val="20"/>
                <w:szCs w:val="20"/>
                <w:color w:val="auto"/>
              </w:rPr>
            </w:pPr>
            <w:r>
              <w:rPr>
                <w:rFonts w:ascii="Arial" w:cs="Arial" w:eastAsia="Arial" w:hAnsi="Arial"/>
                <w:sz w:val="18"/>
                <w:szCs w:val="18"/>
                <w:color w:val="auto"/>
              </w:rPr>
              <w:t>December 31, 2020</w:t>
            </w: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2"/>
        </w:trPr>
        <w:tc>
          <w:tcPr>
            <w:tcW w:w="14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00" w:type="dxa"/>
            <w:vAlign w:val="bottom"/>
            <w:gridSpan w:val="5"/>
          </w:tcPr>
          <w:p>
            <w:pPr>
              <w:jc w:val="center"/>
              <w:ind w:right="300"/>
              <w:spacing w:after="0" w:line="201" w:lineRule="exact"/>
              <w:rPr>
                <w:sz w:val="20"/>
                <w:szCs w:val="20"/>
                <w:color w:val="auto"/>
              </w:rPr>
            </w:pPr>
            <w:r>
              <w:rPr>
                <w:rFonts w:ascii="Arial" w:cs="Arial" w:eastAsia="Arial" w:hAnsi="Arial"/>
                <w:sz w:val="18"/>
                <w:szCs w:val="18"/>
                <w:color w:val="auto"/>
                <w:w w:val="92"/>
              </w:rPr>
              <w:t>Investment with continuous</w:t>
            </w:r>
          </w:p>
        </w:tc>
        <w:tc>
          <w:tcPr>
            <w:tcW w:w="100" w:type="dxa"/>
            <w:vAlign w:val="bottom"/>
          </w:tcPr>
          <w:p>
            <w:pPr>
              <w:spacing w:after="0"/>
              <w:rPr>
                <w:sz w:val="17"/>
                <w:szCs w:val="17"/>
                <w:color w:val="auto"/>
              </w:rPr>
            </w:pPr>
          </w:p>
        </w:tc>
        <w:tc>
          <w:tcPr>
            <w:tcW w:w="2400" w:type="dxa"/>
            <w:vAlign w:val="bottom"/>
            <w:gridSpan w:val="5"/>
          </w:tcPr>
          <w:p>
            <w:pPr>
              <w:jc w:val="center"/>
              <w:ind w:right="300"/>
              <w:spacing w:after="0" w:line="201" w:lineRule="exact"/>
              <w:rPr>
                <w:sz w:val="20"/>
                <w:szCs w:val="20"/>
                <w:color w:val="auto"/>
              </w:rPr>
            </w:pPr>
            <w:r>
              <w:rPr>
                <w:rFonts w:ascii="Arial" w:cs="Arial" w:eastAsia="Arial" w:hAnsi="Arial"/>
                <w:sz w:val="18"/>
                <w:szCs w:val="18"/>
                <w:color w:val="auto"/>
                <w:w w:val="91"/>
              </w:rPr>
              <w:t>Investments with continuous</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14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gridSpan w:val="5"/>
          </w:tcPr>
          <w:p>
            <w:pPr>
              <w:jc w:val="center"/>
              <w:ind w:right="300"/>
              <w:spacing w:after="0"/>
              <w:rPr>
                <w:sz w:val="20"/>
                <w:szCs w:val="20"/>
                <w:color w:val="auto"/>
              </w:rPr>
            </w:pPr>
            <w:r>
              <w:rPr>
                <w:rFonts w:ascii="Arial" w:cs="Arial" w:eastAsia="Arial" w:hAnsi="Arial"/>
                <w:sz w:val="18"/>
                <w:szCs w:val="18"/>
                <w:color w:val="auto"/>
                <w:w w:val="89"/>
              </w:rPr>
              <w:t>unrealized losses for less than</w:t>
            </w:r>
          </w:p>
        </w:tc>
        <w:tc>
          <w:tcPr>
            <w:tcW w:w="100" w:type="dxa"/>
            <w:vAlign w:val="bottom"/>
          </w:tcPr>
          <w:p>
            <w:pPr>
              <w:spacing w:after="0"/>
              <w:rPr>
                <w:sz w:val="18"/>
                <w:szCs w:val="18"/>
                <w:color w:val="auto"/>
              </w:rPr>
            </w:pPr>
          </w:p>
        </w:tc>
        <w:tc>
          <w:tcPr>
            <w:tcW w:w="2400" w:type="dxa"/>
            <w:vAlign w:val="bottom"/>
            <w:gridSpan w:val="5"/>
          </w:tcPr>
          <w:p>
            <w:pPr>
              <w:jc w:val="center"/>
              <w:ind w:right="300"/>
              <w:spacing w:after="0"/>
              <w:rPr>
                <w:sz w:val="20"/>
                <w:szCs w:val="20"/>
                <w:color w:val="auto"/>
              </w:rPr>
            </w:pPr>
            <w:r>
              <w:rPr>
                <w:rFonts w:ascii="Arial" w:cs="Arial" w:eastAsia="Arial" w:hAnsi="Arial"/>
                <w:sz w:val="18"/>
                <w:szCs w:val="18"/>
                <w:color w:val="auto"/>
                <w:w w:val="91"/>
              </w:rPr>
              <w:t>unrealized losses for twelve</w:t>
            </w:r>
          </w:p>
        </w:tc>
        <w:tc>
          <w:tcPr>
            <w:tcW w:w="100" w:type="dxa"/>
            <w:vAlign w:val="bottom"/>
          </w:tcPr>
          <w:p>
            <w:pPr>
              <w:spacing w:after="0"/>
              <w:rPr>
                <w:sz w:val="18"/>
                <w:szCs w:val="18"/>
                <w:color w:val="auto"/>
              </w:rPr>
            </w:pPr>
          </w:p>
        </w:tc>
        <w:tc>
          <w:tcPr>
            <w:tcW w:w="2320" w:type="dxa"/>
            <w:vAlign w:val="bottom"/>
            <w:gridSpan w:val="6"/>
          </w:tcPr>
          <w:p>
            <w:pPr>
              <w:jc w:val="center"/>
              <w:ind w:right="200"/>
              <w:spacing w:after="0"/>
              <w:rPr>
                <w:sz w:val="20"/>
                <w:szCs w:val="20"/>
                <w:color w:val="auto"/>
              </w:rPr>
            </w:pPr>
            <w:r>
              <w:rPr>
                <w:rFonts w:ascii="Arial" w:cs="Arial" w:eastAsia="Arial" w:hAnsi="Arial"/>
                <w:sz w:val="18"/>
                <w:szCs w:val="18"/>
                <w:color w:val="auto"/>
                <w:w w:val="91"/>
              </w:rPr>
              <w:t>Total Investments with</w:t>
            </w:r>
          </w:p>
        </w:tc>
      </w:tr>
      <w:tr>
        <w:trPr>
          <w:trHeight w:val="237"/>
        </w:trPr>
        <w:tc>
          <w:tcPr>
            <w:tcW w:w="14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gridSpan w:val="5"/>
          </w:tcPr>
          <w:p>
            <w:pPr>
              <w:jc w:val="center"/>
              <w:ind w:right="300"/>
              <w:spacing w:after="0"/>
              <w:rPr>
                <w:sz w:val="20"/>
                <w:szCs w:val="20"/>
                <w:color w:val="auto"/>
              </w:rPr>
            </w:pPr>
            <w:r>
              <w:rPr>
                <w:rFonts w:ascii="Arial" w:cs="Arial" w:eastAsia="Arial" w:hAnsi="Arial"/>
                <w:sz w:val="18"/>
                <w:szCs w:val="18"/>
                <w:color w:val="auto"/>
                <w:w w:val="90"/>
              </w:rPr>
              <w:t>twelve months</w:t>
            </w:r>
          </w:p>
        </w:tc>
        <w:tc>
          <w:tcPr>
            <w:tcW w:w="100" w:type="dxa"/>
            <w:vAlign w:val="bottom"/>
          </w:tcPr>
          <w:p>
            <w:pPr>
              <w:spacing w:after="0"/>
              <w:rPr>
                <w:sz w:val="20"/>
                <w:szCs w:val="20"/>
                <w:color w:val="auto"/>
              </w:rPr>
            </w:pPr>
          </w:p>
        </w:tc>
        <w:tc>
          <w:tcPr>
            <w:tcW w:w="2400" w:type="dxa"/>
            <w:vAlign w:val="bottom"/>
            <w:gridSpan w:val="5"/>
          </w:tcPr>
          <w:p>
            <w:pPr>
              <w:jc w:val="center"/>
              <w:ind w:right="300"/>
              <w:spacing w:after="0"/>
              <w:rPr>
                <w:sz w:val="20"/>
                <w:szCs w:val="20"/>
                <w:color w:val="auto"/>
              </w:rPr>
            </w:pPr>
            <w:r>
              <w:rPr>
                <w:rFonts w:ascii="Arial" w:cs="Arial" w:eastAsia="Arial" w:hAnsi="Arial"/>
                <w:sz w:val="18"/>
                <w:szCs w:val="18"/>
                <w:color w:val="auto"/>
                <w:w w:val="90"/>
              </w:rPr>
              <w:t>months or more</w:t>
            </w:r>
          </w:p>
        </w:tc>
        <w:tc>
          <w:tcPr>
            <w:tcW w:w="100" w:type="dxa"/>
            <w:vAlign w:val="bottom"/>
          </w:tcPr>
          <w:p>
            <w:pPr>
              <w:spacing w:after="0"/>
              <w:rPr>
                <w:sz w:val="20"/>
                <w:szCs w:val="20"/>
                <w:color w:val="auto"/>
              </w:rPr>
            </w:pPr>
          </w:p>
        </w:tc>
        <w:tc>
          <w:tcPr>
            <w:tcW w:w="2320" w:type="dxa"/>
            <w:vAlign w:val="bottom"/>
            <w:gridSpan w:val="6"/>
          </w:tcPr>
          <w:p>
            <w:pPr>
              <w:jc w:val="center"/>
              <w:ind w:right="200"/>
              <w:spacing w:after="0"/>
              <w:rPr>
                <w:sz w:val="20"/>
                <w:szCs w:val="20"/>
                <w:color w:val="auto"/>
              </w:rPr>
            </w:pPr>
            <w:r>
              <w:rPr>
                <w:rFonts w:ascii="Arial" w:cs="Arial" w:eastAsia="Arial" w:hAnsi="Arial"/>
                <w:sz w:val="18"/>
                <w:szCs w:val="18"/>
                <w:color w:val="auto"/>
                <w:w w:val="88"/>
              </w:rPr>
              <w:t>continuous unrealized losses</w:t>
            </w:r>
          </w:p>
        </w:tc>
      </w:tr>
      <w:tr>
        <w:trPr>
          <w:trHeight w:val="202"/>
        </w:trPr>
        <w:tc>
          <w:tcPr>
            <w:tcW w:w="14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center"/>
              <w:ind w:right="30"/>
              <w:spacing w:after="0" w:line="201" w:lineRule="exact"/>
              <w:rPr>
                <w:sz w:val="20"/>
                <w:szCs w:val="20"/>
                <w:color w:val="auto"/>
              </w:rPr>
            </w:pPr>
            <w:r>
              <w:rPr>
                <w:rFonts w:ascii="Arial" w:cs="Arial" w:eastAsia="Arial" w:hAnsi="Arial"/>
                <w:sz w:val="18"/>
                <w:szCs w:val="18"/>
                <w:color w:val="auto"/>
                <w:w w:val="90"/>
              </w:rPr>
              <w:t>Unrealized</w:t>
            </w: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center"/>
              <w:ind w:right="30"/>
              <w:spacing w:after="0" w:line="201" w:lineRule="exact"/>
              <w:rPr>
                <w:sz w:val="20"/>
                <w:szCs w:val="20"/>
                <w:color w:val="auto"/>
              </w:rPr>
            </w:pPr>
            <w:r>
              <w:rPr>
                <w:rFonts w:ascii="Arial" w:cs="Arial" w:eastAsia="Arial" w:hAnsi="Arial"/>
                <w:sz w:val="18"/>
                <w:szCs w:val="18"/>
                <w:color w:val="auto"/>
                <w:w w:val="92"/>
              </w:rPr>
              <w:t>Unrealized</w:t>
            </w: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center"/>
              <w:ind w:right="30"/>
              <w:spacing w:after="0" w:line="201" w:lineRule="exact"/>
              <w:rPr>
                <w:sz w:val="20"/>
                <w:szCs w:val="20"/>
                <w:color w:val="auto"/>
              </w:rPr>
            </w:pPr>
            <w:r>
              <w:rPr>
                <w:rFonts w:ascii="Arial" w:cs="Arial" w:eastAsia="Arial" w:hAnsi="Arial"/>
                <w:sz w:val="18"/>
                <w:szCs w:val="18"/>
                <w:color w:val="auto"/>
                <w:w w:val="90"/>
              </w:rPr>
              <w:t>Unrealized</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7"/>
        </w:trPr>
        <w:tc>
          <w:tcPr>
            <w:tcW w:w="14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color w:val="auto"/>
                <w:w w:val="91"/>
              </w:rPr>
              <w:t>Fair value</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color w:val="auto"/>
                <w:w w:val="82"/>
              </w:rPr>
              <w:t>losses</w:t>
            </w:r>
          </w:p>
        </w:tc>
        <w:tc>
          <w:tcPr>
            <w:tcW w:w="100" w:type="dxa"/>
            <w:vAlign w:val="bottom"/>
          </w:tcPr>
          <w:p>
            <w:pPr>
              <w:spacing w:after="0"/>
              <w:rPr>
                <w:sz w:val="20"/>
                <w:szCs w:val="20"/>
                <w:color w:val="auto"/>
              </w:rPr>
            </w:pPr>
          </w:p>
        </w:tc>
        <w:tc>
          <w:tcPr>
            <w:tcW w:w="960" w:type="dxa"/>
            <w:vAlign w:val="bottom"/>
          </w:tcPr>
          <w:p>
            <w:pPr>
              <w:jc w:val="center"/>
              <w:ind w:right="30"/>
              <w:spacing w:after="0"/>
              <w:rPr>
                <w:sz w:val="20"/>
                <w:szCs w:val="20"/>
                <w:color w:val="auto"/>
              </w:rPr>
            </w:pPr>
            <w:r>
              <w:rPr>
                <w:rFonts w:ascii="Arial" w:cs="Arial" w:eastAsia="Arial" w:hAnsi="Arial"/>
                <w:sz w:val="18"/>
                <w:szCs w:val="18"/>
                <w:color w:val="auto"/>
                <w:w w:val="91"/>
              </w:rPr>
              <w:t>Fair value</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losses</w:t>
            </w:r>
          </w:p>
        </w:tc>
        <w:tc>
          <w:tcPr>
            <w:tcW w:w="10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Fair value</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3"/>
          </w:tcPr>
          <w:p>
            <w:pPr>
              <w:jc w:val="center"/>
              <w:ind w:right="220"/>
              <w:spacing w:after="0"/>
              <w:rPr>
                <w:sz w:val="20"/>
                <w:szCs w:val="20"/>
                <w:color w:val="auto"/>
              </w:rPr>
            </w:pPr>
            <w:r>
              <w:rPr>
                <w:rFonts w:ascii="Arial" w:cs="Arial" w:eastAsia="Arial" w:hAnsi="Arial"/>
                <w:sz w:val="18"/>
                <w:szCs w:val="18"/>
                <w:color w:val="auto"/>
                <w:w w:val="82"/>
              </w:rPr>
              <w:t>losses</w:t>
            </w:r>
          </w:p>
        </w:tc>
      </w:tr>
      <w:tr>
        <w:trPr>
          <w:trHeight w:val="216"/>
        </w:trPr>
        <w:tc>
          <w:tcPr>
            <w:tcW w:w="1460" w:type="dxa"/>
            <w:vAlign w:val="bottom"/>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24,699</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9,434</w:t>
            </w: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34,133</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Government bonds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12,430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1,497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13,927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r>
      <w:tr>
        <w:trPr>
          <w:trHeight w:val="236"/>
        </w:trPr>
        <w:tc>
          <w:tcPr>
            <w:tcW w:w="1460" w:type="dxa"/>
            <w:vAlign w:val="bottom"/>
          </w:tcPr>
          <w:p>
            <w:pPr>
              <w:spacing w:after="0"/>
              <w:rPr>
                <w:sz w:val="20"/>
                <w:szCs w:val="20"/>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37,129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48,060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(788)</w:t>
            </w:r>
          </w:p>
        </w:tc>
        <w:tc>
          <w:tcPr>
            <w:tcW w:w="20" w:type="dxa"/>
            <w:vAlign w:val="bottom"/>
            <w:shd w:val="clear" w:color="auto" w:fill="CCEEFF"/>
          </w:tcPr>
          <w:p>
            <w:pPr>
              <w:spacing w:after="0"/>
              <w:rPr>
                <w:sz w:val="20"/>
                <w:szCs w:val="20"/>
                <w:color w:val="auto"/>
              </w:rPr>
            </w:pPr>
          </w:p>
        </w:tc>
      </w:tr>
      <w:tr>
        <w:trPr>
          <w:trHeight w:val="20"/>
        </w:trPr>
        <w:tc>
          <w:tcPr>
            <w:tcW w:w="1460" w:type="dxa"/>
            <w:vAlign w:val="bottom"/>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379"/>
        </w:trPr>
        <w:tc>
          <w:tcPr>
            <w:tcW w:w="14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5"/>
          </w:tcPr>
          <w:p>
            <w:pPr>
              <w:jc w:val="right"/>
              <w:ind w:right="680"/>
              <w:spacing w:after="0"/>
              <w:rPr>
                <w:sz w:val="20"/>
                <w:szCs w:val="20"/>
                <w:color w:val="auto"/>
              </w:rPr>
            </w:pPr>
            <w:r>
              <w:rPr>
                <w:rFonts w:ascii="Arial" w:cs="Arial" w:eastAsia="Arial" w:hAnsi="Arial"/>
                <w:sz w:val="18"/>
                <w:szCs w:val="18"/>
                <w:color w:val="auto"/>
              </w:rPr>
              <w:t>December 31, 2019</w:t>
            </w: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2"/>
        </w:trPr>
        <w:tc>
          <w:tcPr>
            <w:tcW w:w="14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00" w:type="dxa"/>
            <w:vAlign w:val="bottom"/>
            <w:gridSpan w:val="5"/>
          </w:tcPr>
          <w:p>
            <w:pPr>
              <w:jc w:val="center"/>
              <w:ind w:right="300"/>
              <w:spacing w:after="0" w:line="201" w:lineRule="exact"/>
              <w:rPr>
                <w:sz w:val="20"/>
                <w:szCs w:val="20"/>
                <w:color w:val="auto"/>
              </w:rPr>
            </w:pPr>
            <w:r>
              <w:rPr>
                <w:rFonts w:ascii="Arial" w:cs="Arial" w:eastAsia="Arial" w:hAnsi="Arial"/>
                <w:sz w:val="18"/>
                <w:szCs w:val="18"/>
                <w:color w:val="auto"/>
                <w:w w:val="92"/>
              </w:rPr>
              <w:t>Investment with continuous</w:t>
            </w:r>
          </w:p>
        </w:tc>
        <w:tc>
          <w:tcPr>
            <w:tcW w:w="100" w:type="dxa"/>
            <w:vAlign w:val="bottom"/>
          </w:tcPr>
          <w:p>
            <w:pPr>
              <w:spacing w:after="0"/>
              <w:rPr>
                <w:sz w:val="17"/>
                <w:szCs w:val="17"/>
                <w:color w:val="auto"/>
              </w:rPr>
            </w:pPr>
          </w:p>
        </w:tc>
        <w:tc>
          <w:tcPr>
            <w:tcW w:w="2400" w:type="dxa"/>
            <w:vAlign w:val="bottom"/>
            <w:gridSpan w:val="5"/>
          </w:tcPr>
          <w:p>
            <w:pPr>
              <w:jc w:val="center"/>
              <w:ind w:right="300"/>
              <w:spacing w:after="0" w:line="201" w:lineRule="exact"/>
              <w:rPr>
                <w:sz w:val="20"/>
                <w:szCs w:val="20"/>
                <w:color w:val="auto"/>
              </w:rPr>
            </w:pPr>
            <w:r>
              <w:rPr>
                <w:rFonts w:ascii="Arial" w:cs="Arial" w:eastAsia="Arial" w:hAnsi="Arial"/>
                <w:sz w:val="18"/>
                <w:szCs w:val="18"/>
                <w:color w:val="auto"/>
                <w:w w:val="91"/>
              </w:rPr>
              <w:t>Investments with continuous</w:t>
            </w:r>
          </w:p>
        </w:tc>
        <w:tc>
          <w:tcPr>
            <w:tcW w:w="100" w:type="dxa"/>
            <w:vAlign w:val="bottom"/>
          </w:tcPr>
          <w:p>
            <w:pPr>
              <w:spacing w:after="0"/>
              <w:rPr>
                <w:sz w:val="17"/>
                <w:szCs w:val="17"/>
                <w:color w:val="auto"/>
              </w:rPr>
            </w:pPr>
          </w:p>
        </w:tc>
        <w:tc>
          <w:tcPr>
            <w:tcW w:w="2220" w:type="dxa"/>
            <w:vAlign w:val="bottom"/>
            <w:gridSpan w:val="4"/>
          </w:tcPr>
          <w:p>
            <w:pPr>
              <w:jc w:val="center"/>
              <w:ind w:right="10"/>
              <w:spacing w:after="0" w:line="201" w:lineRule="exact"/>
              <w:rPr>
                <w:sz w:val="20"/>
                <w:szCs w:val="20"/>
                <w:color w:val="auto"/>
              </w:rPr>
            </w:pPr>
            <w:r>
              <w:rPr>
                <w:rFonts w:ascii="Arial" w:cs="Arial" w:eastAsia="Arial" w:hAnsi="Arial"/>
                <w:sz w:val="18"/>
                <w:szCs w:val="18"/>
                <w:color w:val="auto"/>
                <w:w w:val="91"/>
              </w:rPr>
              <w:t>Total Investments with</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14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gridSpan w:val="5"/>
          </w:tcPr>
          <w:p>
            <w:pPr>
              <w:jc w:val="center"/>
              <w:ind w:right="300"/>
              <w:spacing w:after="0"/>
              <w:rPr>
                <w:sz w:val="20"/>
                <w:szCs w:val="20"/>
                <w:color w:val="auto"/>
              </w:rPr>
            </w:pPr>
            <w:r>
              <w:rPr>
                <w:rFonts w:ascii="Arial" w:cs="Arial" w:eastAsia="Arial" w:hAnsi="Arial"/>
                <w:sz w:val="18"/>
                <w:szCs w:val="18"/>
                <w:color w:val="auto"/>
                <w:w w:val="89"/>
              </w:rPr>
              <w:t>unrealized losses for less</w:t>
            </w:r>
          </w:p>
        </w:tc>
        <w:tc>
          <w:tcPr>
            <w:tcW w:w="100" w:type="dxa"/>
            <w:vAlign w:val="bottom"/>
          </w:tcPr>
          <w:p>
            <w:pPr>
              <w:spacing w:after="0"/>
              <w:rPr>
                <w:sz w:val="18"/>
                <w:szCs w:val="18"/>
                <w:color w:val="auto"/>
              </w:rPr>
            </w:pPr>
          </w:p>
        </w:tc>
        <w:tc>
          <w:tcPr>
            <w:tcW w:w="2400" w:type="dxa"/>
            <w:vAlign w:val="bottom"/>
            <w:gridSpan w:val="5"/>
          </w:tcPr>
          <w:p>
            <w:pPr>
              <w:jc w:val="center"/>
              <w:ind w:right="300"/>
              <w:spacing w:after="0"/>
              <w:rPr>
                <w:sz w:val="20"/>
                <w:szCs w:val="20"/>
                <w:color w:val="auto"/>
              </w:rPr>
            </w:pPr>
            <w:r>
              <w:rPr>
                <w:rFonts w:ascii="Arial" w:cs="Arial" w:eastAsia="Arial" w:hAnsi="Arial"/>
                <w:sz w:val="18"/>
                <w:szCs w:val="18"/>
                <w:color w:val="auto"/>
                <w:w w:val="91"/>
              </w:rPr>
              <w:t>unrealized losses for twelve</w:t>
            </w:r>
          </w:p>
        </w:tc>
        <w:tc>
          <w:tcPr>
            <w:tcW w:w="100" w:type="dxa"/>
            <w:vAlign w:val="bottom"/>
          </w:tcPr>
          <w:p>
            <w:pPr>
              <w:spacing w:after="0"/>
              <w:rPr>
                <w:sz w:val="18"/>
                <w:szCs w:val="18"/>
                <w:color w:val="auto"/>
              </w:rPr>
            </w:pPr>
          </w:p>
        </w:tc>
        <w:tc>
          <w:tcPr>
            <w:tcW w:w="2320" w:type="dxa"/>
            <w:vAlign w:val="bottom"/>
            <w:gridSpan w:val="6"/>
          </w:tcPr>
          <w:p>
            <w:pPr>
              <w:jc w:val="center"/>
              <w:ind w:right="200"/>
              <w:spacing w:after="0"/>
              <w:rPr>
                <w:sz w:val="20"/>
                <w:szCs w:val="20"/>
                <w:color w:val="auto"/>
              </w:rPr>
            </w:pPr>
            <w:r>
              <w:rPr>
                <w:rFonts w:ascii="Arial" w:cs="Arial" w:eastAsia="Arial" w:hAnsi="Arial"/>
                <w:sz w:val="18"/>
                <w:szCs w:val="18"/>
                <w:color w:val="auto"/>
                <w:w w:val="91"/>
              </w:rPr>
              <w:t>continuous unrealized</w:t>
            </w:r>
          </w:p>
        </w:tc>
      </w:tr>
      <w:tr>
        <w:trPr>
          <w:trHeight w:val="237"/>
        </w:trPr>
        <w:tc>
          <w:tcPr>
            <w:tcW w:w="14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gridSpan w:val="5"/>
          </w:tcPr>
          <w:p>
            <w:pPr>
              <w:jc w:val="center"/>
              <w:ind w:right="300"/>
              <w:spacing w:after="0"/>
              <w:rPr>
                <w:sz w:val="20"/>
                <w:szCs w:val="20"/>
                <w:color w:val="auto"/>
              </w:rPr>
            </w:pPr>
            <w:r>
              <w:rPr>
                <w:rFonts w:ascii="Arial" w:cs="Arial" w:eastAsia="Arial" w:hAnsi="Arial"/>
                <w:sz w:val="18"/>
                <w:szCs w:val="18"/>
                <w:color w:val="auto"/>
                <w:w w:val="90"/>
              </w:rPr>
              <w:t>than twelve months</w:t>
            </w:r>
          </w:p>
        </w:tc>
        <w:tc>
          <w:tcPr>
            <w:tcW w:w="100" w:type="dxa"/>
            <w:vAlign w:val="bottom"/>
          </w:tcPr>
          <w:p>
            <w:pPr>
              <w:spacing w:after="0"/>
              <w:rPr>
                <w:sz w:val="20"/>
                <w:szCs w:val="20"/>
                <w:color w:val="auto"/>
              </w:rPr>
            </w:pPr>
          </w:p>
        </w:tc>
        <w:tc>
          <w:tcPr>
            <w:tcW w:w="2400" w:type="dxa"/>
            <w:vAlign w:val="bottom"/>
            <w:gridSpan w:val="5"/>
          </w:tcPr>
          <w:p>
            <w:pPr>
              <w:jc w:val="center"/>
              <w:ind w:right="300"/>
              <w:spacing w:after="0"/>
              <w:rPr>
                <w:sz w:val="20"/>
                <w:szCs w:val="20"/>
                <w:color w:val="auto"/>
              </w:rPr>
            </w:pPr>
            <w:r>
              <w:rPr>
                <w:rFonts w:ascii="Arial" w:cs="Arial" w:eastAsia="Arial" w:hAnsi="Arial"/>
                <w:sz w:val="18"/>
                <w:szCs w:val="18"/>
                <w:color w:val="auto"/>
                <w:w w:val="90"/>
              </w:rPr>
              <w:t>months or more</w:t>
            </w:r>
          </w:p>
        </w:tc>
        <w:tc>
          <w:tcPr>
            <w:tcW w:w="100" w:type="dxa"/>
            <w:vAlign w:val="bottom"/>
          </w:tcPr>
          <w:p>
            <w:pPr>
              <w:spacing w:after="0"/>
              <w:rPr>
                <w:sz w:val="20"/>
                <w:szCs w:val="20"/>
                <w:color w:val="auto"/>
              </w:rPr>
            </w:pPr>
          </w:p>
        </w:tc>
        <w:tc>
          <w:tcPr>
            <w:tcW w:w="1280" w:type="dxa"/>
            <w:vAlign w:val="bottom"/>
            <w:gridSpan w:val="3"/>
          </w:tcPr>
          <w:p>
            <w:pPr>
              <w:jc w:val="center"/>
              <w:ind w:left="750"/>
              <w:spacing w:after="0"/>
              <w:rPr>
                <w:sz w:val="20"/>
                <w:szCs w:val="20"/>
                <w:color w:val="auto"/>
              </w:rPr>
            </w:pPr>
            <w:r>
              <w:rPr>
                <w:rFonts w:ascii="Arial" w:cs="Arial" w:eastAsia="Arial" w:hAnsi="Arial"/>
                <w:sz w:val="18"/>
                <w:szCs w:val="18"/>
                <w:color w:val="auto"/>
                <w:w w:val="86"/>
              </w:rPr>
              <w:t>losses</w:t>
            </w: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2"/>
        </w:trPr>
        <w:tc>
          <w:tcPr>
            <w:tcW w:w="14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center"/>
              <w:ind w:right="30"/>
              <w:spacing w:after="0" w:line="201" w:lineRule="exact"/>
              <w:rPr>
                <w:sz w:val="20"/>
                <w:szCs w:val="20"/>
                <w:color w:val="auto"/>
              </w:rPr>
            </w:pPr>
            <w:r>
              <w:rPr>
                <w:rFonts w:ascii="Arial" w:cs="Arial" w:eastAsia="Arial" w:hAnsi="Arial"/>
                <w:sz w:val="18"/>
                <w:szCs w:val="18"/>
                <w:color w:val="auto"/>
                <w:w w:val="90"/>
              </w:rPr>
              <w:t>Fair</w:t>
            </w:r>
          </w:p>
        </w:tc>
        <w:tc>
          <w:tcPr>
            <w:tcW w:w="2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center"/>
              <w:ind w:right="30"/>
              <w:spacing w:after="0" w:line="201" w:lineRule="exact"/>
              <w:rPr>
                <w:sz w:val="20"/>
                <w:szCs w:val="20"/>
                <w:color w:val="auto"/>
              </w:rPr>
            </w:pPr>
            <w:r>
              <w:rPr>
                <w:rFonts w:ascii="Arial" w:cs="Arial" w:eastAsia="Arial" w:hAnsi="Arial"/>
                <w:sz w:val="18"/>
                <w:szCs w:val="18"/>
                <w:color w:val="auto"/>
                <w:w w:val="90"/>
              </w:rPr>
              <w:t>Unrealized</w:t>
            </w: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center"/>
              <w:ind w:right="30"/>
              <w:spacing w:after="0" w:line="201" w:lineRule="exact"/>
              <w:rPr>
                <w:sz w:val="20"/>
                <w:szCs w:val="20"/>
                <w:color w:val="auto"/>
              </w:rPr>
            </w:pPr>
            <w:r>
              <w:rPr>
                <w:rFonts w:ascii="Arial" w:cs="Arial" w:eastAsia="Arial" w:hAnsi="Arial"/>
                <w:sz w:val="18"/>
                <w:szCs w:val="18"/>
                <w:color w:val="auto"/>
                <w:w w:val="90"/>
              </w:rPr>
              <w:t>Fair</w:t>
            </w:r>
          </w:p>
        </w:tc>
        <w:tc>
          <w:tcPr>
            <w:tcW w:w="1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center"/>
              <w:ind w:right="30"/>
              <w:spacing w:after="0" w:line="201" w:lineRule="exact"/>
              <w:rPr>
                <w:sz w:val="20"/>
                <w:szCs w:val="20"/>
                <w:color w:val="auto"/>
              </w:rPr>
            </w:pPr>
            <w:r>
              <w:rPr>
                <w:rFonts w:ascii="Arial" w:cs="Arial" w:eastAsia="Arial" w:hAnsi="Arial"/>
                <w:sz w:val="18"/>
                <w:szCs w:val="18"/>
                <w:color w:val="auto"/>
                <w:w w:val="92"/>
              </w:rPr>
              <w:t>Unrealized</w:t>
            </w: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center"/>
              <w:ind w:right="10"/>
              <w:spacing w:after="0" w:line="201" w:lineRule="exact"/>
              <w:rPr>
                <w:sz w:val="20"/>
                <w:szCs w:val="20"/>
                <w:color w:val="auto"/>
              </w:rPr>
            </w:pPr>
            <w:r>
              <w:rPr>
                <w:rFonts w:ascii="Arial" w:cs="Arial" w:eastAsia="Arial" w:hAnsi="Arial"/>
                <w:sz w:val="18"/>
                <w:szCs w:val="18"/>
                <w:color w:val="auto"/>
                <w:w w:val="96"/>
              </w:rPr>
              <w:t>Fair</w:t>
            </w:r>
          </w:p>
        </w:tc>
        <w:tc>
          <w:tcPr>
            <w:tcW w:w="2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center"/>
              <w:ind w:right="30"/>
              <w:spacing w:after="0" w:line="201" w:lineRule="exact"/>
              <w:rPr>
                <w:sz w:val="20"/>
                <w:szCs w:val="20"/>
                <w:color w:val="auto"/>
              </w:rPr>
            </w:pPr>
            <w:r>
              <w:rPr>
                <w:rFonts w:ascii="Arial" w:cs="Arial" w:eastAsia="Arial" w:hAnsi="Arial"/>
                <w:sz w:val="18"/>
                <w:szCs w:val="18"/>
                <w:color w:val="auto"/>
                <w:w w:val="90"/>
              </w:rPr>
              <w:t>Unrealized</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7"/>
        </w:trPr>
        <w:tc>
          <w:tcPr>
            <w:tcW w:w="14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color w:val="auto"/>
                <w:w w:val="92"/>
              </w:rPr>
              <w:t>value</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color w:val="auto"/>
                <w:w w:val="82"/>
              </w:rPr>
              <w:t>losses</w:t>
            </w:r>
          </w:p>
        </w:tc>
        <w:tc>
          <w:tcPr>
            <w:tcW w:w="100" w:type="dxa"/>
            <w:vAlign w:val="bottom"/>
          </w:tcPr>
          <w:p>
            <w:pPr>
              <w:spacing w:after="0"/>
              <w:rPr>
                <w:sz w:val="20"/>
                <w:szCs w:val="20"/>
                <w:color w:val="auto"/>
              </w:rPr>
            </w:pPr>
          </w:p>
        </w:tc>
        <w:tc>
          <w:tcPr>
            <w:tcW w:w="960" w:type="dxa"/>
            <w:vAlign w:val="bottom"/>
          </w:tcPr>
          <w:p>
            <w:pPr>
              <w:jc w:val="center"/>
              <w:ind w:right="30"/>
              <w:spacing w:after="0"/>
              <w:rPr>
                <w:sz w:val="20"/>
                <w:szCs w:val="20"/>
                <w:color w:val="auto"/>
              </w:rPr>
            </w:pPr>
            <w:r>
              <w:rPr>
                <w:rFonts w:ascii="Arial" w:cs="Arial" w:eastAsia="Arial" w:hAnsi="Arial"/>
                <w:sz w:val="18"/>
                <w:szCs w:val="18"/>
                <w:color w:val="auto"/>
                <w:w w:val="92"/>
              </w:rPr>
              <w:t>value</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losses</w:t>
            </w:r>
          </w:p>
        </w:tc>
        <w:tc>
          <w:tcPr>
            <w:tcW w:w="100" w:type="dxa"/>
            <w:vAlign w:val="bottom"/>
          </w:tcPr>
          <w:p>
            <w:pPr>
              <w:spacing w:after="0"/>
              <w:rPr>
                <w:sz w:val="20"/>
                <w:szCs w:val="20"/>
                <w:color w:val="auto"/>
              </w:rPr>
            </w:pPr>
          </w:p>
        </w:tc>
        <w:tc>
          <w:tcPr>
            <w:tcW w:w="960" w:type="dxa"/>
            <w:vAlign w:val="bottom"/>
          </w:tcPr>
          <w:p>
            <w:pPr>
              <w:jc w:val="center"/>
              <w:ind w:right="10"/>
              <w:spacing w:after="0"/>
              <w:rPr>
                <w:sz w:val="20"/>
                <w:szCs w:val="20"/>
                <w:color w:val="auto"/>
              </w:rPr>
            </w:pPr>
            <w:r>
              <w:rPr>
                <w:rFonts w:ascii="Arial" w:cs="Arial" w:eastAsia="Arial" w:hAnsi="Arial"/>
                <w:sz w:val="18"/>
                <w:szCs w:val="18"/>
                <w:color w:val="auto"/>
                <w:w w:val="88"/>
              </w:rPr>
              <w:t>value</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3"/>
          </w:tcPr>
          <w:p>
            <w:pPr>
              <w:jc w:val="center"/>
              <w:ind w:right="220"/>
              <w:spacing w:after="0"/>
              <w:rPr>
                <w:sz w:val="20"/>
                <w:szCs w:val="20"/>
                <w:color w:val="auto"/>
              </w:rPr>
            </w:pPr>
            <w:r>
              <w:rPr>
                <w:rFonts w:ascii="Arial" w:cs="Arial" w:eastAsia="Arial" w:hAnsi="Arial"/>
                <w:sz w:val="18"/>
                <w:szCs w:val="18"/>
                <w:color w:val="auto"/>
                <w:w w:val="82"/>
              </w:rPr>
              <w:t>losses</w:t>
            </w:r>
          </w:p>
        </w:tc>
      </w:tr>
      <w:tr>
        <w:trPr>
          <w:trHeight w:val="216"/>
        </w:trPr>
        <w:tc>
          <w:tcPr>
            <w:tcW w:w="1460" w:type="dxa"/>
            <w:vAlign w:val="bottom"/>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8,562</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23,022</w:t>
            </w: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31,584</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432"/>
        </w:trPr>
        <w:tc>
          <w:tcPr>
            <w:tcW w:w="14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F-31</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1460" w:type="dxa"/>
            <w:vAlign w:val="bottom"/>
            <w:tcBorders>
              <w:bottom w:val="single" w:sz="8" w:color="EEEEEE"/>
            </w:tcBorders>
          </w:tcPr>
          <w:p>
            <w:pPr>
              <w:spacing w:after="0"/>
              <w:rPr>
                <w:sz w:val="18"/>
                <w:szCs w:val="18"/>
                <w:color w:val="auto"/>
              </w:rPr>
            </w:pPr>
          </w:p>
        </w:tc>
        <w:tc>
          <w:tcPr>
            <w:tcW w:w="1800" w:type="dxa"/>
            <w:vAlign w:val="bottom"/>
            <w:tcBorders>
              <w:bottom w:val="single" w:sz="8" w:color="EEEEEE"/>
            </w:tcBorders>
          </w:tcPr>
          <w:p>
            <w:pPr>
              <w:spacing w:after="0"/>
              <w:rPr>
                <w:sz w:val="18"/>
                <w:szCs w:val="18"/>
                <w:color w:val="auto"/>
              </w:rPr>
            </w:pPr>
          </w:p>
        </w:tc>
        <w:tc>
          <w:tcPr>
            <w:tcW w:w="460" w:type="dxa"/>
            <w:vAlign w:val="bottom"/>
            <w:tcBorders>
              <w:bottom w:val="single" w:sz="8" w:color="EEEEEE"/>
            </w:tcBorders>
          </w:tcPr>
          <w:p>
            <w:pPr>
              <w:spacing w:after="0"/>
              <w:rPr>
                <w:sz w:val="18"/>
                <w:szCs w:val="18"/>
                <w:color w:val="auto"/>
              </w:rPr>
            </w:pPr>
          </w:p>
        </w:tc>
        <w:tc>
          <w:tcPr>
            <w:tcW w:w="100" w:type="dxa"/>
            <w:vAlign w:val="bottom"/>
            <w:tcBorders>
              <w:bottom w:val="single" w:sz="8" w:color="EEEEEE"/>
            </w:tcBorders>
          </w:tcPr>
          <w:p>
            <w:pPr>
              <w:spacing w:after="0"/>
              <w:rPr>
                <w:sz w:val="18"/>
                <w:szCs w:val="18"/>
                <w:color w:val="auto"/>
              </w:rPr>
            </w:pPr>
          </w:p>
        </w:tc>
        <w:tc>
          <w:tcPr>
            <w:tcW w:w="1000" w:type="dxa"/>
            <w:vAlign w:val="bottom"/>
            <w:tcBorders>
              <w:bottom w:val="single" w:sz="8" w:color="EEEEEE"/>
            </w:tcBorders>
          </w:tcPr>
          <w:p>
            <w:pPr>
              <w:spacing w:after="0"/>
              <w:rPr>
                <w:sz w:val="18"/>
                <w:szCs w:val="18"/>
                <w:color w:val="auto"/>
              </w:rPr>
            </w:pPr>
          </w:p>
        </w:tc>
        <w:tc>
          <w:tcPr>
            <w:tcW w:w="200" w:type="dxa"/>
            <w:vAlign w:val="bottom"/>
            <w:tcBorders>
              <w:bottom w:val="single" w:sz="8" w:color="EEEEEE"/>
            </w:tcBorders>
          </w:tcPr>
          <w:p>
            <w:pPr>
              <w:spacing w:after="0"/>
              <w:rPr>
                <w:sz w:val="18"/>
                <w:szCs w:val="18"/>
                <w:color w:val="auto"/>
              </w:rPr>
            </w:pPr>
          </w:p>
        </w:tc>
        <w:tc>
          <w:tcPr>
            <w:tcW w:w="120" w:type="dxa"/>
            <w:vAlign w:val="bottom"/>
            <w:tcBorders>
              <w:bottom w:val="single" w:sz="8" w:color="EEEEEE"/>
            </w:tcBorders>
          </w:tcPr>
          <w:p>
            <w:pPr>
              <w:spacing w:after="0"/>
              <w:rPr>
                <w:sz w:val="18"/>
                <w:szCs w:val="18"/>
                <w:color w:val="auto"/>
              </w:rPr>
            </w:pPr>
          </w:p>
        </w:tc>
        <w:tc>
          <w:tcPr>
            <w:tcW w:w="980" w:type="dxa"/>
            <w:vAlign w:val="bottom"/>
            <w:tcBorders>
              <w:bottom w:val="single" w:sz="8" w:color="EEEEEE"/>
            </w:tcBorders>
          </w:tcPr>
          <w:p>
            <w:pPr>
              <w:spacing w:after="0"/>
              <w:rPr>
                <w:sz w:val="18"/>
                <w:szCs w:val="18"/>
                <w:color w:val="auto"/>
              </w:rPr>
            </w:pPr>
          </w:p>
        </w:tc>
        <w:tc>
          <w:tcPr>
            <w:tcW w:w="200" w:type="dxa"/>
            <w:vAlign w:val="bottom"/>
            <w:tcBorders>
              <w:bottom w:val="single" w:sz="8" w:color="EEEEEE"/>
            </w:tcBorders>
          </w:tcPr>
          <w:p>
            <w:pPr>
              <w:spacing w:after="0"/>
              <w:rPr>
                <w:sz w:val="18"/>
                <w:szCs w:val="18"/>
                <w:color w:val="auto"/>
              </w:rPr>
            </w:pPr>
          </w:p>
        </w:tc>
        <w:tc>
          <w:tcPr>
            <w:tcW w:w="100" w:type="dxa"/>
            <w:vAlign w:val="bottom"/>
            <w:tcBorders>
              <w:bottom w:val="single" w:sz="8" w:color="EEEEEE"/>
            </w:tcBorders>
          </w:tcPr>
          <w:p>
            <w:pPr>
              <w:spacing w:after="0"/>
              <w:rPr>
                <w:sz w:val="18"/>
                <w:szCs w:val="18"/>
                <w:color w:val="auto"/>
              </w:rPr>
            </w:pPr>
          </w:p>
        </w:tc>
        <w:tc>
          <w:tcPr>
            <w:tcW w:w="960" w:type="dxa"/>
            <w:vAlign w:val="bottom"/>
            <w:tcBorders>
              <w:bottom w:val="single" w:sz="8" w:color="EEEEEE"/>
            </w:tcBorders>
          </w:tcPr>
          <w:p>
            <w:pPr>
              <w:spacing w:after="0"/>
              <w:rPr>
                <w:sz w:val="18"/>
                <w:szCs w:val="18"/>
                <w:color w:val="auto"/>
              </w:rPr>
            </w:pPr>
          </w:p>
        </w:tc>
        <w:tc>
          <w:tcPr>
            <w:tcW w:w="180" w:type="dxa"/>
            <w:vAlign w:val="bottom"/>
            <w:tcBorders>
              <w:bottom w:val="single" w:sz="8" w:color="EEEEEE"/>
            </w:tcBorders>
          </w:tcPr>
          <w:p>
            <w:pPr>
              <w:spacing w:after="0"/>
              <w:rPr>
                <w:sz w:val="18"/>
                <w:szCs w:val="18"/>
                <w:color w:val="auto"/>
              </w:rPr>
            </w:pPr>
          </w:p>
        </w:tc>
        <w:tc>
          <w:tcPr>
            <w:tcW w:w="120" w:type="dxa"/>
            <w:vAlign w:val="bottom"/>
            <w:tcBorders>
              <w:bottom w:val="single" w:sz="8" w:color="EEEEEE"/>
            </w:tcBorders>
          </w:tcPr>
          <w:p>
            <w:pPr>
              <w:spacing w:after="0"/>
              <w:rPr>
                <w:sz w:val="18"/>
                <w:szCs w:val="18"/>
                <w:color w:val="auto"/>
              </w:rPr>
            </w:pPr>
          </w:p>
        </w:tc>
        <w:tc>
          <w:tcPr>
            <w:tcW w:w="960" w:type="dxa"/>
            <w:vAlign w:val="bottom"/>
            <w:tcBorders>
              <w:bottom w:val="single" w:sz="8" w:color="EEEEEE"/>
            </w:tcBorders>
          </w:tcPr>
          <w:p>
            <w:pPr>
              <w:spacing w:after="0"/>
              <w:rPr>
                <w:sz w:val="18"/>
                <w:szCs w:val="18"/>
                <w:color w:val="auto"/>
              </w:rPr>
            </w:pPr>
          </w:p>
        </w:tc>
        <w:tc>
          <w:tcPr>
            <w:tcW w:w="180" w:type="dxa"/>
            <w:vAlign w:val="bottom"/>
            <w:tcBorders>
              <w:bottom w:val="single" w:sz="8" w:color="EEEEEE"/>
            </w:tcBorders>
          </w:tcPr>
          <w:p>
            <w:pPr>
              <w:spacing w:after="0"/>
              <w:rPr>
                <w:sz w:val="18"/>
                <w:szCs w:val="18"/>
                <w:color w:val="auto"/>
              </w:rPr>
            </w:pPr>
          </w:p>
        </w:tc>
        <w:tc>
          <w:tcPr>
            <w:tcW w:w="100" w:type="dxa"/>
            <w:vAlign w:val="bottom"/>
            <w:tcBorders>
              <w:bottom w:val="single" w:sz="8" w:color="EEEEEE"/>
            </w:tcBorders>
          </w:tcPr>
          <w:p>
            <w:pPr>
              <w:spacing w:after="0"/>
              <w:rPr>
                <w:sz w:val="18"/>
                <w:szCs w:val="18"/>
                <w:color w:val="auto"/>
              </w:rPr>
            </w:pPr>
          </w:p>
        </w:tc>
        <w:tc>
          <w:tcPr>
            <w:tcW w:w="960" w:type="dxa"/>
            <w:vAlign w:val="bottom"/>
            <w:tcBorders>
              <w:bottom w:val="single" w:sz="8" w:color="EEEEEE"/>
            </w:tcBorders>
          </w:tcPr>
          <w:p>
            <w:pPr>
              <w:spacing w:after="0"/>
              <w:rPr>
                <w:sz w:val="18"/>
                <w:szCs w:val="18"/>
                <w:color w:val="auto"/>
              </w:rPr>
            </w:pPr>
          </w:p>
        </w:tc>
        <w:tc>
          <w:tcPr>
            <w:tcW w:w="200" w:type="dxa"/>
            <w:vAlign w:val="bottom"/>
            <w:tcBorders>
              <w:bottom w:val="single" w:sz="8" w:color="EEEEEE"/>
            </w:tcBorders>
          </w:tcPr>
          <w:p>
            <w:pPr>
              <w:spacing w:after="0"/>
              <w:rPr>
                <w:sz w:val="18"/>
                <w:szCs w:val="18"/>
                <w:color w:val="auto"/>
              </w:rPr>
            </w:pPr>
          </w:p>
        </w:tc>
        <w:tc>
          <w:tcPr>
            <w:tcW w:w="120" w:type="dxa"/>
            <w:vAlign w:val="bottom"/>
            <w:tcBorders>
              <w:bottom w:val="single" w:sz="8" w:color="EEEEEE"/>
            </w:tcBorders>
          </w:tcPr>
          <w:p>
            <w:pPr>
              <w:spacing w:after="0"/>
              <w:rPr>
                <w:sz w:val="18"/>
                <w:szCs w:val="18"/>
                <w:color w:val="auto"/>
              </w:rPr>
            </w:pPr>
          </w:p>
        </w:tc>
        <w:tc>
          <w:tcPr>
            <w:tcW w:w="940" w:type="dxa"/>
            <w:vAlign w:val="bottom"/>
            <w:tcBorders>
              <w:bottom w:val="single" w:sz="8" w:color="EEEEEE"/>
            </w:tcBorders>
          </w:tcPr>
          <w:p>
            <w:pPr>
              <w:spacing w:after="0"/>
              <w:rPr>
                <w:sz w:val="18"/>
                <w:szCs w:val="18"/>
                <w:color w:val="auto"/>
              </w:rPr>
            </w:pPr>
          </w:p>
        </w:tc>
        <w:tc>
          <w:tcPr>
            <w:tcW w:w="80" w:type="dxa"/>
            <w:vAlign w:val="bottom"/>
            <w:tcBorders>
              <w:bottom w:val="single" w:sz="8" w:color="EEEEEE"/>
            </w:tcBorders>
          </w:tcPr>
          <w:p>
            <w:pPr>
              <w:spacing w:after="0"/>
              <w:rPr>
                <w:sz w:val="18"/>
                <w:szCs w:val="18"/>
                <w:color w:val="auto"/>
              </w:rPr>
            </w:pP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15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NOTE 13</w:t>
        <w:tab/>
        <w:t>- EMPLOYEE RELATED LIABILITIES</w:t>
      </w:r>
    </w:p>
    <w:p>
      <w:pPr>
        <w:spacing w:after="0" w:line="212" w:lineRule="exact"/>
        <w:rPr>
          <w:sz w:val="20"/>
          <w:szCs w:val="20"/>
          <w:color w:val="auto"/>
        </w:rPr>
      </w:pPr>
    </w:p>
    <w:p>
      <w:pPr>
        <w:ind w:left="1440" w:hanging="352"/>
        <w:spacing w:after="0"/>
        <w:tabs>
          <w:tab w:leader="none" w:pos="144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Employee Termination Benefits</w:t>
      </w:r>
    </w:p>
    <w:p>
      <w:pPr>
        <w:spacing w:after="0" w:line="202" w:lineRule="exact"/>
        <w:rPr>
          <w:rFonts w:ascii="Arial" w:cs="Arial" w:eastAsia="Arial" w:hAnsi="Arial"/>
          <w:sz w:val="18"/>
          <w:szCs w:val="18"/>
          <w:b w:val="1"/>
          <w:bCs w:val="1"/>
          <w:color w:val="auto"/>
        </w:rPr>
      </w:pPr>
    </w:p>
    <w:p>
      <w:pPr>
        <w:jc w:val="both"/>
        <w:ind w:left="144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Israeli law, labor agreements and corporate policy determine the obligations of Tower to make severance payments to dismissed Israeli employees and to Israeli employees leaving employment under certain circumstances. Generally, the liability for severance pay benefits, as determined by Israeli law, is based upon length of service and the employee’s monthly salary. This liability is primarily covered by regular deposits made each month by Tower into recognized severance and pension funds and by insurance policies maintained by Tower, based on the employee’s salary for the relevant month. The amounts so funded and the liability are included on the balance sheets in long-term investments and employee related liabilities in the amounts of $7,954 and $10,304, respectively, as of December 31, 2020.</w:t>
      </w:r>
    </w:p>
    <w:p>
      <w:pPr>
        <w:spacing w:after="0" w:line="181" w:lineRule="exact"/>
        <w:rPr>
          <w:rFonts w:ascii="Arial" w:cs="Arial" w:eastAsia="Arial" w:hAnsi="Arial"/>
          <w:sz w:val="18"/>
          <w:szCs w:val="18"/>
          <w:b w:val="1"/>
          <w:bCs w:val="1"/>
          <w:color w:val="auto"/>
        </w:rPr>
      </w:pPr>
    </w:p>
    <w:p>
      <w:pPr>
        <w:jc w:val="both"/>
        <w:ind w:left="14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Commencing January 1, 2005, Tower implemented a labor agreement with regard to most of its Israeli employees, according to which monthly deposits into recognized severance and pension funds or insurance policies will release it from any additional severance obligation in excess of the balance in such accounts to such Israeli employees and, therefore, Tower incurs no liability or asset with respect to such severance obligations and deposits, since that date. Any net severance amount as of such date will be released on the employee’s termination date. Payments relating to Israeli employee termination benefits were $5,254, $5,597 and $5,158 for 2020, 2019 and 2018, respectively.</w:t>
      </w:r>
    </w:p>
    <w:p>
      <w:pPr>
        <w:spacing w:after="0" w:line="178" w:lineRule="exact"/>
        <w:rPr>
          <w:rFonts w:ascii="Arial" w:cs="Arial" w:eastAsia="Arial" w:hAnsi="Arial"/>
          <w:sz w:val="18"/>
          <w:szCs w:val="18"/>
          <w:b w:val="1"/>
          <w:bCs w:val="1"/>
          <w:color w:val="auto"/>
        </w:rPr>
      </w:pPr>
    </w:p>
    <w:p>
      <w:pPr>
        <w:jc w:val="both"/>
        <w:ind w:left="1440"/>
        <w:spacing w:after="0" w:line="275" w:lineRule="auto"/>
        <w:rPr>
          <w:rFonts w:ascii="Arial" w:cs="Arial" w:eastAsia="Arial" w:hAnsi="Arial"/>
          <w:sz w:val="18"/>
          <w:szCs w:val="18"/>
          <w:b w:val="1"/>
          <w:bCs w:val="1"/>
          <w:color w:val="auto"/>
        </w:rPr>
      </w:pPr>
      <w:r>
        <w:rPr>
          <w:rFonts w:ascii="Arial" w:cs="Arial" w:eastAsia="Arial" w:hAnsi="Arial"/>
          <w:sz w:val="17"/>
          <w:szCs w:val="17"/>
          <w:color w:val="auto"/>
        </w:rPr>
        <w:t>TPSCo established a Defined Contribution Retirement Plan (the “DC Plan”) for its employees through which TPSCo contributes approximately 9% with employee average match of 1% of employee base salary to the DC Plan. Such contribution releases the employer from further obligation to any payments upon termination of employment. The contribution is remitted either to third party benefit funds based on employee preference, or directly, to those employees who elected not to enroll in the DC Plan. Total payments under the DC Plan in 2020, 2019 and 2018 amounted to $6,132, $6,572 and $6,700, respectively.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19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NOTE 13</w:t>
        <w:tab/>
        <w:t>-  EMPLOYEE RELATED LIABILITIES (Cont.)</w:t>
      </w:r>
    </w:p>
    <w:p>
      <w:pPr>
        <w:spacing w:after="0" w:line="198" w:lineRule="exact"/>
        <w:rPr>
          <w:sz w:val="20"/>
          <w:szCs w:val="20"/>
          <w:color w:val="auto"/>
        </w:rPr>
      </w:pPr>
    </w:p>
    <w:p>
      <w:pPr>
        <w:ind w:left="1440" w:hanging="352"/>
        <w:spacing w:after="0"/>
        <w:tabs>
          <w:tab w:leader="none" w:pos="144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TSNP Employee Benefit Plans</w:t>
      </w:r>
    </w:p>
    <w:p>
      <w:pPr>
        <w:spacing w:after="0" w:line="215" w:lineRule="exact"/>
        <w:rPr>
          <w:rFonts w:ascii="Arial" w:cs="Arial" w:eastAsia="Arial" w:hAnsi="Arial"/>
          <w:sz w:val="18"/>
          <w:szCs w:val="18"/>
          <w:b w:val="1"/>
          <w:bCs w:val="1"/>
          <w:color w:val="auto"/>
        </w:rPr>
      </w:pPr>
    </w:p>
    <w:p>
      <w:pPr>
        <w:ind w:left="14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following information provides the changes in 2020, 2019 and 2018 periodic expenses and benefit obligations due to the bargaining agreement signed between TSNP with its collective bargaining unit employees.</w:t>
      </w:r>
    </w:p>
    <w:p>
      <w:pPr>
        <w:spacing w:after="0" w:line="152" w:lineRule="exact"/>
        <w:rPr>
          <w:rFonts w:ascii="Arial" w:cs="Arial" w:eastAsia="Arial" w:hAnsi="Arial"/>
          <w:sz w:val="18"/>
          <w:szCs w:val="18"/>
          <w:b w:val="1"/>
          <w:bCs w:val="1"/>
          <w:color w:val="auto"/>
        </w:rPr>
      </w:pPr>
    </w:p>
    <w:p>
      <w:pPr>
        <w:ind w:left="14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Post-Retirement Medical Plan</w:t>
      </w:r>
    </w:p>
    <w:p>
      <w:pPr>
        <w:spacing w:after="0" w:line="202" w:lineRule="exact"/>
        <w:rPr>
          <w:rFonts w:ascii="Arial" w:cs="Arial" w:eastAsia="Arial" w:hAnsi="Arial"/>
          <w:sz w:val="18"/>
          <w:szCs w:val="18"/>
          <w:b w:val="1"/>
          <w:bCs w:val="1"/>
          <w:color w:val="auto"/>
        </w:rPr>
      </w:pPr>
    </w:p>
    <w:p>
      <w:pPr>
        <w:ind w:left="144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components of the net periodic benefit cost and other amounts recognized in other comprehensive income for post-retirement medical plan expense are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46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940" w:type="dxa"/>
            <w:vAlign w:val="bottom"/>
            <w:gridSpan w:val="10"/>
          </w:tcPr>
          <w:p>
            <w:pPr>
              <w:jc w:val="center"/>
              <w:ind w:right="200"/>
              <w:spacing w:after="0"/>
              <w:rPr>
                <w:sz w:val="20"/>
                <w:szCs w:val="20"/>
                <w:color w:val="auto"/>
              </w:rPr>
            </w:pPr>
            <w:r>
              <w:rPr>
                <w:rFonts w:ascii="Arial" w:cs="Arial" w:eastAsia="Arial" w:hAnsi="Arial"/>
                <w:sz w:val="18"/>
                <w:szCs w:val="18"/>
                <w:color w:val="auto"/>
                <w:w w:val="88"/>
              </w:rPr>
              <w:t>Year ended December 31,</w:t>
            </w:r>
          </w:p>
        </w:tc>
        <w:tc>
          <w:tcPr>
            <w:tcW w:w="0" w:type="dxa"/>
            <w:vAlign w:val="bottom"/>
          </w:tcPr>
          <w:p>
            <w:pPr>
              <w:spacing w:after="0"/>
              <w:rPr>
                <w:sz w:val="1"/>
                <w:szCs w:val="1"/>
                <w:color w:val="auto"/>
              </w:rPr>
            </w:pPr>
          </w:p>
        </w:tc>
      </w:tr>
      <w:tr>
        <w:trPr>
          <w:trHeight w:val="223"/>
        </w:trPr>
        <w:tc>
          <w:tcPr>
            <w:tcW w:w="1460" w:type="dxa"/>
            <w:vAlign w:val="bottom"/>
          </w:tcPr>
          <w:p>
            <w:pPr>
              <w:spacing w:after="0"/>
              <w:rPr>
                <w:sz w:val="19"/>
                <w:szCs w:val="19"/>
                <w:color w:val="auto"/>
              </w:rPr>
            </w:pPr>
          </w:p>
        </w:tc>
        <w:tc>
          <w:tcPr>
            <w:tcW w:w="5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2020</w:t>
            </w:r>
          </w:p>
        </w:tc>
        <w:tc>
          <w:tcPr>
            <w:tcW w:w="18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2019</w:t>
            </w: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rPr>
              <w:t>2018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Net periodic benefit cost: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Service cost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Amortization of prior service costs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loss (gain)</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460" w:type="dxa"/>
            <w:vAlign w:val="bottom"/>
          </w:tcPr>
          <w:p>
            <w:pPr>
              <w:spacing w:after="0"/>
              <w:rPr>
                <w:sz w:val="2"/>
                <w:szCs w:val="2"/>
                <w:color w:val="auto"/>
              </w:rPr>
            </w:pPr>
          </w:p>
        </w:tc>
        <w:tc>
          <w:tcPr>
            <w:tcW w:w="56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40" w:type="dxa"/>
            <w:vAlign w:val="bottom"/>
            <w:gridSpan w:val="2"/>
          </w:tcPr>
          <w:p>
            <w:pPr>
              <w:ind w:left="1440"/>
              <w:spacing w:after="0"/>
              <w:rPr>
                <w:sz w:val="20"/>
                <w:szCs w:val="20"/>
                <w:color w:val="auto"/>
              </w:rPr>
            </w:pPr>
            <w:r>
              <w:rPr>
                <w:rFonts w:ascii="Arial" w:cs="Arial" w:eastAsia="Arial" w:hAnsi="Arial"/>
                <w:sz w:val="18"/>
                <w:szCs w:val="18"/>
                <w:color w:val="auto"/>
              </w:rPr>
              <w:t>Total net periodic benefit cost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(178)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(219)</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460" w:type="dxa"/>
            <w:vAlign w:val="bottom"/>
          </w:tcPr>
          <w:p>
            <w:pPr>
              <w:spacing w:after="0"/>
              <w:rPr>
                <w:sz w:val="15"/>
                <w:szCs w:val="15"/>
                <w:color w:val="auto"/>
              </w:rPr>
            </w:pPr>
          </w:p>
        </w:tc>
        <w:tc>
          <w:tcPr>
            <w:tcW w:w="56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6"/>
              </w:rPr>
              <w:t>Other changes in plan assets and benefits obligations recognized in other</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p>
        </w:tc>
        <w:tc>
          <w:tcPr>
            <w:tcW w:w="5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comprehensive income:</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Prior service cost for the period</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Net loss (gain) for the period</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Amortization of prior service costs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460" w:type="dxa"/>
            <w:vAlign w:val="bottom"/>
          </w:tcPr>
          <w:p>
            <w:pPr>
              <w:spacing w:after="0"/>
              <w:rPr>
                <w:sz w:val="19"/>
                <w:szCs w:val="19"/>
                <w:color w:val="auto"/>
              </w:rPr>
            </w:pPr>
          </w:p>
        </w:tc>
        <w:tc>
          <w:tcPr>
            <w:tcW w:w="5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Amortization of net gain (loss)</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80" w:type="dxa"/>
            <w:vAlign w:val="bottom"/>
            <w:tcBorders>
              <w:bottom w:val="single" w:sz="8" w:color="CCEEFF"/>
              <w:right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140" w:type="dxa"/>
            <w:vAlign w:val="bottom"/>
            <w:gridSpan w:val="2"/>
          </w:tcPr>
          <w:p>
            <w:pPr>
              <w:ind w:left="1440"/>
              <w:spacing w:after="0"/>
              <w:rPr>
                <w:sz w:val="20"/>
                <w:szCs w:val="20"/>
                <w:color w:val="auto"/>
              </w:rPr>
            </w:pPr>
            <w:r>
              <w:rPr>
                <w:rFonts w:ascii="Arial" w:cs="Arial" w:eastAsia="Arial" w:hAnsi="Arial"/>
                <w:sz w:val="18"/>
                <w:szCs w:val="18"/>
                <w:color w:val="auto"/>
              </w:rPr>
              <w:t>Total recognized in other comprehensive income (loss)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387</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297</w:t>
            </w: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460" w:type="dxa"/>
            <w:vAlign w:val="bottom"/>
          </w:tcPr>
          <w:p>
            <w:pPr>
              <w:spacing w:after="0"/>
              <w:rPr>
                <w:sz w:val="15"/>
                <w:szCs w:val="15"/>
                <w:color w:val="auto"/>
              </w:rPr>
            </w:pPr>
          </w:p>
        </w:tc>
        <w:tc>
          <w:tcPr>
            <w:tcW w:w="56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1"/>
              </w:rPr>
              <w:t>Total recognized in net periodic benefit cost and other comprehensive income</w:t>
            </w:r>
          </w:p>
        </w:tc>
        <w:tc>
          <w:tcPr>
            <w:tcW w:w="1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80" w:type="dxa"/>
            <w:vAlign w:val="bottom"/>
            <w:tcBorders>
              <w:right w:val="single" w:sz="8" w:color="CCEEFF"/>
            </w:tcBorders>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spacing w:after="0"/>
              <w:rPr>
                <w:sz w:val="15"/>
                <w:szCs w:val="15"/>
                <w:color w:val="auto"/>
              </w:rPr>
            </w:pPr>
          </w:p>
        </w:tc>
        <w:tc>
          <w:tcPr>
            <w:tcW w:w="1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(293)</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460" w:type="dxa"/>
            <w:vAlign w:val="bottom"/>
          </w:tcPr>
          <w:p>
            <w:pPr>
              <w:spacing w:after="0"/>
              <w:rPr>
                <w:sz w:val="19"/>
                <w:szCs w:val="19"/>
                <w:color w:val="auto"/>
              </w:rPr>
            </w:pPr>
          </w:p>
        </w:tc>
        <w:tc>
          <w:tcPr>
            <w:tcW w:w="5680" w:type="dxa"/>
            <w:vAlign w:val="bottom"/>
            <w:shd w:val="clear" w:color="auto" w:fill="CCEEFF"/>
          </w:tcPr>
          <w:p>
            <w:pPr>
              <w:ind w:left="140"/>
              <w:spacing w:after="0" w:line="190" w:lineRule="exact"/>
              <w:rPr>
                <w:sz w:val="20"/>
                <w:szCs w:val="20"/>
                <w:color w:val="auto"/>
              </w:rPr>
            </w:pPr>
            <w:r>
              <w:rPr>
                <w:rFonts w:ascii="Arial" w:cs="Arial" w:eastAsia="Arial" w:hAnsi="Arial"/>
                <w:sz w:val="18"/>
                <w:szCs w:val="18"/>
                <w:color w:val="auto"/>
              </w:rPr>
              <w:t>(loss)</w:t>
            </w:r>
          </w:p>
        </w:tc>
        <w:tc>
          <w:tcPr>
            <w:tcW w:w="160" w:type="dxa"/>
            <w:vAlign w:val="bottom"/>
            <w:gridSpan w:val="2"/>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gridSpan w:val="2"/>
            <w:vMerge w:val="continue"/>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1460" w:type="dxa"/>
            <w:vAlign w:val="bottom"/>
            <w:vMerge w:val="restart"/>
          </w:tcPr>
          <w:p>
            <w:pPr>
              <w:spacing w:after="0"/>
              <w:rPr>
                <w:sz w:val="17"/>
                <w:szCs w:val="17"/>
                <w:color w:val="auto"/>
              </w:rPr>
            </w:pPr>
          </w:p>
        </w:tc>
        <w:tc>
          <w:tcPr>
            <w:tcW w:w="56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6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assumptions used:</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Discount rate</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3"/>
              </w:rPr>
              <w:t>3.40%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4.50%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ind w:left="300"/>
              <w:spacing w:after="0"/>
              <w:rPr>
                <w:sz w:val="20"/>
                <w:szCs w:val="20"/>
                <w:color w:val="auto"/>
              </w:rPr>
            </w:pPr>
            <w:r>
              <w:rPr>
                <w:rFonts w:ascii="Arial" w:cs="Arial" w:eastAsia="Arial" w:hAnsi="Arial"/>
                <w:sz w:val="18"/>
                <w:szCs w:val="18"/>
                <w:color w:val="auto"/>
              </w:rPr>
              <w:t>3.80%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N/A</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Rate of compensation increases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N/A</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3"/>
          </w:tcPr>
          <w:p>
            <w:pPr>
              <w:ind w:left="3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Assumed health care cost trend rates:</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460" w:type="dxa"/>
            <w:vAlign w:val="bottom"/>
          </w:tcPr>
          <w:p>
            <w:pPr>
              <w:spacing w:after="0"/>
              <w:rPr>
                <w:sz w:val="17"/>
                <w:szCs w:val="17"/>
                <w:color w:val="auto"/>
              </w:rPr>
            </w:pPr>
          </w:p>
        </w:tc>
        <w:tc>
          <w:tcPr>
            <w:tcW w:w="5680" w:type="dxa"/>
            <w:vAlign w:val="bottom"/>
          </w:tcPr>
          <w:p>
            <w:pPr>
              <w:spacing w:after="0" w:line="201" w:lineRule="exact"/>
              <w:rPr>
                <w:sz w:val="20"/>
                <w:szCs w:val="20"/>
                <w:color w:val="auto"/>
              </w:rPr>
            </w:pPr>
            <w:r>
              <w:rPr>
                <w:rFonts w:ascii="Arial" w:cs="Arial" w:eastAsia="Arial" w:hAnsi="Arial"/>
                <w:sz w:val="18"/>
                <w:szCs w:val="18"/>
                <w:color w:val="auto"/>
                <w:w w:val="90"/>
              </w:rPr>
              <w:t>Health care cost trend rate assumed for current year (Pre-65/Post-65 Medicare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p>
        </w:tc>
        <w:tc>
          <w:tcPr>
            <w:tcW w:w="5680" w:type="dxa"/>
            <w:vAlign w:val="bottom"/>
          </w:tcPr>
          <w:p>
            <w:pPr>
              <w:ind w:left="140"/>
              <w:spacing w:after="0"/>
              <w:rPr>
                <w:sz w:val="20"/>
                <w:szCs w:val="20"/>
                <w:color w:val="auto"/>
              </w:rPr>
            </w:pPr>
            <w:r>
              <w:rPr>
                <w:rFonts w:ascii="Arial" w:cs="Arial" w:eastAsia="Arial" w:hAnsi="Arial"/>
                <w:sz w:val="18"/>
                <w:szCs w:val="18"/>
                <w:color w:val="auto"/>
              </w:rPr>
              <w:t>Advantage)</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w w:val="92"/>
              </w:rPr>
              <w:t>6.20%/(5.00)%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w w:val="90"/>
              </w:rPr>
              <w:t>6.90%/13.10%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w w:val="88"/>
              </w:rPr>
              <w:t>8.30%/11.10%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460" w:type="dxa"/>
            <w:vAlign w:val="bottom"/>
          </w:tcPr>
          <w:p>
            <w:pPr>
              <w:spacing w:after="0"/>
              <w:rPr>
                <w:sz w:val="17"/>
                <w:szCs w:val="17"/>
                <w:color w:val="auto"/>
              </w:rPr>
            </w:pPr>
          </w:p>
        </w:tc>
        <w:tc>
          <w:tcPr>
            <w:tcW w:w="5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Health care cost trend rate assumed for current year (Pre-65/Post-65 Non</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p>
        </w:tc>
        <w:tc>
          <w:tcPr>
            <w:tcW w:w="5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Medicare Advantage)</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6.20%/6.10%</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6.90%/7.90%</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Ultimate rate (Pre-65/Post-65)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4.50%/4.50%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4.50%/4.50%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w w:val="93"/>
              </w:rPr>
              <w:t>4.50%/4.50%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Year the ultimate rate is reached (Pre-65/Post-65)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2029/2029</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2029/2029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2027/2027</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460" w:type="dxa"/>
            <w:vAlign w:val="bottom"/>
          </w:tcPr>
          <w:p>
            <w:pPr>
              <w:spacing w:after="0"/>
              <w:rPr>
                <w:sz w:val="17"/>
                <w:szCs w:val="17"/>
                <w:color w:val="auto"/>
              </w:rPr>
            </w:pPr>
          </w:p>
        </w:tc>
        <w:tc>
          <w:tcPr>
            <w:tcW w:w="5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right"/>
              <w:ind w:right="280"/>
              <w:spacing w:after="0" w:line="201" w:lineRule="exact"/>
              <w:rPr>
                <w:sz w:val="20"/>
                <w:szCs w:val="20"/>
                <w:color w:val="auto"/>
              </w:rPr>
            </w:pPr>
            <w:r>
              <w:rPr>
                <w:rFonts w:ascii="Arial" w:cs="Arial" w:eastAsia="Arial" w:hAnsi="Arial"/>
                <w:sz w:val="18"/>
                <w:szCs w:val="18"/>
                <w:color w:val="auto"/>
                <w:w w:val="88"/>
              </w:rPr>
              <w:t>December 31,</w:t>
            </w:r>
          </w:p>
        </w:tc>
        <w:tc>
          <w:tcPr>
            <w:tcW w:w="1300" w:type="dxa"/>
            <w:vAlign w:val="bottom"/>
            <w:gridSpan w:val="3"/>
          </w:tcPr>
          <w:p>
            <w:pPr>
              <w:jc w:val="center"/>
              <w:ind w:right="120"/>
              <w:spacing w:after="0" w:line="201" w:lineRule="exact"/>
              <w:rPr>
                <w:sz w:val="20"/>
                <w:szCs w:val="20"/>
                <w:color w:val="auto"/>
              </w:rPr>
            </w:pPr>
            <w:r>
              <w:rPr>
                <w:rFonts w:ascii="Arial" w:cs="Arial" w:eastAsia="Arial" w:hAnsi="Arial"/>
                <w:sz w:val="18"/>
                <w:szCs w:val="18"/>
                <w:color w:val="auto"/>
                <w:w w:val="90"/>
              </w:rPr>
              <w:t>December 31,</w:t>
            </w:r>
          </w:p>
        </w:tc>
        <w:tc>
          <w:tcPr>
            <w:tcW w:w="80" w:type="dxa"/>
            <w:vAlign w:val="bottom"/>
          </w:tcPr>
          <w:p>
            <w:pPr>
              <w:spacing w:after="0"/>
              <w:rPr>
                <w:sz w:val="17"/>
                <w:szCs w:val="17"/>
                <w:color w:val="auto"/>
              </w:rPr>
            </w:pPr>
          </w:p>
        </w:tc>
        <w:tc>
          <w:tcPr>
            <w:tcW w:w="1260" w:type="dxa"/>
            <w:vAlign w:val="bottom"/>
            <w:gridSpan w:val="4"/>
          </w:tcPr>
          <w:p>
            <w:pPr>
              <w:ind w:left="60"/>
              <w:spacing w:after="0" w:line="201" w:lineRule="exact"/>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30"/>
        </w:trPr>
        <w:tc>
          <w:tcPr>
            <w:tcW w:w="7140" w:type="dxa"/>
            <w:vAlign w:val="bottom"/>
            <w:gridSpan w:val="2"/>
          </w:tcPr>
          <w:p>
            <w:pPr>
              <w:ind w:left="1440"/>
              <w:spacing w:after="0"/>
              <w:rPr>
                <w:sz w:val="20"/>
                <w:szCs w:val="20"/>
                <w:color w:val="auto"/>
              </w:rPr>
            </w:pPr>
            <w:r>
              <w:rPr>
                <w:rFonts w:ascii="Arial" w:cs="Arial" w:eastAsia="Arial" w:hAnsi="Arial"/>
                <w:sz w:val="18"/>
                <w:szCs w:val="18"/>
                <w:color w:val="auto"/>
              </w:rPr>
              <w:t>Measurement date</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jc w:val="right"/>
              <w:ind w:right="330"/>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ind w:left="300"/>
              <w:spacing w:after="0"/>
              <w:rPr>
                <w:sz w:val="20"/>
                <w:szCs w:val="20"/>
                <w:color w:val="auto"/>
              </w:rPr>
            </w:pPr>
            <w:r>
              <w:rPr>
                <w:rFonts w:ascii="Arial" w:cs="Arial" w:eastAsia="Arial" w:hAnsi="Arial"/>
                <w:sz w:val="18"/>
                <w:szCs w:val="18"/>
                <w:color w:val="auto"/>
              </w:rPr>
              <w:t>2018</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460" w:type="dxa"/>
            <w:vAlign w:val="bottom"/>
          </w:tcPr>
          <w:p>
            <w:pPr>
              <w:spacing w:after="0"/>
              <w:rPr>
                <w:sz w:val="24"/>
                <w:szCs w:val="24"/>
                <w:color w:val="auto"/>
              </w:rPr>
            </w:pPr>
          </w:p>
        </w:tc>
        <w:tc>
          <w:tcPr>
            <w:tcW w:w="5680" w:type="dxa"/>
            <w:vAlign w:val="bottom"/>
          </w:tcPr>
          <w:p>
            <w:pPr>
              <w:ind w:left="3960"/>
              <w:spacing w:after="0"/>
              <w:rPr>
                <w:sz w:val="20"/>
                <w:szCs w:val="20"/>
                <w:color w:val="auto"/>
              </w:rPr>
            </w:pPr>
            <w:r>
              <w:rPr>
                <w:rFonts w:ascii="Arial" w:cs="Arial" w:eastAsia="Arial" w:hAnsi="Arial"/>
                <w:sz w:val="18"/>
                <w:szCs w:val="18"/>
                <w:color w:val="auto"/>
              </w:rPr>
              <w:t>F-33</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460" w:type="dxa"/>
            <w:vAlign w:val="bottom"/>
            <w:tcBorders>
              <w:bottom w:val="single" w:sz="8" w:color="EEEEEE"/>
            </w:tcBorders>
          </w:tcPr>
          <w:p>
            <w:pPr>
              <w:spacing w:after="0"/>
              <w:rPr>
                <w:sz w:val="17"/>
                <w:szCs w:val="17"/>
                <w:color w:val="auto"/>
              </w:rPr>
            </w:pPr>
          </w:p>
        </w:tc>
        <w:tc>
          <w:tcPr>
            <w:tcW w:w="5680" w:type="dxa"/>
            <w:vAlign w:val="bottom"/>
            <w:tcBorders>
              <w:bottom w:val="single" w:sz="8" w:color="EEEEEE"/>
            </w:tcBorders>
          </w:tcPr>
          <w:p>
            <w:pPr>
              <w:spacing w:after="0"/>
              <w:rPr>
                <w:sz w:val="17"/>
                <w:szCs w:val="17"/>
                <w:color w:val="auto"/>
              </w:rPr>
            </w:pPr>
          </w:p>
        </w:tc>
        <w:tc>
          <w:tcPr>
            <w:tcW w:w="80" w:type="dxa"/>
            <w:vAlign w:val="bottom"/>
            <w:tcBorders>
              <w:bottom w:val="single" w:sz="8" w:color="EEEEEE"/>
            </w:tcBorders>
          </w:tcPr>
          <w:p>
            <w:pPr>
              <w:spacing w:after="0"/>
              <w:rPr>
                <w:sz w:val="17"/>
                <w:szCs w:val="17"/>
                <w:color w:val="auto"/>
              </w:rPr>
            </w:pPr>
          </w:p>
        </w:tc>
        <w:tc>
          <w:tcPr>
            <w:tcW w:w="80" w:type="dxa"/>
            <w:vAlign w:val="bottom"/>
            <w:tcBorders>
              <w:bottom w:val="single" w:sz="8" w:color="EEEEEE"/>
            </w:tcBorders>
          </w:tcPr>
          <w:p>
            <w:pPr>
              <w:spacing w:after="0"/>
              <w:rPr>
                <w:sz w:val="17"/>
                <w:szCs w:val="17"/>
                <w:color w:val="auto"/>
              </w:rPr>
            </w:pPr>
          </w:p>
        </w:tc>
        <w:tc>
          <w:tcPr>
            <w:tcW w:w="1120" w:type="dxa"/>
            <w:vAlign w:val="bottom"/>
            <w:tcBorders>
              <w:bottom w:val="single" w:sz="8" w:color="EEEEEE"/>
            </w:tcBorders>
          </w:tcPr>
          <w:p>
            <w:pPr>
              <w:spacing w:after="0"/>
              <w:rPr>
                <w:sz w:val="17"/>
                <w:szCs w:val="17"/>
                <w:color w:val="auto"/>
              </w:rPr>
            </w:pPr>
          </w:p>
        </w:tc>
        <w:tc>
          <w:tcPr>
            <w:tcW w:w="18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108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80" w:type="dxa"/>
            <w:vAlign w:val="bottom"/>
            <w:tcBorders>
              <w:bottom w:val="single" w:sz="8" w:color="EEEEEE"/>
            </w:tcBorders>
          </w:tcPr>
          <w:p>
            <w:pPr>
              <w:spacing w:after="0"/>
              <w:rPr>
                <w:sz w:val="17"/>
                <w:szCs w:val="17"/>
                <w:color w:val="auto"/>
              </w:rPr>
            </w:pPr>
          </w:p>
        </w:tc>
        <w:tc>
          <w:tcPr>
            <w:tcW w:w="80" w:type="dxa"/>
            <w:vAlign w:val="bottom"/>
            <w:tcBorders>
              <w:bottom w:val="single" w:sz="8" w:color="EEEEEE"/>
            </w:tcBorders>
          </w:tcPr>
          <w:p>
            <w:pPr>
              <w:spacing w:after="0"/>
              <w:rPr>
                <w:sz w:val="17"/>
                <w:szCs w:val="17"/>
                <w:color w:val="auto"/>
              </w:rPr>
            </w:pPr>
          </w:p>
        </w:tc>
        <w:tc>
          <w:tcPr>
            <w:tcW w:w="1080" w:type="dxa"/>
            <w:vAlign w:val="bottom"/>
            <w:tcBorders>
              <w:bottom w:val="single" w:sz="8" w:color="EEEEEE"/>
            </w:tcBorders>
          </w:tcPr>
          <w:p>
            <w:pPr>
              <w:spacing w:after="0"/>
              <w:rPr>
                <w:sz w:val="17"/>
                <w:szCs w:val="17"/>
                <w:color w:val="auto"/>
              </w:rPr>
            </w:pPr>
          </w:p>
        </w:tc>
        <w:tc>
          <w:tcPr>
            <w:tcW w:w="80" w:type="dxa"/>
            <w:vAlign w:val="bottom"/>
            <w:tcBorders>
              <w:bottom w:val="single" w:sz="8" w:color="EEEE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19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NOTE 13</w:t>
        <w:tab/>
        <w:t>-  EMPLOYEE RELATED LIABILITIES (Cont.)</w:t>
      </w:r>
    </w:p>
    <w:p>
      <w:pPr>
        <w:spacing w:after="0" w:line="198" w:lineRule="exact"/>
        <w:rPr>
          <w:sz w:val="20"/>
          <w:szCs w:val="20"/>
          <w:color w:val="auto"/>
        </w:rPr>
      </w:pPr>
    </w:p>
    <w:p>
      <w:pPr>
        <w:jc w:val="both"/>
        <w:ind w:left="1440" w:right="6880" w:hanging="352"/>
        <w:spacing w:after="0" w:line="548" w:lineRule="auto"/>
        <w:tabs>
          <w:tab w:leader="none" w:pos="1434" w:val="left"/>
        </w:tabs>
        <w:numPr>
          <w:ilvl w:val="0"/>
          <w:numId w:val="26"/>
        </w:numPr>
        <w:rPr>
          <w:rFonts w:ascii="Arial" w:cs="Arial" w:eastAsia="Arial" w:hAnsi="Arial"/>
          <w:sz w:val="16"/>
          <w:szCs w:val="16"/>
          <w:b w:val="1"/>
          <w:bCs w:val="1"/>
          <w:color w:val="auto"/>
        </w:rPr>
      </w:pPr>
      <w:r>
        <w:rPr>
          <w:rFonts w:ascii="Arial" w:cs="Arial" w:eastAsia="Arial" w:hAnsi="Arial"/>
          <w:sz w:val="16"/>
          <w:szCs w:val="16"/>
          <w:b w:val="1"/>
          <w:bCs w:val="1"/>
          <w:color w:val="auto"/>
        </w:rPr>
        <w:t>TSNP Employee Benefit Plans (Cont.) Post-Retirement Medical Plan (Cont.)</w:t>
      </w:r>
    </w:p>
    <w:p>
      <w:pPr>
        <w:ind w:left="1440"/>
        <w:spacing w:after="0" w:line="277" w:lineRule="auto"/>
        <w:rPr>
          <w:rFonts w:ascii="Arial" w:cs="Arial" w:eastAsia="Arial" w:hAnsi="Arial"/>
          <w:sz w:val="16"/>
          <w:szCs w:val="16"/>
          <w:b w:val="1"/>
          <w:bCs w:val="1"/>
          <w:color w:val="auto"/>
        </w:rPr>
      </w:pPr>
      <w:r>
        <w:rPr>
          <w:rFonts w:ascii="Arial" w:cs="Arial" w:eastAsia="Arial" w:hAnsi="Arial"/>
          <w:sz w:val="18"/>
          <w:szCs w:val="18"/>
          <w:color w:val="auto"/>
        </w:rPr>
        <w:t>The components of the change in benefit obligation, change in plan assets and funded status for post-retirement medical plan are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46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7"/>
          </w:tcPr>
          <w:p>
            <w:pPr>
              <w:jc w:val="right"/>
              <w:ind w:right="80"/>
              <w:spacing w:after="0"/>
              <w:rPr>
                <w:sz w:val="20"/>
                <w:szCs w:val="20"/>
                <w:color w:val="auto"/>
              </w:rPr>
            </w:pPr>
            <w:r>
              <w:rPr>
                <w:rFonts w:ascii="Arial" w:cs="Arial" w:eastAsia="Arial" w:hAnsi="Arial"/>
                <w:sz w:val="18"/>
                <w:szCs w:val="18"/>
                <w:color w:val="auto"/>
              </w:rPr>
              <w:t>Year ended December 31,</w:t>
            </w:r>
          </w:p>
        </w:tc>
        <w:tc>
          <w:tcPr>
            <w:tcW w:w="8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46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Change in medical plan related benefit obligation:</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Medical plan related benefit obligation at beginning of period</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1,689</w:t>
            </w:r>
          </w:p>
        </w:tc>
        <w:tc>
          <w:tcPr>
            <w:tcW w:w="18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1,628</w:t>
            </w:r>
          </w:p>
        </w:tc>
        <w:tc>
          <w:tcPr>
            <w:tcW w:w="120" w:type="dxa"/>
            <w:vAlign w:val="bottom"/>
          </w:tcPr>
          <w:p>
            <w:pPr>
              <w:spacing w:after="0"/>
              <w:rPr>
                <w:sz w:val="18"/>
                <w:szCs w:val="18"/>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1,936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Interest cost</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Change in medical plan provisions</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Actuarial loss (gain)</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460" w:type="dxa"/>
            <w:vAlign w:val="bottom"/>
          </w:tcPr>
          <w:p>
            <w:pPr>
              <w:spacing w:after="0"/>
              <w:rPr>
                <w:sz w:val="2"/>
                <w:szCs w:val="2"/>
                <w:color w:val="auto"/>
              </w:rPr>
            </w:pPr>
          </w:p>
        </w:tc>
        <w:tc>
          <w:tcPr>
            <w:tcW w:w="52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720" w:type="dxa"/>
            <w:vAlign w:val="bottom"/>
            <w:gridSpan w:val="2"/>
          </w:tcPr>
          <w:p>
            <w:pPr>
              <w:ind w:left="1440"/>
              <w:spacing w:after="0"/>
              <w:rPr>
                <w:sz w:val="20"/>
                <w:szCs w:val="20"/>
                <w:color w:val="auto"/>
              </w:rPr>
            </w:pPr>
            <w:r>
              <w:rPr>
                <w:rFonts w:ascii="Arial" w:cs="Arial" w:eastAsia="Arial" w:hAnsi="Arial"/>
                <w:sz w:val="18"/>
                <w:szCs w:val="18"/>
                <w:color w:val="auto"/>
              </w:rPr>
              <w:t>Benefit medical plan related obligation end of period</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1,882</w:t>
            </w:r>
          </w:p>
        </w:tc>
        <w:tc>
          <w:tcPr>
            <w:tcW w:w="18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1,689</w:t>
            </w:r>
          </w:p>
        </w:tc>
        <w:tc>
          <w:tcPr>
            <w:tcW w:w="120" w:type="dxa"/>
            <w:vAlign w:val="bottom"/>
          </w:tcPr>
          <w:p>
            <w:pPr>
              <w:spacing w:after="0"/>
              <w:rPr>
                <w:sz w:val="19"/>
                <w:szCs w:val="19"/>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1,628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Change in plan assets:</w:t>
            </w:r>
          </w:p>
        </w:tc>
        <w:tc>
          <w:tcPr>
            <w:tcW w:w="8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Fair value of plan assets at beginning of period</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Employer contribution</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gridSpan w:val="2"/>
          </w:tcPr>
          <w:p>
            <w:pPr>
              <w:ind w:left="1440"/>
              <w:spacing w:after="0"/>
              <w:rPr>
                <w:sz w:val="20"/>
                <w:szCs w:val="20"/>
                <w:color w:val="auto"/>
              </w:rPr>
            </w:pPr>
            <w:r>
              <w:rPr>
                <w:rFonts w:ascii="Arial" w:cs="Arial" w:eastAsia="Arial" w:hAnsi="Arial"/>
                <w:sz w:val="18"/>
                <w:szCs w:val="18"/>
                <w:color w:val="auto"/>
              </w:rPr>
              <w:t>Benefits paid</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460" w:type="dxa"/>
            <w:vAlign w:val="bottom"/>
          </w:tcPr>
          <w:p>
            <w:pPr>
              <w:spacing w:after="0"/>
              <w:rPr>
                <w:sz w:val="2"/>
                <w:szCs w:val="2"/>
                <w:color w:val="auto"/>
              </w:rPr>
            </w:pPr>
          </w:p>
        </w:tc>
        <w:tc>
          <w:tcPr>
            <w:tcW w:w="5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1460" w:type="dxa"/>
            <w:vAlign w:val="bottom"/>
          </w:tcPr>
          <w:p>
            <w:pPr>
              <w:spacing w:after="0"/>
              <w:rPr>
                <w:sz w:val="20"/>
                <w:szCs w:val="20"/>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plan assets at end of period</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52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20" w:type="dxa"/>
            <w:vAlign w:val="bottom"/>
            <w:gridSpan w:val="2"/>
          </w:tcPr>
          <w:p>
            <w:pPr>
              <w:ind w:left="1440"/>
              <w:spacing w:after="0" w:line="196" w:lineRule="exact"/>
              <w:rPr>
                <w:sz w:val="20"/>
                <w:szCs w:val="20"/>
                <w:color w:val="auto"/>
              </w:rPr>
            </w:pPr>
            <w:r>
              <w:rPr>
                <w:rFonts w:ascii="Arial" w:cs="Arial" w:eastAsia="Arial" w:hAnsi="Arial"/>
                <w:sz w:val="18"/>
                <w:szCs w:val="18"/>
                <w:color w:val="auto"/>
              </w:rPr>
              <w:t>Medical plan related net funding</w:t>
            </w:r>
          </w:p>
        </w:tc>
        <w:tc>
          <w:tcPr>
            <w:tcW w:w="104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(1,882)</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(1,689)</w:t>
            </w:r>
          </w:p>
        </w:tc>
        <w:tc>
          <w:tcPr>
            <w:tcW w:w="34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(1,628)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5260" w:type="dxa"/>
            <w:vAlign w:val="bottom"/>
            <w:vMerge w:val="restart"/>
          </w:tcPr>
          <w:p>
            <w:pPr>
              <w:ind w:left="3960"/>
              <w:spacing w:after="0"/>
              <w:rPr>
                <w:sz w:val="20"/>
                <w:szCs w:val="20"/>
                <w:color w:val="auto"/>
              </w:rPr>
            </w:pPr>
            <w:r>
              <w:rPr>
                <w:rFonts w:ascii="Arial" w:cs="Arial" w:eastAsia="Arial" w:hAnsi="Arial"/>
                <w:sz w:val="18"/>
                <w:szCs w:val="18"/>
                <w:color w:val="auto"/>
              </w:rPr>
              <w:t>F-34</w:t>
            </w:r>
          </w:p>
        </w:tc>
        <w:tc>
          <w:tcPr>
            <w:tcW w:w="8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460" w:type="dxa"/>
            <w:vAlign w:val="bottom"/>
          </w:tcPr>
          <w:p>
            <w:pPr>
              <w:spacing w:after="0"/>
              <w:rPr>
                <w:sz w:val="24"/>
                <w:szCs w:val="24"/>
                <w:color w:val="auto"/>
              </w:rPr>
            </w:pPr>
          </w:p>
        </w:tc>
        <w:tc>
          <w:tcPr>
            <w:tcW w:w="526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460" w:type="dxa"/>
            <w:vAlign w:val="bottom"/>
            <w:tcBorders>
              <w:bottom w:val="single" w:sz="8" w:color="EEEEEE"/>
            </w:tcBorders>
          </w:tcPr>
          <w:p>
            <w:pPr>
              <w:spacing w:after="0"/>
              <w:rPr>
                <w:sz w:val="17"/>
                <w:szCs w:val="17"/>
                <w:color w:val="auto"/>
              </w:rPr>
            </w:pPr>
          </w:p>
        </w:tc>
        <w:tc>
          <w:tcPr>
            <w:tcW w:w="5260" w:type="dxa"/>
            <w:vAlign w:val="bottom"/>
            <w:tcBorders>
              <w:bottom w:val="single" w:sz="8" w:color="EEEEEE"/>
            </w:tcBorders>
          </w:tcPr>
          <w:p>
            <w:pPr>
              <w:spacing w:after="0"/>
              <w:rPr>
                <w:sz w:val="17"/>
                <w:szCs w:val="17"/>
                <w:color w:val="auto"/>
              </w:rPr>
            </w:pPr>
          </w:p>
        </w:tc>
        <w:tc>
          <w:tcPr>
            <w:tcW w:w="820" w:type="dxa"/>
            <w:vAlign w:val="bottom"/>
            <w:tcBorders>
              <w:bottom w:val="single" w:sz="8" w:color="EEEEEE"/>
            </w:tcBorders>
          </w:tcPr>
          <w:p>
            <w:pPr>
              <w:spacing w:after="0"/>
              <w:rPr>
                <w:sz w:val="17"/>
                <w:szCs w:val="17"/>
                <w:color w:val="auto"/>
              </w:rPr>
            </w:pPr>
          </w:p>
        </w:tc>
        <w:tc>
          <w:tcPr>
            <w:tcW w:w="220" w:type="dxa"/>
            <w:vAlign w:val="bottom"/>
            <w:tcBorders>
              <w:bottom w:val="single" w:sz="8" w:color="EEEEEE"/>
            </w:tcBorders>
          </w:tcPr>
          <w:p>
            <w:pPr>
              <w:spacing w:after="0"/>
              <w:rPr>
                <w:sz w:val="17"/>
                <w:szCs w:val="17"/>
                <w:color w:val="auto"/>
              </w:rPr>
            </w:pPr>
          </w:p>
        </w:tc>
        <w:tc>
          <w:tcPr>
            <w:tcW w:w="880" w:type="dxa"/>
            <w:vAlign w:val="bottom"/>
            <w:tcBorders>
              <w:bottom w:val="single" w:sz="8" w:color="EEEEEE"/>
            </w:tcBorders>
          </w:tcPr>
          <w:p>
            <w:pPr>
              <w:spacing w:after="0"/>
              <w:rPr>
                <w:sz w:val="17"/>
                <w:szCs w:val="17"/>
                <w:color w:val="auto"/>
              </w:rPr>
            </w:pPr>
          </w:p>
        </w:tc>
        <w:tc>
          <w:tcPr>
            <w:tcW w:w="180" w:type="dxa"/>
            <w:vAlign w:val="bottom"/>
            <w:tcBorders>
              <w:bottom w:val="single" w:sz="8" w:color="EEEEEE"/>
            </w:tcBorders>
          </w:tcPr>
          <w:p>
            <w:pPr>
              <w:spacing w:after="0"/>
              <w:rPr>
                <w:sz w:val="17"/>
                <w:szCs w:val="17"/>
                <w:color w:val="auto"/>
              </w:rPr>
            </w:pPr>
          </w:p>
        </w:tc>
        <w:tc>
          <w:tcPr>
            <w:tcW w:w="220" w:type="dxa"/>
            <w:vAlign w:val="bottom"/>
            <w:tcBorders>
              <w:bottom w:val="single" w:sz="8" w:color="EEEEEE"/>
            </w:tcBorders>
          </w:tcPr>
          <w:p>
            <w:pPr>
              <w:spacing w:after="0"/>
              <w:rPr>
                <w:sz w:val="17"/>
                <w:szCs w:val="17"/>
                <w:color w:val="auto"/>
              </w:rPr>
            </w:pPr>
          </w:p>
        </w:tc>
        <w:tc>
          <w:tcPr>
            <w:tcW w:w="84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80" w:type="dxa"/>
            <w:vAlign w:val="bottom"/>
            <w:tcBorders>
              <w:bottom w:val="single" w:sz="8" w:color="EEEEEE"/>
            </w:tcBorders>
          </w:tcPr>
          <w:p>
            <w:pPr>
              <w:spacing w:after="0"/>
              <w:rPr>
                <w:sz w:val="17"/>
                <w:szCs w:val="17"/>
                <w:color w:val="auto"/>
              </w:rPr>
            </w:pPr>
          </w:p>
        </w:tc>
        <w:tc>
          <w:tcPr>
            <w:tcW w:w="260" w:type="dxa"/>
            <w:vAlign w:val="bottom"/>
            <w:tcBorders>
              <w:bottom w:val="single" w:sz="8" w:color="EEEEEE"/>
            </w:tcBorders>
          </w:tcPr>
          <w:p>
            <w:pPr>
              <w:spacing w:after="0"/>
              <w:rPr>
                <w:sz w:val="17"/>
                <w:szCs w:val="17"/>
                <w:color w:val="auto"/>
              </w:rPr>
            </w:pPr>
          </w:p>
        </w:tc>
        <w:tc>
          <w:tcPr>
            <w:tcW w:w="800" w:type="dxa"/>
            <w:vAlign w:val="bottom"/>
            <w:tcBorders>
              <w:bottom w:val="single" w:sz="8" w:color="EEEEEE"/>
            </w:tcBorders>
          </w:tcPr>
          <w:p>
            <w:pPr>
              <w:spacing w:after="0"/>
              <w:rPr>
                <w:sz w:val="17"/>
                <w:szCs w:val="17"/>
                <w:color w:val="auto"/>
              </w:rPr>
            </w:pPr>
          </w:p>
        </w:tc>
        <w:tc>
          <w:tcPr>
            <w:tcW w:w="80" w:type="dxa"/>
            <w:vAlign w:val="bottom"/>
            <w:tcBorders>
              <w:bottom w:val="single" w:sz="8" w:color="EEEE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40" w:type="dxa"/>
            <w:vAlign w:val="bottom"/>
            <w:gridSpan w:val="2"/>
          </w:tcPr>
          <w:p>
            <w:pPr>
              <w:spacing w:after="0"/>
              <w:rPr>
                <w:sz w:val="20"/>
                <w:szCs w:val="20"/>
                <w:color w:val="auto"/>
              </w:rPr>
            </w:pPr>
            <w:r>
              <w:rPr>
                <w:rFonts w:ascii="Arial" w:cs="Arial" w:eastAsia="Arial" w:hAnsi="Arial"/>
                <w:sz w:val="18"/>
                <w:szCs w:val="18"/>
                <w:b w:val="1"/>
                <w:bCs w:val="1"/>
                <w:color w:val="auto"/>
              </w:rPr>
              <w:t>NOTE 13  -  EMPLOYEE RELATED LIABILITIES (Cont.)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05"/>
        </w:trPr>
        <w:tc>
          <w:tcPr>
            <w:tcW w:w="7040" w:type="dxa"/>
            <w:vAlign w:val="bottom"/>
            <w:gridSpan w:val="2"/>
          </w:tcPr>
          <w:p>
            <w:pPr>
              <w:ind w:left="1080"/>
              <w:spacing w:after="0"/>
              <w:rPr>
                <w:sz w:val="20"/>
                <w:szCs w:val="20"/>
                <w:color w:val="auto"/>
              </w:rPr>
            </w:pPr>
            <w:r>
              <w:rPr>
                <w:rFonts w:ascii="Arial" w:cs="Arial" w:eastAsia="Arial" w:hAnsi="Arial"/>
                <w:sz w:val="18"/>
                <w:szCs w:val="18"/>
                <w:b w:val="1"/>
                <w:bCs w:val="1"/>
                <w:color w:val="auto"/>
              </w:rPr>
              <w:t>B.  TSNP Employee Benefit Plans (Cont.)</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8"/>
        </w:trPr>
        <w:tc>
          <w:tcPr>
            <w:tcW w:w="7040" w:type="dxa"/>
            <w:vAlign w:val="bottom"/>
            <w:gridSpan w:val="2"/>
          </w:tcPr>
          <w:p>
            <w:pPr>
              <w:ind w:left="1440"/>
              <w:spacing w:after="0"/>
              <w:rPr>
                <w:sz w:val="20"/>
                <w:szCs w:val="20"/>
                <w:color w:val="auto"/>
              </w:rPr>
            </w:pPr>
            <w:r>
              <w:rPr>
                <w:rFonts w:ascii="Arial" w:cs="Arial" w:eastAsia="Arial" w:hAnsi="Arial"/>
                <w:sz w:val="18"/>
                <w:szCs w:val="18"/>
                <w:b w:val="1"/>
                <w:bCs w:val="1"/>
                <w:color w:val="auto"/>
              </w:rPr>
              <w:t>Post-Retirement Medical Plan (Cont.)</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98"/>
        </w:trPr>
        <w:tc>
          <w:tcPr>
            <w:tcW w:w="146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color w:val="auto"/>
                <w:w w:val="98"/>
              </w:rPr>
              <w:t>As of December 31,</w:t>
            </w: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23"/>
        </w:trPr>
        <w:tc>
          <w:tcPr>
            <w:tcW w:w="146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2019</w:t>
            </w:r>
          </w:p>
        </w:tc>
        <w:tc>
          <w:tcPr>
            <w:tcW w:w="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160" w:type="dxa"/>
            <w:vAlign w:val="bottom"/>
          </w:tcPr>
          <w:p>
            <w:pPr>
              <w:spacing w:after="0"/>
              <w:rPr>
                <w:sz w:val="19"/>
                <w:szCs w:val="19"/>
                <w:color w:val="auto"/>
              </w:rPr>
            </w:pPr>
          </w:p>
        </w:tc>
      </w:tr>
      <w:tr>
        <w:trPr>
          <w:trHeight w:val="216"/>
        </w:trPr>
        <w:tc>
          <w:tcPr>
            <w:tcW w:w="146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Amounts recognized in statement of financial position:</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Current liabilities</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10"/>
              <w:spacing w:after="0"/>
              <w:rPr>
                <w:sz w:val="20"/>
                <w:szCs w:val="20"/>
                <w:color w:val="auto"/>
              </w:rPr>
            </w:pPr>
            <w:r>
              <w:rPr>
                <w:rFonts w:ascii="Arial" w:cs="Arial" w:eastAsia="Arial" w:hAnsi="Arial"/>
                <w:sz w:val="18"/>
                <w:szCs w:val="18"/>
                <w:color w:val="auto"/>
              </w:rPr>
              <w:t>(62)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(50)</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r>
      <w:tr>
        <w:trPr>
          <w:trHeight w:val="216"/>
        </w:trPr>
        <w:tc>
          <w:tcPr>
            <w:tcW w:w="146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(1,820)</w:t>
            </w:r>
          </w:p>
        </w:tc>
        <w:tc>
          <w:tcPr>
            <w:tcW w:w="12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(1,639)</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(1,563)</w:t>
            </w:r>
          </w:p>
        </w:tc>
      </w:tr>
      <w:tr>
        <w:trPr>
          <w:trHeight w:val="27"/>
        </w:trPr>
        <w:tc>
          <w:tcPr>
            <w:tcW w:w="1460" w:type="dxa"/>
            <w:vAlign w:val="bottom"/>
          </w:tcPr>
          <w:p>
            <w:pPr>
              <w:spacing w:after="0"/>
              <w:rPr>
                <w:sz w:val="2"/>
                <w:szCs w:val="2"/>
                <w:color w:val="auto"/>
              </w:rPr>
            </w:pPr>
          </w:p>
        </w:tc>
        <w:tc>
          <w:tcPr>
            <w:tcW w:w="55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2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16"/>
        </w:trPr>
        <w:tc>
          <w:tcPr>
            <w:tcW w:w="7040" w:type="dxa"/>
            <w:vAlign w:val="bottom"/>
            <w:gridSpan w:val="2"/>
          </w:tcPr>
          <w:p>
            <w:pPr>
              <w:ind w:left="1440"/>
              <w:spacing w:after="0"/>
              <w:rPr>
                <w:sz w:val="20"/>
                <w:szCs w:val="20"/>
                <w:color w:val="auto"/>
              </w:rPr>
            </w:pPr>
            <w:r>
              <w:rPr>
                <w:rFonts w:ascii="Arial" w:cs="Arial" w:eastAsia="Arial" w:hAnsi="Arial"/>
                <w:sz w:val="18"/>
                <w:szCs w:val="18"/>
                <w:color w:val="auto"/>
              </w:rPr>
              <w:t>Net amount recognized</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10"/>
              <w:spacing w:after="0"/>
              <w:rPr>
                <w:sz w:val="20"/>
                <w:szCs w:val="20"/>
                <w:color w:val="auto"/>
              </w:rPr>
            </w:pPr>
            <w:r>
              <w:rPr>
                <w:rFonts w:ascii="Arial" w:cs="Arial" w:eastAsia="Arial" w:hAnsi="Arial"/>
                <w:sz w:val="18"/>
                <w:szCs w:val="18"/>
                <w:color w:val="auto"/>
              </w:rPr>
              <w:t>(1,882)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(1,689)</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(1,628)</w:t>
            </w:r>
          </w:p>
        </w:tc>
      </w:tr>
      <w:tr>
        <w:trPr>
          <w:trHeight w:val="20"/>
        </w:trPr>
        <w:tc>
          <w:tcPr>
            <w:tcW w:w="146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1460" w:type="dxa"/>
            <w:vAlign w:val="bottom"/>
          </w:tcPr>
          <w:p>
            <w:pPr>
              <w:spacing w:after="0"/>
              <w:rPr>
                <w:sz w:val="17"/>
                <w:szCs w:val="17"/>
                <w:color w:val="auto"/>
              </w:rPr>
            </w:pPr>
          </w:p>
        </w:tc>
        <w:tc>
          <w:tcPr>
            <w:tcW w:w="5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 average assumptions used:</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146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Discount rate</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3.40%</w:t>
            </w:r>
          </w:p>
        </w:tc>
        <w:tc>
          <w:tcPr>
            <w:tcW w:w="16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4.50%</w:t>
            </w:r>
          </w:p>
        </w:tc>
      </w:tr>
      <w:tr>
        <w:trPr>
          <w:trHeight w:val="216"/>
        </w:trPr>
        <w:tc>
          <w:tcPr>
            <w:tcW w:w="146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Rate of compensation increases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r>
      <w:tr>
        <w:trPr>
          <w:trHeight w:val="216"/>
        </w:trPr>
        <w:tc>
          <w:tcPr>
            <w:tcW w:w="146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Assumed health care cost trend rates: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2"/>
        </w:trPr>
        <w:tc>
          <w:tcPr>
            <w:tcW w:w="1460" w:type="dxa"/>
            <w:vAlign w:val="bottom"/>
          </w:tcPr>
          <w:p>
            <w:pPr>
              <w:spacing w:after="0"/>
              <w:rPr>
                <w:sz w:val="17"/>
                <w:szCs w:val="17"/>
                <w:color w:val="auto"/>
              </w:rPr>
            </w:pPr>
          </w:p>
        </w:tc>
        <w:tc>
          <w:tcPr>
            <w:tcW w:w="5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Health care cost trend rate assumed for next year (pre 65/ post 65 Medicare</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1460" w:type="dxa"/>
            <w:vAlign w:val="bottom"/>
          </w:tcPr>
          <w:p>
            <w:pPr>
              <w:spacing w:after="0"/>
              <w:rPr>
                <w:sz w:val="20"/>
                <w:szCs w:val="20"/>
                <w:color w:val="auto"/>
              </w:rPr>
            </w:pPr>
          </w:p>
        </w:tc>
        <w:tc>
          <w:tcPr>
            <w:tcW w:w="5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Advantage)</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5"/>
              </w:rPr>
              <w:t>6.00%/6.50%</w:t>
            </w:r>
          </w:p>
        </w:tc>
        <w:tc>
          <w:tcPr>
            <w:tcW w:w="120" w:type="dxa"/>
            <w:vAlign w:val="bottom"/>
            <w:shd w:val="clear" w:color="auto" w:fill="CCEEFF"/>
          </w:tcPr>
          <w:p>
            <w:pPr>
              <w:spacing w:after="0"/>
              <w:rPr>
                <w:sz w:val="20"/>
                <w:szCs w:val="20"/>
                <w:color w:val="auto"/>
              </w:rPr>
            </w:pPr>
          </w:p>
        </w:tc>
        <w:tc>
          <w:tcPr>
            <w:tcW w:w="1260" w:type="dxa"/>
            <w:vAlign w:val="bottom"/>
            <w:tcBorders>
              <w:right w:val="single" w:sz="8" w:color="CCEEFF"/>
            </w:tcBorders>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2"/>
              </w:rPr>
              <w:t>6.20%/(5.00)%</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6.90%/13.10%</w:t>
            </w:r>
          </w:p>
        </w:tc>
      </w:tr>
      <w:tr>
        <w:trPr>
          <w:trHeight w:val="202"/>
        </w:trPr>
        <w:tc>
          <w:tcPr>
            <w:tcW w:w="1460" w:type="dxa"/>
            <w:vAlign w:val="bottom"/>
          </w:tcPr>
          <w:p>
            <w:pPr>
              <w:spacing w:after="0"/>
              <w:rPr>
                <w:sz w:val="17"/>
                <w:szCs w:val="17"/>
                <w:color w:val="auto"/>
              </w:rPr>
            </w:pPr>
          </w:p>
        </w:tc>
        <w:tc>
          <w:tcPr>
            <w:tcW w:w="5580" w:type="dxa"/>
            <w:vAlign w:val="bottom"/>
          </w:tcPr>
          <w:p>
            <w:pPr>
              <w:spacing w:after="0" w:line="201" w:lineRule="exact"/>
              <w:rPr>
                <w:sz w:val="20"/>
                <w:szCs w:val="20"/>
                <w:color w:val="auto"/>
              </w:rPr>
            </w:pPr>
            <w:r>
              <w:rPr>
                <w:rFonts w:ascii="Arial" w:cs="Arial" w:eastAsia="Arial" w:hAnsi="Arial"/>
                <w:sz w:val="18"/>
                <w:szCs w:val="18"/>
                <w:color w:val="auto"/>
                <w:w w:val="97"/>
              </w:rPr>
              <w:t>Health care cost trend rate assumed for next year (pre 65/ post 65 Non-</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1460" w:type="dxa"/>
            <w:vAlign w:val="bottom"/>
          </w:tcPr>
          <w:p>
            <w:pPr>
              <w:spacing w:after="0"/>
              <w:rPr>
                <w:sz w:val="20"/>
                <w:szCs w:val="20"/>
                <w:color w:val="auto"/>
              </w:rPr>
            </w:pPr>
          </w:p>
        </w:tc>
        <w:tc>
          <w:tcPr>
            <w:tcW w:w="5580" w:type="dxa"/>
            <w:vAlign w:val="bottom"/>
          </w:tcPr>
          <w:p>
            <w:pPr>
              <w:ind w:left="140"/>
              <w:spacing w:after="0"/>
              <w:rPr>
                <w:sz w:val="20"/>
                <w:szCs w:val="20"/>
                <w:color w:val="auto"/>
              </w:rPr>
            </w:pPr>
            <w:r>
              <w:rPr>
                <w:rFonts w:ascii="Arial" w:cs="Arial" w:eastAsia="Arial" w:hAnsi="Arial"/>
                <w:sz w:val="18"/>
                <w:szCs w:val="18"/>
                <w:color w:val="auto"/>
              </w:rPr>
              <w:t>Medicare Advantage)</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w w:val="95"/>
              </w:rPr>
              <w:t>6.00%/6.50%</w:t>
            </w:r>
          </w:p>
        </w:tc>
        <w:tc>
          <w:tcPr>
            <w:tcW w:w="120" w:type="dxa"/>
            <w:vAlign w:val="bottom"/>
          </w:tcPr>
          <w:p>
            <w:pPr>
              <w:spacing w:after="0"/>
              <w:rPr>
                <w:sz w:val="20"/>
                <w:szCs w:val="20"/>
                <w:color w:val="auto"/>
              </w:rPr>
            </w:pPr>
          </w:p>
        </w:tc>
        <w:tc>
          <w:tcPr>
            <w:tcW w:w="126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6.20%/6.10%</w:t>
            </w:r>
          </w:p>
        </w:tc>
        <w:tc>
          <w:tcPr>
            <w:tcW w:w="16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6.90%/7.90%</w:t>
            </w:r>
          </w:p>
        </w:tc>
      </w:tr>
      <w:tr>
        <w:trPr>
          <w:trHeight w:val="216"/>
        </w:trPr>
        <w:tc>
          <w:tcPr>
            <w:tcW w:w="146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Ultimate rate (pre 65/ post 65)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5"/>
              </w:rPr>
              <w:t>4.50%/4.50%</w:t>
            </w:r>
          </w:p>
        </w:tc>
        <w:tc>
          <w:tcPr>
            <w:tcW w:w="12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1"/>
              </w:rPr>
              <w:t>4.50%/4.50%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4.50%/4.50%</w:t>
            </w:r>
          </w:p>
        </w:tc>
      </w:tr>
      <w:tr>
        <w:trPr>
          <w:trHeight w:val="230"/>
        </w:trPr>
        <w:tc>
          <w:tcPr>
            <w:tcW w:w="1460" w:type="dxa"/>
            <w:vAlign w:val="bottom"/>
          </w:tcPr>
          <w:p>
            <w:pPr>
              <w:spacing w:after="0"/>
              <w:rPr>
                <w:sz w:val="20"/>
                <w:szCs w:val="20"/>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Year the ultimate rate is reached (pre 65/ post 65)</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2029/2029</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2029/2029</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2029/2029</w:t>
            </w:r>
          </w:p>
        </w:tc>
        <w:tc>
          <w:tcPr>
            <w:tcW w:w="160" w:type="dxa"/>
            <w:vAlign w:val="bottom"/>
          </w:tcPr>
          <w:p>
            <w:pPr>
              <w:spacing w:after="0"/>
              <w:rPr>
                <w:sz w:val="20"/>
                <w:szCs w:val="20"/>
                <w:color w:val="auto"/>
              </w:rPr>
            </w:pPr>
          </w:p>
        </w:tc>
      </w:tr>
    </w:tbl>
    <w:p>
      <w:pPr>
        <w:spacing w:after="0" w:line="174" w:lineRule="exact"/>
        <w:rPr>
          <w:sz w:val="20"/>
          <w:szCs w:val="20"/>
          <w:color w:val="auto"/>
        </w:rPr>
      </w:pPr>
    </w:p>
    <w:p>
      <w:pPr>
        <w:jc w:val="both"/>
        <w:ind w:left="1440" w:right="20"/>
        <w:spacing w:after="0" w:line="277" w:lineRule="auto"/>
        <w:rPr>
          <w:sz w:val="20"/>
          <w:szCs w:val="20"/>
          <w:color w:val="auto"/>
        </w:rPr>
      </w:pPr>
      <w:r>
        <w:rPr>
          <w:rFonts w:ascii="Arial" w:cs="Arial" w:eastAsia="Arial" w:hAnsi="Arial"/>
          <w:sz w:val="18"/>
          <w:szCs w:val="18"/>
          <w:color w:val="auto"/>
        </w:rPr>
        <w:t>The following benefit payments are expected to be paid in each of the next five fiscal years and in the aggregate for the five fiscal years thereafter:</w:t>
      </w:r>
    </w:p>
    <w:p>
      <w:pPr>
        <w:spacing w:after="0" w:line="130" w:lineRule="exact"/>
        <w:rPr>
          <w:sz w:val="20"/>
          <w:szCs w:val="20"/>
          <w:color w:val="auto"/>
        </w:rPr>
      </w:pPr>
    </w:p>
    <w:tbl>
      <w:tblPr>
        <w:tblLayout w:type="fixed"/>
        <w:tblInd w:w="1440" w:type="dxa"/>
        <w:tblCellMar>
          <w:top w:w="0" w:type="dxa"/>
          <w:left w:w="0" w:type="dxa"/>
          <w:bottom w:w="0" w:type="dxa"/>
          <w:right w:w="0" w:type="dxa"/>
        </w:tblCellMar>
      </w:tblPr>
      <w:tr>
        <w:trPr>
          <w:trHeight w:val="237"/>
        </w:trPr>
        <w:tc>
          <w:tcPr>
            <w:tcW w:w="83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Fiscal Year</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0"/>
              </w:rPr>
              <w:t>Other Benefits</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2026-2030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0"/>
                <w:szCs w:val="20"/>
                <w:color w:val="auto"/>
              </w:rPr>
            </w:pPr>
          </w:p>
        </w:tc>
      </w:tr>
    </w:tbl>
    <w:p>
      <w:pPr>
        <w:spacing w:after="0" w:line="174"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Description of Significant Gains and Losses in Obligations:</w:t>
      </w:r>
    </w:p>
    <w:p>
      <w:pPr>
        <w:spacing w:after="0" w:line="212" w:lineRule="exact"/>
        <w:rPr>
          <w:sz w:val="20"/>
          <w:szCs w:val="20"/>
          <w:color w:val="auto"/>
        </w:rPr>
      </w:pPr>
    </w:p>
    <w:p>
      <w:pPr>
        <w:jc w:val="both"/>
        <w:ind w:left="1440"/>
        <w:spacing w:after="0" w:line="259" w:lineRule="auto"/>
        <w:rPr>
          <w:sz w:val="20"/>
          <w:szCs w:val="20"/>
          <w:color w:val="auto"/>
        </w:rPr>
      </w:pPr>
      <w:r>
        <w:rPr>
          <w:rFonts w:ascii="Arial" w:cs="Arial" w:eastAsia="Arial" w:hAnsi="Arial"/>
          <w:sz w:val="18"/>
          <w:szCs w:val="18"/>
          <w:color w:val="auto"/>
        </w:rPr>
        <w:t>For Fiscal Year Ended December 31, 2020, the benefit obligation experienced a net actuarial loss that was primarily attributable to the discount rate decrease to 2.80%, compared to 3.40% in the prior year. For Fiscal Year Ended December 31, 2019, the benefit obligation experienced a net actuarial loss that was primarily attributable to the discount rate decrease to 3.40%, compared to 4.50% in the prior year.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19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NOTE 13</w:t>
        <w:tab/>
        <w:t>-  EMPLOYEE RELATED LIABILITIES (Cont.)</w:t>
      </w:r>
    </w:p>
    <w:p>
      <w:pPr>
        <w:spacing w:after="0" w:line="198" w:lineRule="exact"/>
        <w:rPr>
          <w:sz w:val="20"/>
          <w:szCs w:val="20"/>
          <w:color w:val="auto"/>
        </w:rPr>
      </w:pPr>
    </w:p>
    <w:p>
      <w:pPr>
        <w:ind w:left="1440" w:right="6880" w:hanging="352"/>
        <w:spacing w:after="0" w:line="487" w:lineRule="auto"/>
        <w:tabs>
          <w:tab w:leader="none" w:pos="1434"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TSNP Employee Benefit Plans (Cont.) TSNP Pension Plan</w:t>
      </w:r>
    </w:p>
    <w:p>
      <w:pPr>
        <w:jc w:val="both"/>
        <w:ind w:left="144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TSNP has a pension plan that provides for monthly pension payments to eligible employees upon retirement. The pension benefits are based on years of service and specified benefit amounts. TSNP uses a December 31 measurement date. TSNP’s funding policy is to make contributions that satisfy at least the minimum required contribution for IRS qualified plans.</w:t>
      </w:r>
    </w:p>
    <w:p>
      <w:pPr>
        <w:spacing w:after="0" w:line="138" w:lineRule="exact"/>
        <w:rPr>
          <w:rFonts w:ascii="Arial" w:cs="Arial" w:eastAsia="Arial" w:hAnsi="Arial"/>
          <w:sz w:val="18"/>
          <w:szCs w:val="18"/>
          <w:b w:val="1"/>
          <w:bCs w:val="1"/>
          <w:color w:val="auto"/>
        </w:rPr>
      </w:pPr>
    </w:p>
    <w:p>
      <w:pPr>
        <w:ind w:left="14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components of the change in benefit obligation, the change in plan assets and funded status for TSNP’s pension plan are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46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color w:val="auto"/>
              </w:rPr>
              <w:t>Year ended December 31,</w:t>
            </w:r>
          </w:p>
        </w:tc>
        <w:tc>
          <w:tcPr>
            <w:tcW w:w="8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46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2019</w:t>
            </w:r>
          </w:p>
        </w:tc>
        <w:tc>
          <w:tcPr>
            <w:tcW w:w="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2018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Net periodic benefit cost: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Interest cost</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687</w:t>
            </w:r>
          </w:p>
        </w:tc>
        <w:tc>
          <w:tcPr>
            <w:tcW w:w="1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817</w:t>
            </w:r>
          </w:p>
        </w:tc>
        <w:tc>
          <w:tcPr>
            <w:tcW w:w="18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749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(909)</w:t>
            </w:r>
          </w:p>
        </w:tc>
        <w:tc>
          <w:tcPr>
            <w:tcW w:w="22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(930)</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Expected Administrative Expenses</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costs</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280" w:type="dxa"/>
            <w:vAlign w:val="bottom"/>
            <w:gridSpan w:val="2"/>
          </w:tcPr>
          <w:p>
            <w:pPr>
              <w:ind w:left="1440"/>
              <w:spacing w:after="0"/>
              <w:rPr>
                <w:sz w:val="20"/>
                <w:szCs w:val="20"/>
                <w:color w:val="auto"/>
              </w:rPr>
            </w:pPr>
            <w:r>
              <w:rPr>
                <w:rFonts w:ascii="Arial" w:cs="Arial" w:eastAsia="Arial" w:hAnsi="Arial"/>
                <w:sz w:val="18"/>
                <w:szCs w:val="18"/>
                <w:color w:val="auto"/>
              </w:rPr>
              <w:t>Amortization of net loss (gain)</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1460" w:type="dxa"/>
            <w:vAlign w:val="bottom"/>
          </w:tcPr>
          <w:p>
            <w:pPr>
              <w:spacing w:after="0"/>
              <w:rPr>
                <w:sz w:val="22"/>
                <w:szCs w:val="22"/>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Total net periodic benefit cost</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(675)</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1460" w:type="dxa"/>
            <w:vAlign w:val="bottom"/>
          </w:tcPr>
          <w:p>
            <w:pPr>
              <w:spacing w:after="0"/>
              <w:rPr>
                <w:sz w:val="15"/>
                <w:szCs w:val="15"/>
                <w:color w:val="auto"/>
              </w:rPr>
            </w:pPr>
          </w:p>
        </w:tc>
        <w:tc>
          <w:tcPr>
            <w:tcW w:w="5820" w:type="dxa"/>
            <w:vAlign w:val="bottom"/>
            <w:tcBorders>
              <w:top w:val="single" w:sz="8" w:color="CCEEFF"/>
            </w:tcBorders>
          </w:tcPr>
          <w:p>
            <w:pPr>
              <w:spacing w:after="0" w:line="182" w:lineRule="exact"/>
              <w:rPr>
                <w:sz w:val="20"/>
                <w:szCs w:val="20"/>
                <w:color w:val="auto"/>
              </w:rPr>
            </w:pPr>
            <w:r>
              <w:rPr>
                <w:rFonts w:ascii="Arial" w:cs="Arial" w:eastAsia="Arial" w:hAnsi="Arial"/>
                <w:sz w:val="18"/>
                <w:szCs w:val="18"/>
                <w:color w:val="auto"/>
                <w:w w:val="99"/>
              </w:rPr>
              <w:t>Other changes in plan assets and benefits obligations recognized in other</w:t>
            </w:r>
          </w:p>
        </w:tc>
        <w:tc>
          <w:tcPr>
            <w:tcW w:w="26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p>
        </w:tc>
        <w:tc>
          <w:tcPr>
            <w:tcW w:w="5820" w:type="dxa"/>
            <w:vAlign w:val="bottom"/>
          </w:tcPr>
          <w:p>
            <w:pPr>
              <w:ind w:left="140"/>
              <w:spacing w:after="0"/>
              <w:rPr>
                <w:sz w:val="20"/>
                <w:szCs w:val="20"/>
                <w:color w:val="auto"/>
              </w:rPr>
            </w:pPr>
            <w:r>
              <w:rPr>
                <w:rFonts w:ascii="Arial" w:cs="Arial" w:eastAsia="Arial" w:hAnsi="Arial"/>
                <w:sz w:val="18"/>
                <w:szCs w:val="18"/>
                <w:color w:val="auto"/>
              </w:rPr>
              <w:t>comprehensive income:</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Prior service cost for the period</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Net loss (gain) for the period</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1,158</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costs</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gridSpan w:val="2"/>
          </w:tcPr>
          <w:p>
            <w:pPr>
              <w:ind w:left="1440"/>
              <w:spacing w:after="0"/>
              <w:rPr>
                <w:sz w:val="20"/>
                <w:szCs w:val="20"/>
                <w:color w:val="auto"/>
              </w:rPr>
            </w:pPr>
            <w:r>
              <w:rPr>
                <w:rFonts w:ascii="Arial" w:cs="Arial" w:eastAsia="Arial" w:hAnsi="Arial"/>
                <w:sz w:val="18"/>
                <w:szCs w:val="18"/>
                <w:color w:val="auto"/>
              </w:rPr>
              <w:t>Amortization of net gain (loss)</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460" w:type="dxa"/>
            <w:vAlign w:val="bottom"/>
          </w:tcPr>
          <w:p>
            <w:pPr>
              <w:spacing w:after="0"/>
              <w:rPr>
                <w:sz w:val="2"/>
                <w:szCs w:val="2"/>
                <w:color w:val="auto"/>
              </w:rPr>
            </w:pPr>
          </w:p>
        </w:tc>
        <w:tc>
          <w:tcPr>
            <w:tcW w:w="5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1460" w:type="dxa"/>
            <w:vAlign w:val="bottom"/>
          </w:tcPr>
          <w:p>
            <w:pPr>
              <w:spacing w:after="0"/>
              <w:rPr>
                <w:sz w:val="20"/>
                <w:szCs w:val="20"/>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Total recognized in other comprehensive income (loss)</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8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180" w:type="dxa"/>
            <w:vAlign w:val="bottom"/>
            <w:tcBorders>
              <w:right w:val="single" w:sz="8" w:color="CCEEFF"/>
            </w:tcBorders>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(234)</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460" w:type="dxa"/>
            <w:vAlign w:val="bottom"/>
            <w:vMerge w:val="restart"/>
          </w:tcPr>
          <w:p>
            <w:pPr>
              <w:spacing w:after="0" w:line="20" w:lineRule="exact"/>
              <w:rPr>
                <w:sz w:val="1"/>
                <w:szCs w:val="1"/>
                <w:color w:val="auto"/>
              </w:rPr>
            </w:pPr>
          </w:p>
        </w:tc>
        <w:tc>
          <w:tcPr>
            <w:tcW w:w="58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460" w:type="dxa"/>
            <w:vAlign w:val="bottom"/>
            <w:vMerge w:val="continue"/>
          </w:tcPr>
          <w:p>
            <w:pPr>
              <w:spacing w:after="0"/>
              <w:rPr>
                <w:sz w:val="15"/>
                <w:szCs w:val="15"/>
                <w:color w:val="auto"/>
              </w:rPr>
            </w:pPr>
          </w:p>
        </w:tc>
        <w:tc>
          <w:tcPr>
            <w:tcW w:w="5820" w:type="dxa"/>
            <w:vAlign w:val="bottom"/>
          </w:tcPr>
          <w:p>
            <w:pPr>
              <w:spacing w:after="0" w:line="182" w:lineRule="exact"/>
              <w:rPr>
                <w:sz w:val="20"/>
                <w:szCs w:val="20"/>
                <w:color w:val="auto"/>
              </w:rPr>
            </w:pPr>
            <w:r>
              <w:rPr>
                <w:rFonts w:ascii="Arial" w:cs="Arial" w:eastAsia="Arial" w:hAnsi="Arial"/>
                <w:sz w:val="18"/>
                <w:szCs w:val="18"/>
                <w:color w:val="auto"/>
                <w:w w:val="93"/>
              </w:rPr>
              <w:t>Total recognized in net periodic benefit cost and other comprehensive income</w:t>
            </w:r>
          </w:p>
        </w:tc>
        <w:tc>
          <w:tcPr>
            <w:tcW w:w="4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15"/>
                <w:szCs w:val="15"/>
                <w:color w:val="auto"/>
              </w:rPr>
            </w:pP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1,145</w:t>
            </w:r>
          </w:p>
        </w:tc>
        <w:tc>
          <w:tcPr>
            <w:tcW w:w="180" w:type="dxa"/>
            <w:vAlign w:val="bottom"/>
          </w:tcPr>
          <w:p>
            <w:pPr>
              <w:spacing w:after="0"/>
              <w:rPr>
                <w:sz w:val="15"/>
                <w:szCs w:val="15"/>
                <w:color w:val="auto"/>
              </w:rPr>
            </w:pP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(909)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460" w:type="dxa"/>
            <w:vAlign w:val="bottom"/>
          </w:tcPr>
          <w:p>
            <w:pPr>
              <w:spacing w:after="0"/>
              <w:rPr>
                <w:sz w:val="16"/>
                <w:szCs w:val="16"/>
                <w:color w:val="auto"/>
              </w:rPr>
            </w:pPr>
          </w:p>
        </w:tc>
        <w:tc>
          <w:tcPr>
            <w:tcW w:w="5820" w:type="dxa"/>
            <w:vAlign w:val="bottom"/>
          </w:tcPr>
          <w:p>
            <w:pPr>
              <w:ind w:left="140"/>
              <w:spacing w:after="0" w:line="190" w:lineRule="exact"/>
              <w:rPr>
                <w:sz w:val="20"/>
                <w:szCs w:val="20"/>
                <w:color w:val="auto"/>
              </w:rPr>
            </w:pPr>
            <w:r>
              <w:rPr>
                <w:rFonts w:ascii="Arial" w:cs="Arial" w:eastAsia="Arial" w:hAnsi="Arial"/>
                <w:sz w:val="18"/>
                <w:szCs w:val="18"/>
                <w:color w:val="auto"/>
              </w:rPr>
              <w:t>(loss)</w:t>
            </w:r>
          </w:p>
        </w:tc>
        <w:tc>
          <w:tcPr>
            <w:tcW w:w="48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460" w:type="dxa"/>
            <w:vAlign w:val="bottom"/>
          </w:tcPr>
          <w:p>
            <w:pPr>
              <w:spacing w:after="0"/>
              <w:rPr>
                <w:sz w:val="17"/>
                <w:szCs w:val="17"/>
                <w:color w:val="auto"/>
              </w:rPr>
            </w:pPr>
          </w:p>
        </w:tc>
        <w:tc>
          <w:tcPr>
            <w:tcW w:w="5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 average assumptions used:</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Discount rate</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ind w:left="140"/>
              <w:spacing w:after="0"/>
              <w:rPr>
                <w:sz w:val="20"/>
                <w:szCs w:val="20"/>
                <w:color w:val="auto"/>
              </w:rPr>
            </w:pPr>
            <w:r>
              <w:rPr>
                <w:rFonts w:ascii="Arial" w:cs="Arial" w:eastAsia="Arial" w:hAnsi="Arial"/>
                <w:sz w:val="18"/>
                <w:szCs w:val="18"/>
                <w:color w:val="auto"/>
              </w:rPr>
              <w:t>3.20%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ind w:left="140"/>
              <w:spacing w:after="0"/>
              <w:rPr>
                <w:sz w:val="20"/>
                <w:szCs w:val="20"/>
                <w:color w:val="auto"/>
              </w:rPr>
            </w:pPr>
            <w:r>
              <w:rPr>
                <w:rFonts w:ascii="Arial" w:cs="Arial" w:eastAsia="Arial" w:hAnsi="Arial"/>
                <w:sz w:val="18"/>
                <w:szCs w:val="18"/>
                <w:color w:val="auto"/>
              </w:rPr>
              <w:t>4.40%</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ind w:left="60"/>
              <w:spacing w:after="0"/>
              <w:rPr>
                <w:sz w:val="20"/>
                <w:szCs w:val="20"/>
                <w:color w:val="auto"/>
              </w:rPr>
            </w:pPr>
            <w:r>
              <w:rPr>
                <w:rFonts w:ascii="Arial" w:cs="Arial" w:eastAsia="Arial" w:hAnsi="Arial"/>
                <w:sz w:val="18"/>
                <w:szCs w:val="18"/>
                <w:color w:val="auto"/>
              </w:rPr>
              <w:t>3.70%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3.80%</w:t>
            </w: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4.20%</w:t>
            </w:r>
          </w:p>
        </w:tc>
        <w:tc>
          <w:tcPr>
            <w:tcW w:w="18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ind w:left="60"/>
              <w:spacing w:after="0"/>
              <w:rPr>
                <w:sz w:val="20"/>
                <w:szCs w:val="20"/>
                <w:color w:val="auto"/>
              </w:rPr>
            </w:pPr>
            <w:r>
              <w:rPr>
                <w:rFonts w:ascii="Arial" w:cs="Arial" w:eastAsia="Arial" w:hAnsi="Arial"/>
                <w:sz w:val="18"/>
                <w:szCs w:val="18"/>
                <w:color w:val="auto"/>
              </w:rPr>
              <w:t>6.20%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Rate of compensation increases</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20"/>
                <w:szCs w:val="20"/>
                <w:color w:val="auto"/>
              </w:rPr>
            </w:pPr>
          </w:p>
        </w:tc>
        <w:tc>
          <w:tcPr>
            <w:tcW w:w="1040" w:type="dxa"/>
            <w:vAlign w:val="bottom"/>
            <w:gridSpan w:val="2"/>
          </w:tcPr>
          <w:p>
            <w:pPr>
              <w:ind w:left="220"/>
              <w:spacing w:after="0"/>
              <w:rPr>
                <w:sz w:val="20"/>
                <w:szCs w:val="20"/>
                <w:color w:val="auto"/>
              </w:rPr>
            </w:pPr>
            <w:r>
              <w:rPr>
                <w:rFonts w:ascii="Arial" w:cs="Arial" w:eastAsia="Arial" w:hAnsi="Arial"/>
                <w:sz w:val="18"/>
                <w:szCs w:val="18"/>
                <w:color w:val="auto"/>
              </w:rPr>
              <w:t>N/A</w:t>
            </w:r>
          </w:p>
        </w:tc>
        <w:tc>
          <w:tcPr>
            <w:tcW w:w="280" w:type="dxa"/>
            <w:vAlign w:val="bottom"/>
          </w:tcPr>
          <w:p>
            <w:pPr>
              <w:spacing w:after="0"/>
              <w:rPr>
                <w:sz w:val="20"/>
                <w:szCs w:val="20"/>
                <w:color w:val="auto"/>
              </w:rPr>
            </w:pPr>
          </w:p>
        </w:tc>
        <w:tc>
          <w:tcPr>
            <w:tcW w:w="900" w:type="dxa"/>
            <w:vAlign w:val="bottom"/>
            <w:gridSpan w:val="3"/>
          </w:tcPr>
          <w:p>
            <w:pPr>
              <w:ind w:left="1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418"/>
        </w:trPr>
        <w:tc>
          <w:tcPr>
            <w:tcW w:w="1460" w:type="dxa"/>
            <w:vAlign w:val="bottom"/>
          </w:tcPr>
          <w:p>
            <w:pPr>
              <w:spacing w:after="0"/>
              <w:rPr>
                <w:sz w:val="24"/>
                <w:szCs w:val="24"/>
                <w:color w:val="auto"/>
              </w:rPr>
            </w:pPr>
          </w:p>
        </w:tc>
        <w:tc>
          <w:tcPr>
            <w:tcW w:w="5820" w:type="dxa"/>
            <w:vAlign w:val="bottom"/>
          </w:tcPr>
          <w:p>
            <w:pPr>
              <w:ind w:left="3960"/>
              <w:spacing w:after="0"/>
              <w:rPr>
                <w:sz w:val="20"/>
                <w:szCs w:val="20"/>
                <w:color w:val="auto"/>
              </w:rPr>
            </w:pPr>
            <w:r>
              <w:rPr>
                <w:rFonts w:ascii="Arial" w:cs="Arial" w:eastAsia="Arial" w:hAnsi="Arial"/>
                <w:sz w:val="18"/>
                <w:szCs w:val="18"/>
                <w:color w:val="auto"/>
              </w:rPr>
              <w:t>F-36</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460" w:type="dxa"/>
            <w:vAlign w:val="bottom"/>
            <w:tcBorders>
              <w:bottom w:val="single" w:sz="8" w:color="EEEEEE"/>
            </w:tcBorders>
          </w:tcPr>
          <w:p>
            <w:pPr>
              <w:spacing w:after="0"/>
              <w:rPr>
                <w:sz w:val="17"/>
                <w:szCs w:val="17"/>
                <w:color w:val="auto"/>
              </w:rPr>
            </w:pPr>
          </w:p>
        </w:tc>
        <w:tc>
          <w:tcPr>
            <w:tcW w:w="5820" w:type="dxa"/>
            <w:vAlign w:val="bottom"/>
            <w:tcBorders>
              <w:bottom w:val="single" w:sz="8" w:color="EEEEEE"/>
            </w:tcBorders>
          </w:tcPr>
          <w:p>
            <w:pPr>
              <w:spacing w:after="0"/>
              <w:rPr>
                <w:sz w:val="17"/>
                <w:szCs w:val="17"/>
                <w:color w:val="auto"/>
              </w:rPr>
            </w:pPr>
          </w:p>
        </w:tc>
        <w:tc>
          <w:tcPr>
            <w:tcW w:w="260" w:type="dxa"/>
            <w:vAlign w:val="bottom"/>
            <w:tcBorders>
              <w:bottom w:val="single" w:sz="8" w:color="EEEEEE"/>
            </w:tcBorders>
          </w:tcPr>
          <w:p>
            <w:pPr>
              <w:spacing w:after="0"/>
              <w:rPr>
                <w:sz w:val="17"/>
                <w:szCs w:val="17"/>
                <w:color w:val="auto"/>
              </w:rPr>
            </w:pPr>
          </w:p>
        </w:tc>
        <w:tc>
          <w:tcPr>
            <w:tcW w:w="220" w:type="dxa"/>
            <w:vAlign w:val="bottom"/>
            <w:tcBorders>
              <w:bottom w:val="single" w:sz="8" w:color="EEEEEE"/>
            </w:tcBorders>
          </w:tcPr>
          <w:p>
            <w:pPr>
              <w:spacing w:after="0"/>
              <w:rPr>
                <w:sz w:val="17"/>
                <w:szCs w:val="17"/>
                <w:color w:val="auto"/>
              </w:rPr>
            </w:pPr>
          </w:p>
        </w:tc>
        <w:tc>
          <w:tcPr>
            <w:tcW w:w="860" w:type="dxa"/>
            <w:vAlign w:val="bottom"/>
            <w:tcBorders>
              <w:bottom w:val="single" w:sz="8" w:color="EEEEEE"/>
            </w:tcBorders>
          </w:tcPr>
          <w:p>
            <w:pPr>
              <w:spacing w:after="0"/>
              <w:rPr>
                <w:sz w:val="17"/>
                <w:szCs w:val="17"/>
                <w:color w:val="auto"/>
              </w:rPr>
            </w:pPr>
          </w:p>
        </w:tc>
        <w:tc>
          <w:tcPr>
            <w:tcW w:w="180" w:type="dxa"/>
            <w:vAlign w:val="bottom"/>
            <w:tcBorders>
              <w:bottom w:val="single" w:sz="8" w:color="EEEEEE"/>
            </w:tcBorders>
          </w:tcPr>
          <w:p>
            <w:pPr>
              <w:spacing w:after="0"/>
              <w:rPr>
                <w:sz w:val="17"/>
                <w:szCs w:val="17"/>
                <w:color w:val="auto"/>
              </w:rPr>
            </w:pPr>
          </w:p>
        </w:tc>
        <w:tc>
          <w:tcPr>
            <w:tcW w:w="220" w:type="dxa"/>
            <w:vAlign w:val="bottom"/>
            <w:tcBorders>
              <w:bottom w:val="single" w:sz="8" w:color="EEEEEE"/>
            </w:tcBorders>
          </w:tcPr>
          <w:p>
            <w:pPr>
              <w:spacing w:after="0"/>
              <w:rPr>
                <w:sz w:val="17"/>
                <w:szCs w:val="17"/>
                <w:color w:val="auto"/>
              </w:rPr>
            </w:pPr>
          </w:p>
        </w:tc>
        <w:tc>
          <w:tcPr>
            <w:tcW w:w="860" w:type="dxa"/>
            <w:vAlign w:val="bottom"/>
            <w:tcBorders>
              <w:bottom w:val="single" w:sz="8" w:color="EEEEEE"/>
            </w:tcBorders>
          </w:tcPr>
          <w:p>
            <w:pPr>
              <w:spacing w:after="0"/>
              <w:rPr>
                <w:sz w:val="17"/>
                <w:szCs w:val="17"/>
                <w:color w:val="auto"/>
              </w:rPr>
            </w:pPr>
          </w:p>
        </w:tc>
        <w:tc>
          <w:tcPr>
            <w:tcW w:w="180" w:type="dxa"/>
            <w:vAlign w:val="bottom"/>
            <w:tcBorders>
              <w:bottom w:val="single" w:sz="8" w:color="EEEEEE"/>
            </w:tcBorders>
          </w:tcPr>
          <w:p>
            <w:pPr>
              <w:spacing w:after="0"/>
              <w:rPr>
                <w:sz w:val="17"/>
                <w:szCs w:val="17"/>
                <w:color w:val="auto"/>
              </w:rPr>
            </w:pPr>
          </w:p>
        </w:tc>
        <w:tc>
          <w:tcPr>
            <w:tcW w:w="280" w:type="dxa"/>
            <w:vAlign w:val="bottom"/>
            <w:tcBorders>
              <w:bottom w:val="single" w:sz="8" w:color="EEEEEE"/>
            </w:tcBorders>
          </w:tcPr>
          <w:p>
            <w:pPr>
              <w:spacing w:after="0"/>
              <w:rPr>
                <w:sz w:val="17"/>
                <w:szCs w:val="17"/>
                <w:color w:val="auto"/>
              </w:rPr>
            </w:pPr>
          </w:p>
        </w:tc>
        <w:tc>
          <w:tcPr>
            <w:tcW w:w="800" w:type="dxa"/>
            <w:vAlign w:val="bottom"/>
            <w:tcBorders>
              <w:bottom w:val="single" w:sz="8" w:color="EEEEEE"/>
            </w:tcBorders>
          </w:tcPr>
          <w:p>
            <w:pPr>
              <w:spacing w:after="0"/>
              <w:rPr>
                <w:sz w:val="17"/>
                <w:szCs w:val="17"/>
                <w:color w:val="auto"/>
              </w:rPr>
            </w:pPr>
          </w:p>
        </w:tc>
        <w:tc>
          <w:tcPr>
            <w:tcW w:w="80" w:type="dxa"/>
            <w:vAlign w:val="bottom"/>
            <w:tcBorders>
              <w:bottom w:val="single" w:sz="8" w:color="EEEE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19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NOTE 13</w:t>
        <w:tab/>
        <w:t>-  EMPLOYEE RELATED LIABILITIES (Cont.)</w:t>
      </w:r>
    </w:p>
    <w:p>
      <w:pPr>
        <w:spacing w:after="0" w:line="198" w:lineRule="exact"/>
        <w:rPr>
          <w:sz w:val="20"/>
          <w:szCs w:val="20"/>
          <w:color w:val="auto"/>
        </w:rPr>
      </w:pPr>
    </w:p>
    <w:p>
      <w:pPr>
        <w:ind w:left="1440" w:right="6880" w:hanging="352"/>
        <w:spacing w:after="0" w:line="516" w:lineRule="auto"/>
        <w:tabs>
          <w:tab w:leader="none" w:pos="1434" w:val="left"/>
        </w:tabs>
        <w:numPr>
          <w:ilvl w:val="0"/>
          <w:numId w:val="28"/>
        </w:numPr>
        <w:rPr>
          <w:rFonts w:ascii="Arial" w:cs="Arial" w:eastAsia="Arial" w:hAnsi="Arial"/>
          <w:sz w:val="17"/>
          <w:szCs w:val="17"/>
          <w:b w:val="1"/>
          <w:bCs w:val="1"/>
          <w:color w:val="auto"/>
        </w:rPr>
      </w:pPr>
      <w:r>
        <w:rPr>
          <w:rFonts w:ascii="Arial" w:cs="Arial" w:eastAsia="Arial" w:hAnsi="Arial"/>
          <w:sz w:val="17"/>
          <w:szCs w:val="17"/>
          <w:b w:val="1"/>
          <w:bCs w:val="1"/>
          <w:color w:val="auto"/>
        </w:rPr>
        <w:t>TSNP Employee Benefit Plans (Cont.) TSNP Pension Plan (Cont.)</w:t>
      </w:r>
    </w:p>
    <w:p>
      <w:pPr>
        <w:ind w:left="1440"/>
        <w:spacing w:after="0"/>
        <w:rPr>
          <w:rFonts w:ascii="Arial" w:cs="Arial" w:eastAsia="Arial" w:hAnsi="Arial"/>
          <w:sz w:val="17"/>
          <w:szCs w:val="17"/>
          <w:b w:val="1"/>
          <w:bCs w:val="1"/>
          <w:color w:val="auto"/>
        </w:rPr>
      </w:pPr>
      <w:r>
        <w:rPr>
          <w:rFonts w:ascii="Arial" w:cs="Arial" w:eastAsia="Arial" w:hAnsi="Arial"/>
          <w:sz w:val="16"/>
          <w:szCs w:val="16"/>
          <w:color w:val="auto"/>
        </w:rPr>
        <w:t>The components of the change in benefit obligation, change in plan assets and funded status for TSNP’s pension plan are as follows:</w:t>
      </w:r>
    </w:p>
    <w:p>
      <w:pPr>
        <w:spacing w:after="0" w:line="208" w:lineRule="exact"/>
        <w:rPr>
          <w:sz w:val="20"/>
          <w:szCs w:val="20"/>
          <w:color w:val="auto"/>
        </w:rPr>
      </w:pPr>
    </w:p>
    <w:tbl>
      <w:tblPr>
        <w:tblLayout w:type="fixed"/>
        <w:tblInd w:w="144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color w:val="auto"/>
              </w:rPr>
              <w:t>Year ended December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2019</w:t>
            </w:r>
          </w:p>
        </w:tc>
        <w:tc>
          <w:tcPr>
            <w:tcW w:w="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Change in benefit obligation:</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Benefit obligation at beginning of period</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21,908</w:t>
            </w:r>
          </w:p>
        </w:tc>
        <w:tc>
          <w:tcPr>
            <w:tcW w:w="1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18,979</w:t>
            </w:r>
          </w:p>
        </w:tc>
        <w:tc>
          <w:tcPr>
            <w:tcW w:w="18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20,629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18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Benefits paid</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(736)</w:t>
            </w:r>
          </w:p>
        </w:tc>
        <w:tc>
          <w:tcPr>
            <w:tcW w:w="2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(688)</w:t>
            </w:r>
          </w:p>
        </w:tc>
        <w:tc>
          <w:tcPr>
            <w:tcW w:w="2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(607)</w:t>
            </w: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Change in plan provisions</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Actuarial loss (gain)</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1,608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2,800</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(1,792)</w:t>
            </w:r>
          </w:p>
        </w:tc>
      </w:tr>
      <w:tr>
        <w:trPr>
          <w:trHeight w:val="27"/>
        </w:trPr>
        <w:tc>
          <w:tcPr>
            <w:tcW w:w="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56"/>
        </w:trPr>
        <w:tc>
          <w:tcPr>
            <w:tcW w:w="20" w:type="dxa"/>
            <w:vAlign w:val="bottom"/>
          </w:tcPr>
          <w:p>
            <w:pPr>
              <w:spacing w:after="0"/>
              <w:rPr>
                <w:sz w:val="22"/>
                <w:szCs w:val="22"/>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Benefit obligation end of period</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23,467</w:t>
            </w:r>
          </w:p>
        </w:tc>
        <w:tc>
          <w:tcPr>
            <w:tcW w:w="180" w:type="dxa"/>
            <w:vAlign w:val="bottom"/>
            <w:tcBorders>
              <w:right w:val="single" w:sz="8" w:color="CCEEFF"/>
            </w:tcBorders>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21,908</w:t>
            </w:r>
          </w:p>
        </w:tc>
        <w:tc>
          <w:tcPr>
            <w:tcW w:w="180" w:type="dxa"/>
            <w:vAlign w:val="bottom"/>
            <w:tcBorders>
              <w:right w:val="single" w:sz="8" w:color="CCEEFF"/>
            </w:tcBorders>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18,979</w:t>
            </w:r>
          </w:p>
        </w:tc>
        <w:tc>
          <w:tcPr>
            <w:tcW w:w="100" w:type="dxa"/>
            <w:vAlign w:val="bottom"/>
            <w:shd w:val="clear" w:color="auto" w:fill="CCEEFF"/>
          </w:tcPr>
          <w:p>
            <w:pPr>
              <w:spacing w:after="0"/>
              <w:rPr>
                <w:sz w:val="22"/>
                <w:szCs w:val="22"/>
                <w:color w:val="auto"/>
              </w:rPr>
            </w:pPr>
          </w:p>
        </w:tc>
      </w:tr>
      <w:tr>
        <w:trPr>
          <w:trHeight w:val="197"/>
        </w:trPr>
        <w:tc>
          <w:tcPr>
            <w:tcW w:w="20" w:type="dxa"/>
            <w:vAlign w:val="bottom"/>
          </w:tcPr>
          <w:p>
            <w:pPr>
              <w:spacing w:after="0"/>
              <w:rPr>
                <w:sz w:val="17"/>
                <w:szCs w:val="17"/>
                <w:color w:val="auto"/>
              </w:rPr>
            </w:pPr>
          </w:p>
        </w:tc>
        <w:tc>
          <w:tcPr>
            <w:tcW w:w="502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color w:val="auto"/>
              </w:rPr>
              <w:t>Change in plan assets:</w:t>
            </w:r>
          </w:p>
        </w:tc>
        <w:tc>
          <w:tcPr>
            <w:tcW w:w="106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plan assets at beginning of period</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24,454</w:t>
            </w: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22,669</w:t>
            </w:r>
          </w:p>
        </w:tc>
        <w:tc>
          <w:tcPr>
            <w:tcW w:w="18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23,235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Actual return on plan assets</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2,337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2,544</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(133)</w:t>
            </w: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Employer contribution</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Expenses paid</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(69)</w:t>
            </w:r>
          </w:p>
        </w:tc>
        <w:tc>
          <w:tcPr>
            <w:tcW w:w="2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(71)</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(737)</w:t>
            </w:r>
          </w:p>
        </w:tc>
        <w:tc>
          <w:tcPr>
            <w:tcW w:w="22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(688)</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(607)</w:t>
            </w:r>
          </w:p>
        </w:tc>
      </w:tr>
      <w:tr>
        <w:trPr>
          <w:trHeight w:val="27"/>
        </w:trPr>
        <w:tc>
          <w:tcPr>
            <w:tcW w:w="20" w:type="dxa"/>
            <w:vAlign w:val="bottom"/>
          </w:tcPr>
          <w:p>
            <w:pPr>
              <w:spacing w:after="0"/>
              <w:rPr>
                <w:sz w:val="2"/>
                <w:szCs w:val="2"/>
                <w:color w:val="auto"/>
              </w:rPr>
            </w:pPr>
          </w:p>
        </w:tc>
        <w:tc>
          <w:tcPr>
            <w:tcW w:w="50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Fair value of plan assets at end of period</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25,985</w:t>
            </w:r>
          </w:p>
        </w:tc>
        <w:tc>
          <w:tcPr>
            <w:tcW w:w="1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24,454</w:t>
            </w:r>
          </w:p>
        </w:tc>
        <w:tc>
          <w:tcPr>
            <w:tcW w:w="18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22,670</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Funded status</w:t>
            </w:r>
          </w:p>
        </w:tc>
        <w:tc>
          <w:tcPr>
            <w:tcW w:w="128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2,518</w:t>
            </w:r>
          </w:p>
        </w:tc>
        <w:tc>
          <w:tcPr>
            <w:tcW w:w="18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2,546</w:t>
            </w:r>
          </w:p>
        </w:tc>
        <w:tc>
          <w:tcPr>
            <w:tcW w:w="180" w:type="dxa"/>
            <w:vAlign w:val="bottom"/>
            <w:tcBorders>
              <w:right w:val="single" w:sz="8" w:color="CCEEFF"/>
            </w:tcBorders>
            <w:shd w:val="clear" w:color="auto" w:fill="CCEEFF"/>
          </w:tcPr>
          <w:p>
            <w:pPr>
              <w:spacing w:after="0"/>
              <w:rPr>
                <w:sz w:val="20"/>
                <w:szCs w:val="20"/>
                <w:color w:val="auto"/>
              </w:rPr>
            </w:pPr>
          </w:p>
        </w:tc>
        <w:tc>
          <w:tcPr>
            <w:tcW w:w="2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3,691</w:t>
            </w:r>
          </w:p>
        </w:tc>
        <w:tc>
          <w:tcPr>
            <w:tcW w:w="100" w:type="dxa"/>
            <w:vAlign w:val="bottom"/>
            <w:shd w:val="clear" w:color="auto" w:fill="CCEEFF"/>
          </w:tcPr>
          <w:p>
            <w:pPr>
              <w:spacing w:after="0"/>
              <w:rPr>
                <w:sz w:val="20"/>
                <w:szCs w:val="20"/>
                <w:color w:val="auto"/>
              </w:rPr>
            </w:pPr>
          </w:p>
        </w:tc>
      </w:tr>
      <w:tr>
        <w:trPr>
          <w:trHeight w:val="196"/>
        </w:trPr>
        <w:tc>
          <w:tcPr>
            <w:tcW w:w="20" w:type="dxa"/>
            <w:vAlign w:val="bottom"/>
          </w:tcPr>
          <w:p>
            <w:pPr>
              <w:spacing w:after="0"/>
              <w:rPr>
                <w:sz w:val="17"/>
                <w:szCs w:val="17"/>
                <w:color w:val="auto"/>
              </w:rPr>
            </w:pPr>
          </w:p>
        </w:tc>
        <w:tc>
          <w:tcPr>
            <w:tcW w:w="502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color w:val="auto"/>
              </w:rPr>
              <w:t>Amounts recognized in statement of financial position:</w:t>
            </w:r>
          </w:p>
        </w:tc>
        <w:tc>
          <w:tcPr>
            <w:tcW w:w="106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Non-current assets</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2,518</w:t>
            </w: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2,546</w:t>
            </w:r>
          </w:p>
        </w:tc>
        <w:tc>
          <w:tcPr>
            <w:tcW w:w="18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3,691</w:t>
            </w:r>
          </w:p>
        </w:tc>
        <w:tc>
          <w:tcPr>
            <w:tcW w:w="100" w:type="dxa"/>
            <w:vAlign w:val="bottom"/>
            <w:shd w:val="clear" w:color="auto" w:fill="CCEEFF"/>
          </w:tcPr>
          <w:p>
            <w:pPr>
              <w:spacing w:after="0"/>
              <w:rPr>
                <w:sz w:val="18"/>
                <w:szCs w:val="18"/>
                <w:color w:val="auto"/>
              </w:rPr>
            </w:pPr>
          </w:p>
        </w:tc>
      </w:tr>
      <w:tr>
        <w:trPr>
          <w:trHeight w:val="223"/>
        </w:trPr>
        <w:tc>
          <w:tcPr>
            <w:tcW w:w="5040" w:type="dxa"/>
            <w:vAlign w:val="bottom"/>
            <w:gridSpan w:val="2"/>
          </w:tcPr>
          <w:p>
            <w:pPr>
              <w:spacing w:after="0"/>
              <w:rPr>
                <w:sz w:val="20"/>
                <w:szCs w:val="20"/>
                <w:color w:val="auto"/>
              </w:rPr>
            </w:pPr>
            <w:r>
              <w:rPr>
                <w:rFonts w:ascii="Arial" w:cs="Arial" w:eastAsia="Arial" w:hAnsi="Arial"/>
                <w:sz w:val="18"/>
                <w:szCs w:val="18"/>
                <w:color w:val="auto"/>
              </w:rPr>
              <w:t>Non-current liabilities</w:t>
            </w:r>
          </w:p>
        </w:tc>
        <w:tc>
          <w:tcPr>
            <w:tcW w:w="10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56"/>
        </w:trPr>
        <w:tc>
          <w:tcPr>
            <w:tcW w:w="20" w:type="dxa"/>
            <w:vAlign w:val="bottom"/>
          </w:tcPr>
          <w:p>
            <w:pPr>
              <w:spacing w:after="0"/>
              <w:rPr>
                <w:sz w:val="22"/>
                <w:szCs w:val="22"/>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Net amount recognized</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2,518</w:t>
            </w:r>
          </w:p>
        </w:tc>
        <w:tc>
          <w:tcPr>
            <w:tcW w:w="180" w:type="dxa"/>
            <w:vAlign w:val="bottom"/>
            <w:tcBorders>
              <w:right w:val="single" w:sz="8" w:color="CCEEFF"/>
            </w:tcBorders>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2,546</w:t>
            </w:r>
          </w:p>
        </w:tc>
        <w:tc>
          <w:tcPr>
            <w:tcW w:w="180" w:type="dxa"/>
            <w:vAlign w:val="bottom"/>
            <w:tcBorders>
              <w:right w:val="single" w:sz="8" w:color="CCEEFF"/>
            </w:tcBorders>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3,691</w:t>
            </w:r>
          </w:p>
        </w:tc>
        <w:tc>
          <w:tcPr>
            <w:tcW w:w="100" w:type="dxa"/>
            <w:vAlign w:val="bottom"/>
            <w:shd w:val="clear" w:color="auto" w:fill="CCEEFF"/>
          </w:tcPr>
          <w:p>
            <w:pPr>
              <w:spacing w:after="0"/>
              <w:rPr>
                <w:sz w:val="22"/>
                <w:szCs w:val="22"/>
                <w:color w:val="auto"/>
              </w:rPr>
            </w:pPr>
          </w:p>
        </w:tc>
      </w:tr>
      <w:tr>
        <w:trPr>
          <w:trHeight w:val="197"/>
        </w:trPr>
        <w:tc>
          <w:tcPr>
            <w:tcW w:w="20" w:type="dxa"/>
            <w:vAlign w:val="bottom"/>
          </w:tcPr>
          <w:p>
            <w:pPr>
              <w:spacing w:after="0"/>
              <w:rPr>
                <w:sz w:val="17"/>
                <w:szCs w:val="17"/>
                <w:color w:val="auto"/>
              </w:rPr>
            </w:pPr>
          </w:p>
        </w:tc>
        <w:tc>
          <w:tcPr>
            <w:tcW w:w="502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color w:val="auto"/>
              </w:rPr>
              <w:t>Weighted average assumptions used:</w:t>
            </w:r>
          </w:p>
        </w:tc>
        <w:tc>
          <w:tcPr>
            <w:tcW w:w="106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2.50%</w:t>
            </w: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3.20%</w:t>
            </w:r>
          </w:p>
        </w:tc>
        <w:tc>
          <w:tcPr>
            <w:tcW w:w="18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ind w:left="60"/>
              <w:spacing w:after="0"/>
              <w:rPr>
                <w:sz w:val="20"/>
                <w:szCs w:val="20"/>
                <w:color w:val="auto"/>
              </w:rPr>
            </w:pPr>
            <w:r>
              <w:rPr>
                <w:rFonts w:ascii="Arial" w:cs="Arial" w:eastAsia="Arial" w:hAnsi="Arial"/>
                <w:sz w:val="18"/>
                <w:szCs w:val="18"/>
                <w:color w:val="auto"/>
              </w:rPr>
              <w:t>4.40%</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Rate of compensation increases</w:t>
            </w: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20"/>
                <w:szCs w:val="20"/>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N/A</w:t>
            </w:r>
          </w:p>
        </w:tc>
        <w:tc>
          <w:tcPr>
            <w:tcW w:w="280" w:type="dxa"/>
            <w:vAlign w:val="bottom"/>
          </w:tcPr>
          <w:p>
            <w:pPr>
              <w:spacing w:after="0"/>
              <w:rPr>
                <w:sz w:val="20"/>
                <w:szCs w:val="20"/>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N/A</w:t>
            </w:r>
          </w:p>
        </w:tc>
      </w:tr>
    </w:tbl>
    <w:p>
      <w:pPr>
        <w:spacing w:after="0" w:line="174" w:lineRule="exact"/>
        <w:rPr>
          <w:sz w:val="20"/>
          <w:szCs w:val="20"/>
          <w:color w:val="auto"/>
        </w:rPr>
      </w:pPr>
    </w:p>
    <w:p>
      <w:pPr>
        <w:jc w:val="both"/>
        <w:ind w:left="1440" w:right="20"/>
        <w:spacing w:after="0" w:line="277" w:lineRule="auto"/>
        <w:rPr>
          <w:sz w:val="20"/>
          <w:szCs w:val="20"/>
          <w:color w:val="auto"/>
        </w:rPr>
      </w:pPr>
      <w:r>
        <w:rPr>
          <w:rFonts w:ascii="Arial" w:cs="Arial" w:eastAsia="Arial" w:hAnsi="Arial"/>
          <w:sz w:val="18"/>
          <w:szCs w:val="18"/>
          <w:color w:val="auto"/>
        </w:rPr>
        <w:t>The following benefit payments are expected to be paid in each of the next five fiscal years and in the aggregate for the five fiscal years thereafter:</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440" w:type="dxa"/>
            <w:vAlign w:val="bottom"/>
          </w:tcPr>
          <w:p>
            <w:pPr>
              <w:spacing w:after="0"/>
              <w:rPr>
                <w:sz w:val="20"/>
                <w:szCs w:val="20"/>
                <w:color w:val="auto"/>
              </w:rPr>
            </w:pPr>
          </w:p>
        </w:tc>
        <w:tc>
          <w:tcPr>
            <w:tcW w:w="2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Fiscal Year</w:t>
            </w:r>
          </w:p>
        </w:tc>
        <w:tc>
          <w:tcPr>
            <w:tcW w:w="58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0"/>
              </w:rPr>
              <w:t>Other Benefits</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5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2022</w:t>
            </w:r>
          </w:p>
        </w:tc>
        <w:tc>
          <w:tcPr>
            <w:tcW w:w="5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997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5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2024</w:t>
            </w:r>
          </w:p>
        </w:tc>
        <w:tc>
          <w:tcPr>
            <w:tcW w:w="5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1,131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5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30"/>
        </w:trPr>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2026-2030</w:t>
            </w:r>
          </w:p>
        </w:tc>
        <w:tc>
          <w:tcPr>
            <w:tcW w:w="61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6,182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8"/>
        </w:trPr>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6120" w:type="dxa"/>
            <w:vAlign w:val="bottom"/>
            <w:gridSpan w:val="3"/>
          </w:tcPr>
          <w:p>
            <w:pPr>
              <w:jc w:val="right"/>
              <w:ind w:right="4030"/>
              <w:spacing w:after="0"/>
              <w:rPr>
                <w:sz w:val="20"/>
                <w:szCs w:val="20"/>
                <w:color w:val="auto"/>
              </w:rPr>
            </w:pPr>
            <w:r>
              <w:rPr>
                <w:rFonts w:ascii="Arial" w:cs="Arial" w:eastAsia="Arial" w:hAnsi="Arial"/>
                <w:sz w:val="18"/>
                <w:szCs w:val="18"/>
                <w:color w:val="auto"/>
              </w:rPr>
              <w:t>F-37</w:t>
            </w: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2"/>
        </w:trPr>
        <w:tc>
          <w:tcPr>
            <w:tcW w:w="1440" w:type="dxa"/>
            <w:vAlign w:val="bottom"/>
            <w:tcBorders>
              <w:bottom w:val="single" w:sz="8" w:color="EEEEEE"/>
            </w:tcBorders>
          </w:tcPr>
          <w:p>
            <w:pPr>
              <w:spacing w:after="0"/>
              <w:rPr>
                <w:sz w:val="17"/>
                <w:szCs w:val="17"/>
                <w:color w:val="auto"/>
              </w:rPr>
            </w:pPr>
          </w:p>
        </w:tc>
        <w:tc>
          <w:tcPr>
            <w:tcW w:w="20" w:type="dxa"/>
            <w:vAlign w:val="bottom"/>
            <w:tcBorders>
              <w:bottom w:val="single" w:sz="8" w:color="EEEEEE"/>
            </w:tcBorders>
          </w:tcPr>
          <w:p>
            <w:pPr>
              <w:spacing w:after="0"/>
              <w:rPr>
                <w:sz w:val="17"/>
                <w:szCs w:val="17"/>
                <w:color w:val="auto"/>
              </w:rPr>
            </w:pPr>
          </w:p>
        </w:tc>
        <w:tc>
          <w:tcPr>
            <w:tcW w:w="2380" w:type="dxa"/>
            <w:vAlign w:val="bottom"/>
            <w:tcBorders>
              <w:bottom w:val="single" w:sz="8" w:color="EEEEEE"/>
            </w:tcBorders>
          </w:tcPr>
          <w:p>
            <w:pPr>
              <w:spacing w:after="0"/>
              <w:rPr>
                <w:sz w:val="17"/>
                <w:szCs w:val="17"/>
                <w:color w:val="auto"/>
              </w:rPr>
            </w:pPr>
          </w:p>
        </w:tc>
        <w:tc>
          <w:tcPr>
            <w:tcW w:w="5840" w:type="dxa"/>
            <w:vAlign w:val="bottom"/>
            <w:tcBorders>
              <w:bottom w:val="single" w:sz="8" w:color="EEEEEE"/>
            </w:tcBorders>
          </w:tcPr>
          <w:p>
            <w:pPr>
              <w:spacing w:after="0"/>
              <w:rPr>
                <w:sz w:val="17"/>
                <w:szCs w:val="17"/>
                <w:color w:val="auto"/>
              </w:rPr>
            </w:pPr>
          </w:p>
        </w:tc>
        <w:tc>
          <w:tcPr>
            <w:tcW w:w="18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1180" w:type="dxa"/>
            <w:vAlign w:val="bottom"/>
            <w:tcBorders>
              <w:bottom w:val="single" w:sz="8" w:color="EEEEEE"/>
            </w:tcBorders>
          </w:tcPr>
          <w:p>
            <w:pPr>
              <w:spacing w:after="0"/>
              <w:rPr>
                <w:sz w:val="17"/>
                <w:szCs w:val="17"/>
                <w:color w:val="auto"/>
              </w:rPr>
            </w:pPr>
          </w:p>
        </w:tc>
        <w:tc>
          <w:tcPr>
            <w:tcW w:w="80" w:type="dxa"/>
            <w:vAlign w:val="bottom"/>
            <w:tcBorders>
              <w:bottom w:val="single" w:sz="8" w:color="EEEEEE"/>
            </w:tcBorders>
          </w:tcPr>
          <w:p>
            <w:pPr>
              <w:spacing w:after="0"/>
              <w:rPr>
                <w:sz w:val="17"/>
                <w:szCs w:val="17"/>
                <w:color w:val="auto"/>
              </w:rPr>
            </w:pP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19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NOTE 13</w:t>
        <w:tab/>
        <w:t>-  EMPLOYEE RELATED LIABILITIES (Cont.)</w:t>
      </w:r>
    </w:p>
    <w:p>
      <w:pPr>
        <w:spacing w:after="0" w:line="198" w:lineRule="exact"/>
        <w:rPr>
          <w:sz w:val="20"/>
          <w:szCs w:val="20"/>
          <w:color w:val="auto"/>
        </w:rPr>
      </w:pPr>
    </w:p>
    <w:p>
      <w:pPr>
        <w:ind w:left="1440" w:right="6880" w:hanging="352"/>
        <w:spacing w:after="0" w:line="516" w:lineRule="auto"/>
        <w:tabs>
          <w:tab w:leader="none" w:pos="1434" w:val="left"/>
        </w:tabs>
        <w:numPr>
          <w:ilvl w:val="0"/>
          <w:numId w:val="29"/>
        </w:numPr>
        <w:rPr>
          <w:rFonts w:ascii="Arial" w:cs="Arial" w:eastAsia="Arial" w:hAnsi="Arial"/>
          <w:sz w:val="17"/>
          <w:szCs w:val="17"/>
          <w:b w:val="1"/>
          <w:bCs w:val="1"/>
          <w:color w:val="auto"/>
        </w:rPr>
      </w:pPr>
      <w:r>
        <w:rPr>
          <w:rFonts w:ascii="Arial" w:cs="Arial" w:eastAsia="Arial" w:hAnsi="Arial"/>
          <w:sz w:val="17"/>
          <w:szCs w:val="17"/>
          <w:b w:val="1"/>
          <w:bCs w:val="1"/>
          <w:color w:val="auto"/>
        </w:rPr>
        <w:t>TSNP Employee Benefit Plans (Cont.) TSNP Pension Plan (Cont.)</w:t>
      </w:r>
    </w:p>
    <w:p>
      <w:pPr>
        <w:ind w:left="1440"/>
        <w:spacing w:after="0"/>
        <w:rPr>
          <w:rFonts w:ascii="Arial" w:cs="Arial" w:eastAsia="Arial" w:hAnsi="Arial"/>
          <w:sz w:val="17"/>
          <w:szCs w:val="17"/>
          <w:b w:val="1"/>
          <w:bCs w:val="1"/>
          <w:color w:val="auto"/>
        </w:rPr>
      </w:pPr>
      <w:r>
        <w:rPr>
          <w:rFonts w:ascii="Arial" w:cs="Arial" w:eastAsia="Arial" w:hAnsi="Arial"/>
          <w:sz w:val="18"/>
          <w:szCs w:val="18"/>
          <w:color w:val="auto"/>
        </w:rPr>
        <w:t>Description of Significant Gains and Losses in Obligations:</w:t>
      </w:r>
    </w:p>
    <w:p>
      <w:pPr>
        <w:spacing w:after="0" w:line="198" w:lineRule="exact"/>
        <w:rPr>
          <w:rFonts w:ascii="Arial" w:cs="Arial" w:eastAsia="Arial" w:hAnsi="Arial"/>
          <w:sz w:val="17"/>
          <w:szCs w:val="17"/>
          <w:b w:val="1"/>
          <w:bCs w:val="1"/>
          <w:color w:val="auto"/>
        </w:rPr>
      </w:pPr>
    </w:p>
    <w:p>
      <w:pPr>
        <w:jc w:val="both"/>
        <w:ind w:left="1440"/>
        <w:spacing w:after="0" w:line="259" w:lineRule="auto"/>
        <w:rPr>
          <w:rFonts w:ascii="Arial" w:cs="Arial" w:eastAsia="Arial" w:hAnsi="Arial"/>
          <w:sz w:val="17"/>
          <w:szCs w:val="17"/>
          <w:b w:val="1"/>
          <w:bCs w:val="1"/>
          <w:color w:val="auto"/>
        </w:rPr>
      </w:pPr>
      <w:r>
        <w:rPr>
          <w:rFonts w:ascii="Arial" w:cs="Arial" w:eastAsia="Arial" w:hAnsi="Arial"/>
          <w:sz w:val="18"/>
          <w:szCs w:val="18"/>
          <w:color w:val="auto"/>
        </w:rPr>
        <w:t>For Fiscal Year Ended December 31, 2020, the benefit obligation experienced a net actuarial loss that was primarily attributable to the discount rate decrease to 2.50%, compared to 3.20% in the prior year. For Fiscal Year Ended December 31, 2019, the benefit obligation experienced a net actuarial loss that was primarily attributable to the discount rate decrease to 3.20%, compared to 4.40% in the prior year.</w:t>
      </w:r>
    </w:p>
    <w:p>
      <w:pPr>
        <w:spacing w:after="0" w:line="173" w:lineRule="exact"/>
        <w:rPr>
          <w:rFonts w:ascii="Arial" w:cs="Arial" w:eastAsia="Arial" w:hAnsi="Arial"/>
          <w:sz w:val="17"/>
          <w:szCs w:val="17"/>
          <w:b w:val="1"/>
          <w:bCs w:val="1"/>
          <w:color w:val="auto"/>
        </w:rPr>
      </w:pPr>
    </w:p>
    <w:p>
      <w:pPr>
        <w:ind w:left="1440"/>
        <w:spacing w:after="0"/>
        <w:rPr>
          <w:rFonts w:ascii="Arial" w:cs="Arial" w:eastAsia="Arial" w:hAnsi="Arial"/>
          <w:sz w:val="17"/>
          <w:szCs w:val="17"/>
          <w:b w:val="1"/>
          <w:bCs w:val="1"/>
          <w:color w:val="auto"/>
        </w:rPr>
      </w:pPr>
      <w:r>
        <w:rPr>
          <w:rFonts w:ascii="Arial" w:cs="Arial" w:eastAsia="Arial" w:hAnsi="Arial"/>
          <w:sz w:val="18"/>
          <w:szCs w:val="18"/>
          <w:color w:val="auto"/>
        </w:rPr>
        <w:t>The plan’s assets measured at fair value on a recurring basis consisted of the following as of December 31, 2020:</w:t>
      </w:r>
    </w:p>
    <w:p>
      <w:pPr>
        <w:spacing w:after="0" w:line="185" w:lineRule="exact"/>
        <w:rPr>
          <w:sz w:val="20"/>
          <w:szCs w:val="20"/>
          <w:color w:val="auto"/>
        </w:rPr>
      </w:pPr>
    </w:p>
    <w:tbl>
      <w:tblPr>
        <w:tblLayout w:type="fixed"/>
        <w:tblInd w:w="144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Level 1</w:t>
            </w:r>
          </w:p>
        </w:tc>
        <w:tc>
          <w:tcPr>
            <w:tcW w:w="2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Level 2</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Level 3</w:t>
            </w: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6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Investments in mutual funds</w:t>
            </w:r>
          </w:p>
        </w:tc>
        <w:tc>
          <w:tcPr>
            <w:tcW w:w="880" w:type="dxa"/>
            <w:vAlign w:val="bottom"/>
            <w:tcBorders>
              <w:bottom w:val="single" w:sz="8" w:color="auto"/>
            </w:tcBorders>
            <w:shd w:val="clear" w:color="auto" w:fill="CCEEFF"/>
          </w:tcPr>
          <w:p>
            <w:pPr>
              <w:jc w:val="right"/>
              <w:ind w:right="721"/>
              <w:spacing w:after="0"/>
              <w:rPr>
                <w:sz w:val="20"/>
                <w:szCs w:val="20"/>
                <w:color w:val="auto"/>
              </w:rPr>
            </w:pPr>
            <w:r>
              <w:rPr>
                <w:rFonts w:ascii="Arial" w:cs="Arial" w:eastAsia="Arial" w:hAnsi="Arial"/>
                <w:sz w:val="15"/>
                <w:szCs w:val="15"/>
                <w:color w:val="auto"/>
                <w:w w:val="71"/>
              </w:rPr>
              <w: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25,985</w:t>
            </w:r>
          </w:p>
        </w:tc>
        <w:tc>
          <w:tcPr>
            <w:tcW w:w="1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6100" w:type="dxa"/>
            <w:vAlign w:val="bottom"/>
            <w:gridSpan w:val="2"/>
          </w:tcPr>
          <w:p>
            <w:pPr>
              <w:spacing w:after="0"/>
              <w:rPr>
                <w:sz w:val="20"/>
                <w:szCs w:val="20"/>
                <w:color w:val="auto"/>
              </w:rPr>
            </w:pPr>
            <w:r>
              <w:rPr>
                <w:rFonts w:ascii="Arial" w:cs="Arial" w:eastAsia="Arial" w:hAnsi="Arial"/>
                <w:sz w:val="18"/>
                <w:szCs w:val="18"/>
                <w:color w:val="auto"/>
              </w:rPr>
              <w:t>Total plan assets at fair value</w:t>
            </w:r>
          </w:p>
        </w:tc>
        <w:tc>
          <w:tcPr>
            <w:tcW w:w="880" w:type="dxa"/>
            <w:vAlign w:val="bottom"/>
          </w:tcPr>
          <w:p>
            <w:pPr>
              <w:jc w:val="right"/>
              <w:ind w:right="721"/>
              <w:spacing w:after="0"/>
              <w:rPr>
                <w:sz w:val="20"/>
                <w:szCs w:val="20"/>
                <w:color w:val="auto"/>
              </w:rPr>
            </w:pPr>
            <w:r>
              <w:rPr>
                <w:rFonts w:ascii="Arial" w:cs="Arial" w:eastAsia="Arial" w:hAnsi="Arial"/>
                <w:sz w:val="15"/>
                <w:szCs w:val="15"/>
                <w:color w:val="auto"/>
                <w:w w:val="71"/>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25,985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The plan’s assets measured at fair value on a recurring basis consisted of the following as of December 31, 2019:</w:t>
      </w:r>
    </w:p>
    <w:p>
      <w:pPr>
        <w:spacing w:after="0" w:line="185" w:lineRule="exact"/>
        <w:rPr>
          <w:sz w:val="20"/>
          <w:szCs w:val="20"/>
          <w:color w:val="auto"/>
        </w:rPr>
      </w:pPr>
    </w:p>
    <w:tbl>
      <w:tblPr>
        <w:tblLayout w:type="fixed"/>
        <w:tblInd w:w="144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Level 1</w:t>
            </w:r>
          </w:p>
        </w:tc>
        <w:tc>
          <w:tcPr>
            <w:tcW w:w="2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Level 2</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Level 3</w:t>
            </w: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6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Investments in mutual funds</w:t>
            </w:r>
          </w:p>
        </w:tc>
        <w:tc>
          <w:tcPr>
            <w:tcW w:w="880" w:type="dxa"/>
            <w:vAlign w:val="bottom"/>
            <w:tcBorders>
              <w:bottom w:val="single" w:sz="8" w:color="auto"/>
            </w:tcBorders>
            <w:shd w:val="clear" w:color="auto" w:fill="CCEEFF"/>
          </w:tcPr>
          <w:p>
            <w:pPr>
              <w:jc w:val="right"/>
              <w:ind w:right="721"/>
              <w:spacing w:after="0"/>
              <w:rPr>
                <w:sz w:val="20"/>
                <w:szCs w:val="20"/>
                <w:color w:val="auto"/>
              </w:rPr>
            </w:pPr>
            <w:r>
              <w:rPr>
                <w:rFonts w:ascii="Arial" w:cs="Arial" w:eastAsia="Arial" w:hAnsi="Arial"/>
                <w:sz w:val="15"/>
                <w:szCs w:val="15"/>
                <w:color w:val="auto"/>
                <w:w w:val="71"/>
              </w:rPr>
              <w: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24,454</w:t>
            </w:r>
          </w:p>
        </w:tc>
        <w:tc>
          <w:tcPr>
            <w:tcW w:w="1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6100" w:type="dxa"/>
            <w:vAlign w:val="bottom"/>
            <w:gridSpan w:val="2"/>
          </w:tcPr>
          <w:p>
            <w:pPr>
              <w:spacing w:after="0"/>
              <w:rPr>
                <w:sz w:val="20"/>
                <w:szCs w:val="20"/>
                <w:color w:val="auto"/>
              </w:rPr>
            </w:pPr>
            <w:r>
              <w:rPr>
                <w:rFonts w:ascii="Arial" w:cs="Arial" w:eastAsia="Arial" w:hAnsi="Arial"/>
                <w:sz w:val="18"/>
                <w:szCs w:val="18"/>
                <w:color w:val="auto"/>
              </w:rPr>
              <w:t>Total plan assets at fair value</w:t>
            </w:r>
          </w:p>
        </w:tc>
        <w:tc>
          <w:tcPr>
            <w:tcW w:w="880" w:type="dxa"/>
            <w:vAlign w:val="bottom"/>
          </w:tcPr>
          <w:p>
            <w:pPr>
              <w:jc w:val="right"/>
              <w:ind w:right="721"/>
              <w:spacing w:after="0"/>
              <w:rPr>
                <w:sz w:val="20"/>
                <w:szCs w:val="20"/>
                <w:color w:val="auto"/>
              </w:rPr>
            </w:pPr>
            <w:r>
              <w:rPr>
                <w:rFonts w:ascii="Arial" w:cs="Arial" w:eastAsia="Arial" w:hAnsi="Arial"/>
                <w:sz w:val="15"/>
                <w:szCs w:val="15"/>
                <w:color w:val="auto"/>
                <w:w w:val="71"/>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24,454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TSNP’s pension plan weighted average asset allocations on December 31, 2020, by asset category are as follows:</w:t>
      </w:r>
    </w:p>
    <w:p>
      <w:pPr>
        <w:spacing w:after="0" w:line="185"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8"/>
                <w:szCs w:val="18"/>
                <w:color w:val="auto"/>
                <w:w w:val="84"/>
              </w:rPr>
              <w:t>Target</w:t>
            </w: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December 31,</w:t>
            </w:r>
          </w:p>
        </w:tc>
        <w:tc>
          <w:tcPr>
            <w:tcW w:w="1220" w:type="dxa"/>
            <w:vAlign w:val="bottom"/>
            <w:gridSpan w:val="2"/>
          </w:tcPr>
          <w:p>
            <w:pPr>
              <w:jc w:val="center"/>
              <w:ind w:right="180"/>
              <w:spacing w:after="0"/>
              <w:rPr>
                <w:sz w:val="20"/>
                <w:szCs w:val="20"/>
                <w:color w:val="auto"/>
              </w:rPr>
            </w:pPr>
            <w:r>
              <w:rPr>
                <w:rFonts w:ascii="Arial" w:cs="Arial" w:eastAsia="Arial" w:hAnsi="Arial"/>
                <w:sz w:val="18"/>
                <w:szCs w:val="18"/>
                <w:color w:val="auto"/>
                <w:w w:val="94"/>
              </w:rPr>
              <w:t>allocation</w:t>
            </w:r>
          </w:p>
        </w:tc>
      </w:tr>
      <w:tr>
        <w:trPr>
          <w:trHeight w:val="237"/>
        </w:trPr>
        <w:tc>
          <w:tcPr>
            <w:tcW w:w="7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Asset Category</w:t>
            </w:r>
          </w:p>
        </w:tc>
        <w:tc>
          <w:tcPr>
            <w:tcW w:w="80" w:type="dxa"/>
            <w:vAlign w:val="bottom"/>
          </w:tcPr>
          <w:p>
            <w:pPr>
              <w:spacing w:after="0"/>
              <w:rPr>
                <w:sz w:val="20"/>
                <w:szCs w:val="20"/>
                <w:color w:val="auto"/>
              </w:rPr>
            </w:pP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c>
          <w:tcPr>
            <w:tcW w:w="260" w:type="dxa"/>
            <w:vAlign w:val="bottom"/>
          </w:tcPr>
          <w:p>
            <w:pPr>
              <w:spacing w:after="0"/>
              <w:rPr>
                <w:sz w:val="20"/>
                <w:szCs w:val="20"/>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2021</w:t>
            </w:r>
          </w:p>
        </w:tc>
        <w:tc>
          <w:tcPr>
            <w:tcW w:w="1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Debt securities</w:t>
            </w:r>
          </w:p>
        </w:tc>
        <w:tc>
          <w:tcPr>
            <w:tcW w:w="1420" w:type="dxa"/>
            <w:vAlign w:val="bottom"/>
            <w:gridSpan w:val="3"/>
          </w:tcPr>
          <w:p>
            <w:pPr>
              <w:jc w:val="right"/>
              <w:ind w:right="120"/>
              <w:spacing w:after="0"/>
              <w:rPr>
                <w:sz w:val="20"/>
                <w:szCs w:val="20"/>
                <w:color w:val="auto"/>
              </w:rPr>
            </w:pPr>
            <w:r>
              <w:rPr>
                <w:rFonts w:ascii="Arial" w:cs="Arial" w:eastAsia="Arial" w:hAnsi="Arial"/>
                <w:sz w:val="18"/>
                <w:szCs w:val="18"/>
                <w:color w:val="auto"/>
              </w:rPr>
              <w:t>75%</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80%</w:t>
            </w: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bl>
    <w:p>
      <w:pPr>
        <w:spacing w:after="0" w:line="188" w:lineRule="exact"/>
        <w:rPr>
          <w:sz w:val="20"/>
          <w:szCs w:val="20"/>
          <w:color w:val="auto"/>
        </w:rPr>
      </w:pPr>
    </w:p>
    <w:p>
      <w:pPr>
        <w:jc w:val="both"/>
        <w:ind w:left="1440"/>
        <w:spacing w:after="0" w:line="255" w:lineRule="auto"/>
        <w:rPr>
          <w:sz w:val="20"/>
          <w:szCs w:val="20"/>
          <w:color w:val="auto"/>
        </w:rPr>
      </w:pPr>
      <w:r>
        <w:rPr>
          <w:rFonts w:ascii="Arial" w:cs="Arial" w:eastAsia="Arial" w:hAnsi="Arial"/>
          <w:sz w:val="18"/>
          <w:szCs w:val="18"/>
          <w:color w:val="auto"/>
        </w:rPr>
        <w:t>TSNP’s primary policy goals regarding the plan’s assets are cost-effective diversification of plan assets, competitive returns on investment and preservation of capital. Plan assets are currently invested in mutual funds with various debt and equity investment objectives. The target asset allocation for the plan assets is 80% debt, or fixed income securities, and 20% equity securities. Individual funds are evaluated periodically based on comparisons to benchmark indices and peer group funds and investment decisions are made by TSNP in accordance with the policy goals. Actual allocation to each asset category fluctuates and may not be within the target allocation specified above due to changes in market conditions.</w:t>
      </w:r>
    </w:p>
    <w:p>
      <w:pPr>
        <w:spacing w:after="0" w:line="179" w:lineRule="exact"/>
        <w:rPr>
          <w:sz w:val="20"/>
          <w:szCs w:val="20"/>
          <w:color w:val="auto"/>
        </w:rPr>
      </w:pPr>
    </w:p>
    <w:p>
      <w:pPr>
        <w:jc w:val="both"/>
        <w:ind w:left="1440"/>
        <w:spacing w:after="0" w:line="301" w:lineRule="auto"/>
        <w:rPr>
          <w:sz w:val="20"/>
          <w:szCs w:val="20"/>
          <w:color w:val="auto"/>
        </w:rPr>
      </w:pPr>
      <w:r>
        <w:rPr>
          <w:rFonts w:ascii="Arial" w:cs="Arial" w:eastAsia="Arial" w:hAnsi="Arial"/>
          <w:sz w:val="16"/>
          <w:szCs w:val="16"/>
          <w:color w:val="auto"/>
        </w:rPr>
        <w:t>The estimated expected return on assets of the plan is based on assumptions derived from, among other things, the historical return on assets of the plan, the current and expected investment allocation of assets held by the plan and the current and expected future rates of return in the debt and equity markets for investments held by the plan. The obligations under the plan could differ from the obligation currently recorded, if management's estimates are not consistent with actual investment performance.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19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NOTE 14</w:t>
        <w:tab/>
        <w:t>- COMMITMENTS AND CONTINGENCIES</w:t>
      </w:r>
    </w:p>
    <w:p>
      <w:pPr>
        <w:spacing w:after="0" w:line="198" w:lineRule="exact"/>
        <w:rPr>
          <w:sz w:val="20"/>
          <w:szCs w:val="20"/>
          <w:color w:val="auto"/>
        </w:rPr>
      </w:pPr>
    </w:p>
    <w:p>
      <w:pPr>
        <w:ind w:left="1440" w:hanging="352"/>
        <w:spacing w:after="0"/>
        <w:tabs>
          <w:tab w:leader="none" w:pos="144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Liens</w:t>
      </w:r>
    </w:p>
    <w:p>
      <w:pPr>
        <w:spacing w:after="0" w:line="211" w:lineRule="exact"/>
        <w:rPr>
          <w:rFonts w:ascii="Arial" w:cs="Arial" w:eastAsia="Arial" w:hAnsi="Arial"/>
          <w:sz w:val="18"/>
          <w:szCs w:val="18"/>
          <w:b w:val="1"/>
          <w:bCs w:val="1"/>
          <w:color w:val="auto"/>
        </w:rPr>
      </w:pPr>
    </w:p>
    <w:p>
      <w:pPr>
        <w:ind w:left="1800" w:hanging="352"/>
        <w:spacing w:after="0"/>
        <w:tabs>
          <w:tab w:leader="none" w:pos="1800" w:val="left"/>
        </w:tabs>
        <w:numPr>
          <w:ilvl w:val="1"/>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Loans, Bonds and Capital Leases</w:t>
      </w:r>
    </w:p>
    <w:p>
      <w:pPr>
        <w:spacing w:after="0" w:line="216" w:lineRule="exact"/>
        <w:rPr>
          <w:sz w:val="20"/>
          <w:szCs w:val="20"/>
          <w:color w:val="auto"/>
        </w:rPr>
      </w:pPr>
    </w:p>
    <w:p>
      <w:pPr>
        <w:jc w:val="both"/>
        <w:ind w:left="1860"/>
        <w:spacing w:after="0" w:line="263" w:lineRule="auto"/>
        <w:rPr>
          <w:sz w:val="20"/>
          <w:szCs w:val="20"/>
          <w:color w:val="auto"/>
        </w:rPr>
      </w:pPr>
      <w:r>
        <w:rPr>
          <w:rFonts w:ascii="Arial" w:cs="Arial" w:eastAsia="Arial" w:hAnsi="Arial"/>
          <w:sz w:val="18"/>
          <w:szCs w:val="18"/>
          <w:color w:val="auto"/>
        </w:rPr>
        <w:t>For liens relating to TSNP Credit Line Agreement, see Note 11F. For liens under TPSCo's 2018 JP Loan agreement, see Note 11C. For liens under the capital lease agreements, see Note 11D. For negative pledge under the Series G Debentures’ indenture, see Note 10.</w:t>
      </w:r>
    </w:p>
    <w:p>
      <w:pPr>
        <w:spacing w:after="0" w:line="153" w:lineRule="exact"/>
        <w:rPr>
          <w:sz w:val="20"/>
          <w:szCs w:val="20"/>
          <w:color w:val="auto"/>
        </w:rPr>
      </w:pPr>
    </w:p>
    <w:p>
      <w:pPr>
        <w:ind w:left="1440"/>
        <w:spacing w:after="0"/>
        <w:tabs>
          <w:tab w:leader="none" w:pos="178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6"/>
          <w:szCs w:val="16"/>
          <w:b w:val="1"/>
          <w:bCs w:val="1"/>
          <w:color w:val="auto"/>
        </w:rPr>
        <w:t>Approved Enterprise Program</w:t>
      </w:r>
    </w:p>
    <w:p>
      <w:pPr>
        <w:spacing w:after="0" w:line="216" w:lineRule="exact"/>
        <w:rPr>
          <w:sz w:val="20"/>
          <w:szCs w:val="20"/>
          <w:color w:val="auto"/>
        </w:rPr>
      </w:pPr>
    </w:p>
    <w:p>
      <w:pPr>
        <w:jc w:val="both"/>
        <w:ind w:left="1860"/>
        <w:spacing w:after="0" w:line="277" w:lineRule="auto"/>
        <w:rPr>
          <w:sz w:val="20"/>
          <w:szCs w:val="20"/>
          <w:color w:val="auto"/>
        </w:rPr>
      </w:pPr>
      <w:r>
        <w:rPr>
          <w:rFonts w:ascii="Arial" w:cs="Arial" w:eastAsia="Arial" w:hAnsi="Arial"/>
          <w:sz w:val="18"/>
          <w:szCs w:val="18"/>
          <w:color w:val="auto"/>
        </w:rPr>
        <w:t>Floating liens are registered in favor of the State of Israel on substantially all of Tower’s assets under the Investment Center’s approved enterprise status program.</w:t>
      </w:r>
    </w:p>
    <w:p>
      <w:pPr>
        <w:spacing w:after="0" w:line="153" w:lineRule="exact"/>
        <w:rPr>
          <w:sz w:val="20"/>
          <w:szCs w:val="20"/>
          <w:color w:val="auto"/>
        </w:rPr>
      </w:pPr>
    </w:p>
    <w:p>
      <w:pPr>
        <w:ind w:left="1440" w:hanging="352"/>
        <w:spacing w:after="0"/>
        <w:tabs>
          <w:tab w:leader="none" w:pos="144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Renewed Contract in relation to TPSCo</w:t>
      </w:r>
    </w:p>
    <w:p>
      <w:pPr>
        <w:spacing w:after="0" w:line="202" w:lineRule="exact"/>
        <w:rPr>
          <w:rFonts w:ascii="Arial" w:cs="Arial" w:eastAsia="Arial" w:hAnsi="Arial"/>
          <w:sz w:val="18"/>
          <w:szCs w:val="18"/>
          <w:b w:val="1"/>
          <w:bCs w:val="1"/>
          <w:color w:val="auto"/>
        </w:rPr>
      </w:pPr>
    </w:p>
    <w:p>
      <w:pPr>
        <w:jc w:val="both"/>
        <w:ind w:left="14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In March 2019, the Company, PSCS and TPSCo, as applicable, signed three-year agreements renewing the previously signed 2014 agreements, to be in effect from April 2019 for an additional 3-year period. Following the purchase of NTCJ (previously named PSCS) by Nuvoton from Panasonic in September 2020, NTCJ assumed the above described contracts at same commercial terms and is utilizing TPSCo’s three manufacturing facilities in Japan (see Note 11D). For details on TPSCo’s facilities and buildings lease through 2032, see Note 11D above.</w:t>
      </w:r>
    </w:p>
    <w:p>
      <w:pPr>
        <w:spacing w:after="0" w:line="170" w:lineRule="exact"/>
        <w:rPr>
          <w:rFonts w:ascii="Arial" w:cs="Arial" w:eastAsia="Arial" w:hAnsi="Arial"/>
          <w:sz w:val="18"/>
          <w:szCs w:val="18"/>
          <w:b w:val="1"/>
          <w:bCs w:val="1"/>
          <w:color w:val="auto"/>
        </w:rPr>
      </w:pPr>
    </w:p>
    <w:p>
      <w:pPr>
        <w:ind w:left="1440" w:hanging="352"/>
        <w:spacing w:after="0"/>
        <w:tabs>
          <w:tab w:leader="none" w:pos="144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License Agreements</w:t>
      </w:r>
    </w:p>
    <w:p>
      <w:pPr>
        <w:spacing w:after="0" w:line="215" w:lineRule="exact"/>
        <w:rPr>
          <w:rFonts w:ascii="Arial" w:cs="Arial" w:eastAsia="Arial" w:hAnsi="Arial"/>
          <w:sz w:val="18"/>
          <w:szCs w:val="18"/>
          <w:b w:val="1"/>
          <w:bCs w:val="1"/>
          <w:color w:val="auto"/>
        </w:rPr>
      </w:pPr>
    </w:p>
    <w:p>
      <w:pPr>
        <w:jc w:val="both"/>
        <w:ind w:left="14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Company enters into intellectual property and licensing agreements with third parties from time to time. The effect of each of them on the Company’s total assets and results of operations is immaterial. Certain of these agreements call for royalties to be paid by the Company to these third parties.</w:t>
      </w:r>
    </w:p>
    <w:p>
      <w:pPr>
        <w:spacing w:after="0" w:line="152" w:lineRule="exact"/>
        <w:rPr>
          <w:rFonts w:ascii="Arial" w:cs="Arial" w:eastAsia="Arial" w:hAnsi="Arial"/>
          <w:sz w:val="18"/>
          <w:szCs w:val="18"/>
          <w:b w:val="1"/>
          <w:bCs w:val="1"/>
          <w:color w:val="auto"/>
        </w:rPr>
      </w:pPr>
    </w:p>
    <w:p>
      <w:pPr>
        <w:ind w:left="1440" w:hanging="352"/>
        <w:spacing w:after="0"/>
        <w:tabs>
          <w:tab w:leader="none" w:pos="144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TSNP Lease Agreement</w:t>
      </w:r>
    </w:p>
    <w:p>
      <w:pPr>
        <w:spacing w:after="0" w:line="215" w:lineRule="exact"/>
        <w:rPr>
          <w:rFonts w:ascii="Arial" w:cs="Arial" w:eastAsia="Arial" w:hAnsi="Arial"/>
          <w:sz w:val="18"/>
          <w:szCs w:val="18"/>
          <w:b w:val="1"/>
          <w:bCs w:val="1"/>
          <w:color w:val="auto"/>
        </w:rPr>
      </w:pPr>
    </w:p>
    <w:p>
      <w:pPr>
        <w:jc w:val="both"/>
        <w:ind w:left="14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TSNP leases its fabrication facilities under an operational lease contract that is due to expire in 2022, and that may be extended until 2027 through the exercise of an option at TSNP’s sole discretion. In the amendments to its lease, (i) TSNP secured various contractual safeguards designed to limit and mitigate any adverse impact of construction activities on its fabrication operations; and (ii) set forth certain obligations of TSNP and the landlord, including certain noise abatement actions at the fabrication facility. The landlord has made claims that TSNP’s noise abatement efforts are not adequate under the terms of the amended lease. TSNP does not agree and is disputing these claims.</w:t>
      </w:r>
    </w:p>
    <w:p>
      <w:pPr>
        <w:spacing w:after="0" w:line="174" w:lineRule="exact"/>
        <w:rPr>
          <w:rFonts w:ascii="Arial" w:cs="Arial" w:eastAsia="Arial" w:hAnsi="Arial"/>
          <w:sz w:val="18"/>
          <w:szCs w:val="18"/>
          <w:b w:val="1"/>
          <w:bCs w:val="1"/>
          <w:color w:val="auto"/>
        </w:rPr>
      </w:pPr>
    </w:p>
    <w:p>
      <w:pPr>
        <w:ind w:left="1440" w:hanging="352"/>
        <w:spacing w:after="0"/>
        <w:tabs>
          <w:tab w:leader="none" w:pos="144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IT Security Systems Event</w:t>
      </w:r>
    </w:p>
    <w:p>
      <w:pPr>
        <w:spacing w:after="0" w:line="202" w:lineRule="exact"/>
        <w:rPr>
          <w:rFonts w:ascii="Arial" w:cs="Arial" w:eastAsia="Arial" w:hAnsi="Arial"/>
          <w:sz w:val="18"/>
          <w:szCs w:val="18"/>
          <w:b w:val="1"/>
          <w:bCs w:val="1"/>
          <w:color w:val="auto"/>
        </w:rPr>
      </w:pPr>
    </w:p>
    <w:p>
      <w:pPr>
        <w:jc w:val="both"/>
        <w:ind w:left="14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In September 2020, the Company’s information technology (“IT”) security systems identified a security event on some of its computerized systems. As a preventive measure, the Company halted certain of its servers and proactively held operations in some of its manufacturing facilities for a few days, following which it commenced to gradually restore operations and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19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NOTE 14</w:t>
        <w:tab/>
        <w:t>- COMMITMENTS AND CONTINGENCIES (Cont.)</w:t>
      </w:r>
    </w:p>
    <w:p>
      <w:pPr>
        <w:spacing w:after="0" w:line="198" w:lineRule="exact"/>
        <w:rPr>
          <w:sz w:val="20"/>
          <w:szCs w:val="20"/>
          <w:color w:val="auto"/>
        </w:rPr>
      </w:pPr>
    </w:p>
    <w:p>
      <w:pPr>
        <w:ind w:left="1440" w:hanging="352"/>
        <w:spacing w:after="0"/>
        <w:tabs>
          <w:tab w:leader="none" w:pos="144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IT Security Systems Event (Cont.)</w:t>
      </w:r>
    </w:p>
    <w:p>
      <w:pPr>
        <w:spacing w:after="0" w:line="215" w:lineRule="exact"/>
        <w:rPr>
          <w:rFonts w:ascii="Arial" w:cs="Arial" w:eastAsia="Arial" w:hAnsi="Arial"/>
          <w:sz w:val="18"/>
          <w:szCs w:val="18"/>
          <w:b w:val="1"/>
          <w:bCs w:val="1"/>
          <w:color w:val="auto"/>
        </w:rPr>
      </w:pPr>
    </w:p>
    <w:p>
      <w:pPr>
        <w:ind w:left="14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return to full capability in all its facilities. Due to the immediate procedures implemented, the functionality and quality of the work in progress, as well as customer and employee data, remained protected.</w:t>
      </w:r>
    </w:p>
    <w:p>
      <w:pPr>
        <w:spacing w:after="0" w:line="156" w:lineRule="exact"/>
        <w:rPr>
          <w:rFonts w:ascii="Arial" w:cs="Arial" w:eastAsia="Arial" w:hAnsi="Arial"/>
          <w:sz w:val="18"/>
          <w:szCs w:val="18"/>
          <w:b w:val="1"/>
          <w:bCs w:val="1"/>
          <w:color w:val="auto"/>
        </w:rPr>
      </w:pPr>
    </w:p>
    <w:p>
      <w:pPr>
        <w:jc w:val="both"/>
        <w:ind w:left="14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Tower maintains a cyber insurance policy and is working closely with its insurance providers to receive compensation for the damage resulting from the event. The Company included reimbursement to be received from the insurers for incurred costs related to the event under “other current assets” in the balance sheet as of December 31, 2020. The event had no material impact on the financial position of the Company.</w:t>
      </w:r>
    </w:p>
    <w:p>
      <w:pPr>
        <w:spacing w:after="0" w:line="155" w:lineRule="exact"/>
        <w:rPr>
          <w:rFonts w:ascii="Arial" w:cs="Arial" w:eastAsia="Arial" w:hAnsi="Arial"/>
          <w:sz w:val="18"/>
          <w:szCs w:val="18"/>
          <w:b w:val="1"/>
          <w:bCs w:val="1"/>
          <w:color w:val="auto"/>
        </w:rPr>
      </w:pPr>
    </w:p>
    <w:p>
      <w:pPr>
        <w:ind w:left="1440" w:hanging="352"/>
        <w:spacing w:after="0"/>
        <w:tabs>
          <w:tab w:leader="none" w:pos="144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An engagement in relation to 8-inch Fabrication Facility Establishment</w:t>
      </w:r>
    </w:p>
    <w:p>
      <w:pPr>
        <w:spacing w:after="0" w:line="215" w:lineRule="exact"/>
        <w:rPr>
          <w:rFonts w:ascii="Arial" w:cs="Arial" w:eastAsia="Arial" w:hAnsi="Arial"/>
          <w:sz w:val="18"/>
          <w:szCs w:val="18"/>
          <w:b w:val="1"/>
          <w:bCs w:val="1"/>
          <w:color w:val="auto"/>
        </w:rPr>
      </w:pPr>
    </w:p>
    <w:p>
      <w:pPr>
        <w:jc w:val="both"/>
        <w:ind w:left="14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In 2017, the Company, Nanjing Development Zone, Tacoma Technology Ltd. and Tacoma (Nanjing) Semiconductor Technology Co., Ltd. (collectively known as “Tacoma”), signed agreements targeting for an 8-inch fabrication facility to be established in Nanjing, China, to be entirely funded by Nanjing and Tacoma.</w:t>
      </w:r>
    </w:p>
    <w:p>
      <w:pPr>
        <w:spacing w:after="0" w:line="170" w:lineRule="exact"/>
        <w:rPr>
          <w:rFonts w:ascii="Arial" w:cs="Arial" w:eastAsia="Arial" w:hAnsi="Arial"/>
          <w:sz w:val="18"/>
          <w:szCs w:val="18"/>
          <w:b w:val="1"/>
          <w:bCs w:val="1"/>
          <w:color w:val="auto"/>
        </w:rPr>
      </w:pPr>
    </w:p>
    <w:p>
      <w:pPr>
        <w:jc w:val="both"/>
        <w:ind w:left="1440"/>
        <w:spacing w:after="0" w:line="301" w:lineRule="auto"/>
        <w:rPr>
          <w:rFonts w:ascii="Arial" w:cs="Arial" w:eastAsia="Arial" w:hAnsi="Arial"/>
          <w:sz w:val="18"/>
          <w:szCs w:val="18"/>
          <w:b w:val="1"/>
          <w:bCs w:val="1"/>
          <w:color w:val="auto"/>
        </w:rPr>
      </w:pPr>
      <w:r>
        <w:rPr>
          <w:rFonts w:ascii="Arial" w:cs="Arial" w:eastAsia="Arial" w:hAnsi="Arial"/>
          <w:sz w:val="16"/>
          <w:szCs w:val="16"/>
          <w:color w:val="auto"/>
        </w:rPr>
        <w:t>During the years 2017 and 2019, the Company received a total of $18,000 and $9,000, respectively (net of withholding taxes) for consultation and other services it provided. In 2020, Tacoma announced its bankruptcy and did not pay a remainder of $9,000 (net of withholding taxes) it owed to the Company, however, since the Company accrued for the amounts owed and unpaid by Tacoma for the services provided in previous years, this event had no impact on the Company’s results of operations or cash flows in 2020.</w:t>
      </w:r>
    </w:p>
    <w:p>
      <w:pPr>
        <w:spacing w:after="0" w:line="126" w:lineRule="exact"/>
        <w:rPr>
          <w:rFonts w:ascii="Arial" w:cs="Arial" w:eastAsia="Arial" w:hAnsi="Arial"/>
          <w:sz w:val="18"/>
          <w:szCs w:val="18"/>
          <w:b w:val="1"/>
          <w:bCs w:val="1"/>
          <w:color w:val="auto"/>
        </w:rPr>
      </w:pPr>
    </w:p>
    <w:p>
      <w:pPr>
        <w:ind w:left="1440" w:hanging="352"/>
        <w:spacing w:after="0"/>
        <w:tabs>
          <w:tab w:leader="none" w:pos="144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Other Agreements</w:t>
      </w:r>
    </w:p>
    <w:p>
      <w:pPr>
        <w:spacing w:after="0" w:line="216" w:lineRule="exact"/>
        <w:rPr>
          <w:sz w:val="20"/>
          <w:szCs w:val="20"/>
          <w:color w:val="auto"/>
        </w:rPr>
      </w:pPr>
    </w:p>
    <w:p>
      <w:pPr>
        <w:jc w:val="both"/>
        <w:ind w:left="1440"/>
        <w:spacing w:after="0" w:line="263" w:lineRule="auto"/>
        <w:rPr>
          <w:sz w:val="20"/>
          <w:szCs w:val="20"/>
          <w:color w:val="auto"/>
        </w:rPr>
      </w:pPr>
      <w:r>
        <w:rPr>
          <w:rFonts w:ascii="Arial" w:cs="Arial" w:eastAsia="Arial" w:hAnsi="Arial"/>
          <w:sz w:val="18"/>
          <w:szCs w:val="18"/>
          <w:color w:val="auto"/>
        </w:rPr>
        <w:t>From time to time, in the ordinary course of business, the Company enters into long-term agreements with various entities for the joint development of products and processes utilizing technologies owned separately by either the other entity or the Company, or owned jointly by both parties, as applicable.</w:t>
      </w:r>
    </w:p>
    <w:p>
      <w:pPr>
        <w:spacing w:after="0" w:line="16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NOTE 15</w:t>
        <w:tab/>
        <w:t>- SHAREHOLDERS’ EQUITY</w:t>
      </w:r>
    </w:p>
    <w:p>
      <w:pPr>
        <w:spacing w:after="0" w:line="198" w:lineRule="exact"/>
        <w:rPr>
          <w:sz w:val="20"/>
          <w:szCs w:val="20"/>
          <w:color w:val="auto"/>
        </w:rPr>
      </w:pPr>
    </w:p>
    <w:p>
      <w:pPr>
        <w:ind w:left="1440" w:hanging="352"/>
        <w:spacing w:after="0"/>
        <w:tabs>
          <w:tab w:leader="none" w:pos="144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Ordinary Shares</w:t>
      </w:r>
    </w:p>
    <w:p>
      <w:pPr>
        <w:spacing w:after="0" w:line="215" w:lineRule="exact"/>
        <w:rPr>
          <w:rFonts w:ascii="Arial" w:cs="Arial" w:eastAsia="Arial" w:hAnsi="Arial"/>
          <w:sz w:val="18"/>
          <w:szCs w:val="18"/>
          <w:b w:val="1"/>
          <w:bCs w:val="1"/>
          <w:color w:val="auto"/>
        </w:rPr>
      </w:pPr>
    </w:p>
    <w:p>
      <w:pPr>
        <w:jc w:val="both"/>
        <w:ind w:left="144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As of December 31, 2020, Tower had 150 million authorized ordinary shares, par value NIS 15.00 each, of which approximately 108 million were outstanding. Holders of ordinary shares are entitled to participate equally in the payment of cash dividends and bonus share (stock dividend) distributions and, in the event of the liquidation of Tower, in the distribution of assets after satisfaction of liabilities to creditors. Each ordinary share is entitled to one vote on all matters to be voted on by shareholders.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35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NOTE 15</w:t>
        <w:tab/>
        <w:t>- SHAREHOLDERS’ EQUITY (Cont.)</w:t>
      </w:r>
    </w:p>
    <w:p>
      <w:pPr>
        <w:spacing w:after="0" w:line="198" w:lineRule="exact"/>
        <w:rPr>
          <w:sz w:val="20"/>
          <w:szCs w:val="20"/>
          <w:color w:val="auto"/>
        </w:rPr>
      </w:pPr>
    </w:p>
    <w:p>
      <w:pPr>
        <w:ind w:left="1440" w:hanging="352"/>
        <w:spacing w:after="0"/>
        <w:tabs>
          <w:tab w:leader="none" w:pos="144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Equity Incentive Plans</w:t>
      </w:r>
    </w:p>
    <w:p>
      <w:pPr>
        <w:spacing w:after="0" w:line="212" w:lineRule="exact"/>
        <w:rPr>
          <w:sz w:val="20"/>
          <w:szCs w:val="20"/>
          <w:color w:val="auto"/>
        </w:rPr>
      </w:pPr>
    </w:p>
    <w:p>
      <w:pPr>
        <w:ind w:left="1440"/>
        <w:spacing w:after="0"/>
        <w:tabs>
          <w:tab w:leader="none" w:pos="178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6"/>
          <w:szCs w:val="16"/>
          <w:b w:val="1"/>
          <w:bCs w:val="1"/>
          <w:color w:val="auto"/>
        </w:rPr>
        <w:t>General</w:t>
      </w:r>
    </w:p>
    <w:p>
      <w:pPr>
        <w:spacing w:after="0" w:line="216" w:lineRule="exact"/>
        <w:rPr>
          <w:sz w:val="20"/>
          <w:szCs w:val="20"/>
          <w:color w:val="auto"/>
        </w:rPr>
      </w:pPr>
    </w:p>
    <w:p>
      <w:pPr>
        <w:jc w:val="both"/>
        <w:ind w:left="1860"/>
        <w:spacing w:after="0" w:line="254" w:lineRule="auto"/>
        <w:rPr>
          <w:sz w:val="20"/>
          <w:szCs w:val="20"/>
          <w:color w:val="auto"/>
        </w:rPr>
      </w:pPr>
      <w:r>
        <w:rPr>
          <w:rFonts w:ascii="Arial" w:cs="Arial" w:eastAsia="Arial" w:hAnsi="Arial"/>
          <w:sz w:val="18"/>
          <w:szCs w:val="18"/>
          <w:color w:val="auto"/>
        </w:rPr>
        <w:t>The Company has granted to its employees and directors options and restricted stock units (“RSUs”) to purchase ordinary shares under several share incentive plans adopted by the Company. The specific provisions of each plan and grant vary as to vesting period, exercise price, exercise period and other terms. Generally, (i) the exercise price of options will not be lower than the nominal value of the shares and will equal either the closing market price of the ordinary shares immediately prior to the date of grant, or in relation to grants made from September 2013, an average of the closing price during the thirty trading days immediately prior to the date of grant; (ii) vesting is over a one to four year period according to defined vesting schedules, and for performance RSUs include performance targets; and (iii) options are not exercisable beyond seven or ten years from the grant date, as applicable.</w:t>
      </w:r>
    </w:p>
    <w:p>
      <w:pPr>
        <w:spacing w:after="0" w:line="165" w:lineRule="exact"/>
        <w:rPr>
          <w:sz w:val="20"/>
          <w:szCs w:val="20"/>
          <w:color w:val="auto"/>
        </w:rPr>
      </w:pPr>
    </w:p>
    <w:p>
      <w:pPr>
        <w:jc w:val="both"/>
        <w:ind w:left="1860"/>
        <w:spacing w:after="0" w:line="263" w:lineRule="auto"/>
        <w:rPr>
          <w:sz w:val="20"/>
          <w:szCs w:val="20"/>
          <w:color w:val="auto"/>
        </w:rPr>
      </w:pPr>
      <w:r>
        <w:rPr>
          <w:rFonts w:ascii="Arial" w:cs="Arial" w:eastAsia="Arial" w:hAnsi="Arial"/>
          <w:sz w:val="18"/>
          <w:szCs w:val="18"/>
          <w:color w:val="auto"/>
        </w:rPr>
        <w:t>Except for those share incentive plans described below, as of December 31, 2020 and December 31, 2019, there were approximately 3 thousand and 25 thousand options, respectively, which were outstanding under the Company’s other share incentive plans (the "Old Plans”). No further options may be granted under the Old Plans.</w:t>
      </w:r>
    </w:p>
    <w:p>
      <w:pPr>
        <w:spacing w:after="0" w:line="166" w:lineRule="exact"/>
        <w:rPr>
          <w:sz w:val="20"/>
          <w:szCs w:val="20"/>
          <w:color w:val="auto"/>
        </w:rPr>
      </w:pPr>
    </w:p>
    <w:p>
      <w:pPr>
        <w:ind w:left="1440"/>
        <w:spacing w:after="0"/>
        <w:tabs>
          <w:tab w:leader="none" w:pos="178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6"/>
          <w:szCs w:val="16"/>
          <w:b w:val="1"/>
          <w:bCs w:val="1"/>
          <w:color w:val="auto"/>
        </w:rPr>
        <w:t>Tower’s 2013 Share Incentive Plan (the "2013 Plan")</w:t>
      </w:r>
    </w:p>
    <w:p>
      <w:pPr>
        <w:spacing w:after="0" w:line="216" w:lineRule="exact"/>
        <w:rPr>
          <w:sz w:val="20"/>
          <w:szCs w:val="20"/>
          <w:color w:val="auto"/>
        </w:rPr>
      </w:pPr>
    </w:p>
    <w:p>
      <w:pPr>
        <w:jc w:val="both"/>
        <w:ind w:left="1860"/>
        <w:spacing w:after="0" w:line="259" w:lineRule="auto"/>
        <w:rPr>
          <w:sz w:val="20"/>
          <w:szCs w:val="20"/>
          <w:color w:val="auto"/>
        </w:rPr>
      </w:pPr>
      <w:r>
        <w:rPr>
          <w:rFonts w:ascii="Arial" w:cs="Arial" w:eastAsia="Arial" w:hAnsi="Arial"/>
          <w:sz w:val="18"/>
          <w:szCs w:val="18"/>
          <w:color w:val="auto"/>
        </w:rPr>
        <w:t>In 2013, the Company adopted a share incentive plan for directors, officers and employees of the Company which in 2019 was extended to enable grants to third party service providers (“2013 Plan”). Options granted under the 2013 Plan bear an exercise price equal to the average closing price during the thirty trading days immediately prior to the date of grant, vest over up to a three-year period and are not exercisable beyond seven years from the grant date.</w:t>
      </w:r>
    </w:p>
    <w:p>
      <w:pPr>
        <w:spacing w:after="0" w:line="160" w:lineRule="exact"/>
        <w:rPr>
          <w:sz w:val="20"/>
          <w:szCs w:val="20"/>
          <w:color w:val="auto"/>
        </w:rPr>
      </w:pPr>
    </w:p>
    <w:p>
      <w:pPr>
        <w:jc w:val="both"/>
        <w:ind w:left="1860"/>
        <w:spacing w:after="0" w:line="257" w:lineRule="auto"/>
        <w:rPr>
          <w:sz w:val="20"/>
          <w:szCs w:val="20"/>
          <w:color w:val="auto"/>
        </w:rPr>
      </w:pPr>
      <w:r>
        <w:rPr>
          <w:rFonts w:ascii="Arial" w:cs="Arial" w:eastAsia="Arial" w:hAnsi="Arial"/>
          <w:sz w:val="18"/>
          <w:szCs w:val="18"/>
          <w:color w:val="auto"/>
        </w:rPr>
        <w:t>Under the 2013 Plan, the Company granted, in 2020 and 2019, a total of 1.11 million RSUs and 1.16 million RSUs, respectively, to its employees and directors (including the below described grants to the CEO and Chairman), with vesting over up to a three-year period. The Company measures compensation expenses of the RSUs based on the closing market price of the ordinary shares immediately prior to the date of grant and amortizes it over the applicable vesting period taking into consideration compliance with performance criteria, if any.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35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NOTE 15</w:t>
        <w:tab/>
        <w:t>- SHAREHOLDERS’ EQUITY (Cont.)</w:t>
      </w:r>
    </w:p>
    <w:p>
      <w:pPr>
        <w:spacing w:after="0" w:line="202" w:lineRule="exact"/>
        <w:rPr>
          <w:sz w:val="20"/>
          <w:szCs w:val="20"/>
          <w:color w:val="auto"/>
        </w:rPr>
      </w:pPr>
    </w:p>
    <w:p>
      <w:pPr>
        <w:jc w:val="both"/>
        <w:ind w:left="1860"/>
        <w:spacing w:after="0" w:line="285" w:lineRule="auto"/>
        <w:rPr>
          <w:sz w:val="20"/>
          <w:szCs w:val="20"/>
          <w:color w:val="auto"/>
        </w:rPr>
      </w:pPr>
      <w:r>
        <w:rPr>
          <w:rFonts w:ascii="Arial" w:cs="Arial" w:eastAsia="Arial" w:hAnsi="Arial"/>
          <w:sz w:val="16"/>
          <w:szCs w:val="16"/>
          <w:color w:val="auto"/>
        </w:rPr>
        <w:t>In September 2020, the Company's shareholders approved the grant of the following RSUs to the Company's CEO and members of the Board of Directors under the 2013 Plan: (i) 109 thousand time vested RSUs and 163 thousand performance based RSUs to the CEO, which RSUs will vest linearly over a three-year period, 33% at the end of each year for three years following the grant date, for a compensation value of approximately $5,000. Commencing May 2024, the CEO will have to own ordinary shares of the Company at a minimum value that equals at least three times his annual base salary as of May 2024 (“Minimum Holding”). The CEO has 5 years from May 2019 and until May 2024 to accumulate the Minimum Holding (whether by RSUs converted to ordinary shares or purchase of ordinary shares), during which 5 year period he must retain at least 20% of the vested time-based RSUs that are granted to him from May 2019 until the time he will accumulate and maintain such amount of shares that equals or exceeds three times his annual base salary; (ii) 16 thousand time vested RSUs to the chairman of the Board of Directors (“the Chairman”) for a total compensation value of $300, to vest linearly over a three-year period, 33% at the end of each year for three years following the grant date; and (iii) 5 thousand time vested RSUs to each of the 9 members of the Board of Directors serving then (other than to the Chairman and the CEO), for an aggregate compensation value of $900, vesting over a two-year period, with 50% vesting at the first anniversary of the date of grant and 50% on the second anniversary of the date of grant. The chairman of the Board and each of the members of the Board will have to own ordinary shares of the Company at a minimum value that equals at least 50% of their annual cash compensation (“Minimum Holding”). They have 5 years to accumulate the Minimum Holding (whether by RSUs converted to ordinary shares or purchase of ordinary shares), during which 5 year period they must retain at least 20% of the vested time-based RSUs that were granted to them from July 2020 until the time they will accumulate and maintain such amount of shares that equals or exceeds 50% of their annual cash compensation.</w:t>
      </w:r>
    </w:p>
    <w:p>
      <w:pPr>
        <w:spacing w:after="0" w:line="158" w:lineRule="exact"/>
        <w:rPr>
          <w:sz w:val="20"/>
          <w:szCs w:val="20"/>
          <w:color w:val="auto"/>
        </w:rPr>
      </w:pPr>
    </w:p>
    <w:p>
      <w:pPr>
        <w:jc w:val="both"/>
        <w:ind w:left="1860"/>
        <w:spacing w:after="0" w:line="290" w:lineRule="auto"/>
        <w:rPr>
          <w:sz w:val="20"/>
          <w:szCs w:val="20"/>
          <w:color w:val="auto"/>
        </w:rPr>
      </w:pPr>
      <w:r>
        <w:rPr>
          <w:rFonts w:ascii="Arial" w:cs="Arial" w:eastAsia="Arial" w:hAnsi="Arial"/>
          <w:sz w:val="16"/>
          <w:szCs w:val="16"/>
          <w:color w:val="auto"/>
        </w:rPr>
        <w:t>In June 2019, the Company's shareholders approved the grant of the following RSUs to the Company's CEO and members of the Board of Directors under the 2013 Plan: (i) 129 thousand time vested RSUs and 129 thousand performance based RSUs to the CEO, which RSUs will vest linearly over a three-year period, 33% at the end of each year for the three years following the grant date, for a compensation value of $3,900; (ii) 20 thousand time vested RSUs to the chairman of the Board of Directors (“the Chairman”) for a total compensation value of $300, to vest linearly over a three-year period, 33% at the end of each year for the three years following the grant date; and (iii) 5 thousand time vested RSUs to each of the 8 members of the Board of Directors serving then (other than to the Chairman and the CEO), for an aggregate compensation value of $600, vesting over a two-year period, with 50% vesting at the first anniversary of the date of grant and 50% on the second anniversary of the date of grant.</w:t>
      </w:r>
    </w:p>
    <w:p>
      <w:pPr>
        <w:spacing w:after="0" w:line="152" w:lineRule="exact"/>
        <w:rPr>
          <w:sz w:val="20"/>
          <w:szCs w:val="20"/>
          <w:color w:val="auto"/>
        </w:rPr>
      </w:pPr>
    </w:p>
    <w:p>
      <w:pPr>
        <w:jc w:val="both"/>
        <w:ind w:left="1860"/>
        <w:spacing w:after="0" w:line="288" w:lineRule="auto"/>
        <w:rPr>
          <w:sz w:val="20"/>
          <w:szCs w:val="20"/>
          <w:color w:val="auto"/>
        </w:rPr>
      </w:pPr>
      <w:r>
        <w:rPr>
          <w:rFonts w:ascii="Arial" w:cs="Arial" w:eastAsia="Arial" w:hAnsi="Arial"/>
          <w:sz w:val="16"/>
          <w:szCs w:val="16"/>
          <w:color w:val="auto"/>
        </w:rPr>
        <w:t>In July 2018, the Company's shareholders approved the grant of the following RSUs to the Company's CEO and members of the Board of Directors under the 2013 Plan: (i) 107 thousand time vested RSUs and 72 thousand performance based RSUs to the CEO, which RSUs will vest linearly over a three-year period, 33% at the end of each year for the three years following the grant date, for a compensation value of $3,900; and, in addition, 50 thousand performance based RSUs vesting over three years, with 65% vesting at the first anniversary of the grant, an additional 25% at the second anniversary and the remaining portion at the third anniversary for an additional compensation value of $1,100; (ii) 14 thousand time vested RSUs to the Chairman for a total compensation value of $300, to vest linearly over a three-year period, 33% at the end of each year for the three years following the grant date; and (iii) 3 thousand time vested RSUs to each of the 8 members of the Board of Directors serving then (other than to the Chairman and the CEO), for an aggregate compensation value of $600, vesting over a two-year period, with 50% vesting on the first anniversary of the date of grant and 50% on the second anniversary of the date of grant.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35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NOTE 15</w:t>
        <w:tab/>
        <w:t>- SHAREHOLDERS’ EQUITY (Cont.)</w:t>
      </w:r>
    </w:p>
    <w:p>
      <w:pPr>
        <w:spacing w:after="0" w:line="198" w:lineRule="exact"/>
        <w:rPr>
          <w:sz w:val="20"/>
          <w:szCs w:val="20"/>
          <w:color w:val="auto"/>
        </w:rPr>
      </w:pPr>
    </w:p>
    <w:p>
      <w:pPr>
        <w:ind w:left="1440" w:hanging="352"/>
        <w:spacing w:after="0"/>
        <w:tabs>
          <w:tab w:leader="none" w:pos="144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Equity Incentive Plans (Cont.)</w:t>
      </w:r>
    </w:p>
    <w:p>
      <w:pPr>
        <w:spacing w:after="0" w:line="216" w:lineRule="exact"/>
        <w:rPr>
          <w:sz w:val="20"/>
          <w:szCs w:val="20"/>
          <w:color w:val="auto"/>
        </w:rPr>
      </w:pPr>
    </w:p>
    <w:p>
      <w:pPr>
        <w:jc w:val="both"/>
        <w:ind w:left="1860"/>
        <w:spacing w:after="0" w:line="259" w:lineRule="auto"/>
        <w:rPr>
          <w:sz w:val="20"/>
          <w:szCs w:val="20"/>
          <w:color w:val="auto"/>
        </w:rPr>
      </w:pPr>
      <w:r>
        <w:rPr>
          <w:rFonts w:ascii="Arial" w:cs="Arial" w:eastAsia="Arial" w:hAnsi="Arial"/>
          <w:sz w:val="18"/>
          <w:szCs w:val="18"/>
          <w:color w:val="auto"/>
        </w:rPr>
        <w:t>As of December 31, 2020, approximately 30 thousand options and approximately 2.2 million RSUs were outstanding under the 2013 Plan. As of December 31, 2019, approximately 318 thousand options and approximately 2 million RSUs were outstanding under the 2013 Plan. Further grants may be approved subject to compensation committee, board of directors and shareholders’ approval, as may be required by law.</w:t>
      </w:r>
    </w:p>
    <w:p>
      <w:pPr>
        <w:spacing w:after="0" w:line="169" w:lineRule="exact"/>
        <w:rPr>
          <w:sz w:val="20"/>
          <w:szCs w:val="20"/>
          <w:color w:val="auto"/>
        </w:rPr>
      </w:pPr>
    </w:p>
    <w:p>
      <w:pPr>
        <w:ind w:left="1440"/>
        <w:spacing w:after="0"/>
        <w:tabs>
          <w:tab w:leader="none" w:pos="178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color w:val="auto"/>
        </w:rPr>
        <w:t>i. Share Options awards: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280" w:type="dxa"/>
            <w:vAlign w:val="bottom"/>
          </w:tcPr>
          <w:p>
            <w:pPr>
              <w:spacing w:after="0"/>
              <w:rPr>
                <w:sz w:val="20"/>
                <w:szCs w:val="20"/>
                <w:color w:val="auto"/>
              </w:rPr>
            </w:pPr>
          </w:p>
        </w:tc>
        <w:tc>
          <w:tcPr>
            <w:tcW w:w="152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8"/>
                <w:szCs w:val="18"/>
                <w:color w:val="auto"/>
              </w:rPr>
              <w:t>2020</w:t>
            </w:r>
          </w:p>
        </w:tc>
        <w:tc>
          <w:tcPr>
            <w:tcW w:w="9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2019</w:t>
            </w:r>
          </w:p>
        </w:tc>
        <w:tc>
          <w:tcPr>
            <w:tcW w:w="9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Borders>
              <w:bottom w:val="single" w:sz="8" w:color="auto"/>
            </w:tcBorders>
            <w:gridSpan w:val="4"/>
          </w:tcPr>
          <w:p>
            <w:pPr>
              <w:jc w:val="right"/>
              <w:ind w:right="7"/>
              <w:spacing w:after="0"/>
              <w:rPr>
                <w:sz w:val="20"/>
                <w:szCs w:val="20"/>
                <w:color w:val="auto"/>
              </w:rPr>
            </w:pPr>
            <w:r>
              <w:rPr>
                <w:rFonts w:ascii="Arial" w:cs="Arial" w:eastAsia="Arial" w:hAnsi="Arial"/>
                <w:sz w:val="18"/>
                <w:szCs w:val="18"/>
                <w:color w:val="auto"/>
              </w:rPr>
              <w:t>2018</w:t>
            </w:r>
          </w:p>
        </w:tc>
        <w:tc>
          <w:tcPr>
            <w:tcW w:w="9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02"/>
        </w:trPr>
        <w:tc>
          <w:tcPr>
            <w:tcW w:w="3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center"/>
              <w:ind w:right="50"/>
              <w:spacing w:after="0" w:line="201" w:lineRule="exact"/>
              <w:rPr>
                <w:sz w:val="20"/>
                <w:szCs w:val="20"/>
                <w:color w:val="auto"/>
              </w:rPr>
            </w:pPr>
            <w:r>
              <w:rPr>
                <w:rFonts w:ascii="Arial" w:cs="Arial" w:eastAsia="Arial" w:hAnsi="Arial"/>
                <w:sz w:val="18"/>
                <w:szCs w:val="18"/>
                <w:color w:val="auto"/>
                <w:w w:val="89"/>
              </w:rPr>
              <w:t>Weighted</w:t>
            </w: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center"/>
              <w:ind w:right="70"/>
              <w:spacing w:after="0" w:line="201" w:lineRule="exact"/>
              <w:rPr>
                <w:sz w:val="20"/>
                <w:szCs w:val="20"/>
                <w:color w:val="auto"/>
              </w:rPr>
            </w:pPr>
            <w:r>
              <w:rPr>
                <w:rFonts w:ascii="Arial" w:cs="Arial" w:eastAsia="Arial" w:hAnsi="Arial"/>
                <w:sz w:val="18"/>
                <w:szCs w:val="18"/>
                <w:color w:val="auto"/>
                <w:w w:val="89"/>
              </w:rPr>
              <w:t>Weighted</w:t>
            </w: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center"/>
              <w:ind w:right="70"/>
              <w:spacing w:after="0" w:line="201" w:lineRule="exact"/>
              <w:rPr>
                <w:sz w:val="20"/>
                <w:szCs w:val="20"/>
                <w:color w:val="auto"/>
              </w:rPr>
            </w:pPr>
            <w:r>
              <w:rPr>
                <w:rFonts w:ascii="Arial" w:cs="Arial" w:eastAsia="Arial" w:hAnsi="Arial"/>
                <w:sz w:val="18"/>
                <w:szCs w:val="18"/>
                <w:color w:val="auto"/>
                <w:w w:val="89"/>
              </w:rPr>
              <w:t>Weighted</w:t>
            </w:r>
          </w:p>
        </w:tc>
        <w:tc>
          <w:tcPr>
            <w:tcW w:w="120" w:type="dxa"/>
            <w:vAlign w:val="bottom"/>
          </w:tcPr>
          <w:p>
            <w:pPr>
              <w:spacing w:after="0"/>
              <w:rPr>
                <w:sz w:val="17"/>
                <w:szCs w:val="17"/>
                <w:color w:val="auto"/>
              </w:rPr>
            </w:pPr>
          </w:p>
        </w:tc>
      </w:tr>
      <w:tr>
        <w:trPr>
          <w:trHeight w:val="216"/>
        </w:trPr>
        <w:tc>
          <w:tcPr>
            <w:tcW w:w="328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Number</w:t>
            </w:r>
          </w:p>
        </w:tc>
        <w:tc>
          <w:tcPr>
            <w:tcW w:w="14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color w:val="auto"/>
                <w:w w:val="86"/>
              </w:rPr>
              <w:t>average</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Number</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color w:val="auto"/>
                <w:w w:val="86"/>
              </w:rPr>
              <w:t>average</w:t>
            </w: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Number</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average</w:t>
            </w:r>
          </w:p>
        </w:tc>
      </w:tr>
      <w:tr>
        <w:trPr>
          <w:trHeight w:val="216"/>
        </w:trPr>
        <w:tc>
          <w:tcPr>
            <w:tcW w:w="328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color w:val="auto"/>
                <w:w w:val="86"/>
              </w:rPr>
              <w:t>of share</w:t>
            </w:r>
          </w:p>
        </w:tc>
        <w:tc>
          <w:tcPr>
            <w:tcW w:w="14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exercise</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of share</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exercise</w:t>
            </w: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color w:val="auto"/>
                <w:w w:val="86"/>
              </w:rPr>
              <w:t>of share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color w:val="auto"/>
                <w:w w:val="86"/>
              </w:rPr>
              <w:t>exercise</w:t>
            </w:r>
          </w:p>
        </w:tc>
      </w:tr>
      <w:tr>
        <w:trPr>
          <w:trHeight w:val="237"/>
        </w:trPr>
        <w:tc>
          <w:tcPr>
            <w:tcW w:w="3280" w:type="dxa"/>
            <w:vAlign w:val="bottom"/>
          </w:tcPr>
          <w:p>
            <w:pPr>
              <w:spacing w:after="0"/>
              <w:rPr>
                <w:sz w:val="20"/>
                <w:szCs w:val="20"/>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options</w:t>
            </w:r>
          </w:p>
        </w:tc>
        <w:tc>
          <w:tcPr>
            <w:tcW w:w="140" w:type="dxa"/>
            <w:vAlign w:val="bottom"/>
          </w:tcPr>
          <w:p>
            <w:pPr>
              <w:spacing w:after="0"/>
              <w:rPr>
                <w:sz w:val="20"/>
                <w:szCs w:val="20"/>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price</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options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price</w:t>
            </w: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options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price</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beginning of year</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343,451</w:t>
            </w: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w:t>
            </w:r>
          </w:p>
        </w:tc>
        <w:tc>
          <w:tcPr>
            <w:tcW w:w="24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508,493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20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580,185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12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Granted</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(308,479)</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8.14</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(163,375)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11.28</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(70,271)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10.19</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Terminated</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(667)</w:t>
            </w:r>
          </w:p>
        </w:tc>
        <w:tc>
          <w:tcPr>
            <w:tcW w:w="14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9.90</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(667)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9.90</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(921)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9.82</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(1,500)</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4.42</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4.42</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4.42</w:t>
            </w:r>
          </w:p>
        </w:tc>
      </w:tr>
      <w:tr>
        <w:trPr>
          <w:trHeight w:val="27"/>
        </w:trPr>
        <w:tc>
          <w:tcPr>
            <w:tcW w:w="328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Outstanding as of end of year</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32,805</w:t>
            </w:r>
          </w:p>
        </w:tc>
        <w:tc>
          <w:tcPr>
            <w:tcW w:w="14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15.28</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343,451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8.79</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508,493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9.58</w:t>
            </w:r>
          </w:p>
        </w:tc>
      </w:tr>
      <w:tr>
        <w:trPr>
          <w:trHeight w:val="20"/>
        </w:trPr>
        <w:tc>
          <w:tcPr>
            <w:tcW w:w="32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7"/>
        </w:trPr>
        <w:tc>
          <w:tcPr>
            <w:tcW w:w="3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Options exercisable as of end of year</w:t>
            </w:r>
          </w:p>
        </w:tc>
        <w:tc>
          <w:tcPr>
            <w:tcW w:w="138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32,805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15.28</w:t>
            </w:r>
          </w:p>
        </w:tc>
        <w:tc>
          <w:tcPr>
            <w:tcW w:w="126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343,451</w:t>
            </w:r>
          </w:p>
        </w:tc>
        <w:tc>
          <w:tcPr>
            <w:tcW w:w="2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8.79</w:t>
            </w:r>
          </w:p>
        </w:tc>
        <w:tc>
          <w:tcPr>
            <w:tcW w:w="126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485,579</w:t>
            </w:r>
          </w:p>
        </w:tc>
        <w:tc>
          <w:tcPr>
            <w:tcW w:w="2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9.46</w:t>
            </w:r>
          </w:p>
        </w:tc>
      </w:tr>
      <w:tr>
        <w:trPr>
          <w:trHeight w:val="20"/>
        </w:trPr>
        <w:tc>
          <w:tcPr>
            <w:tcW w:w="32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84" w:lineRule="exact"/>
        <w:rPr>
          <w:sz w:val="20"/>
          <w:szCs w:val="20"/>
          <w:color w:val="auto"/>
        </w:rPr>
      </w:pPr>
    </w:p>
    <w:p>
      <w:pPr>
        <w:sectPr>
          <w:pgSz w:w="11900" w:h="16838" w:orient="portrait"/>
          <w:cols w:equalWidth="0" w:num="1">
            <w:col w:w="11240"/>
          </w:cols>
          <w:pgMar w:left="320" w:top="283" w:right="339" w:bottom="1440" w:gutter="0" w:footer="0" w:header="0"/>
        </w:sectPr>
      </w:pPr>
    </w:p>
    <w:p>
      <w:pPr>
        <w:jc w:val="right"/>
        <w:spacing w:after="0"/>
        <w:rPr>
          <w:sz w:val="20"/>
          <w:szCs w:val="20"/>
          <w:color w:val="auto"/>
        </w:rPr>
      </w:pPr>
      <w:r>
        <w:rPr>
          <w:rFonts w:ascii="Arial" w:cs="Arial" w:eastAsia="Arial" w:hAnsi="Arial"/>
          <w:sz w:val="18"/>
          <w:szCs w:val="18"/>
          <w:b w:val="1"/>
          <w:bCs w:val="1"/>
          <w:color w:val="auto"/>
        </w:rPr>
        <w:t>ii. RSUs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Outstanding as of beginning of year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Granted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Converted</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Forfeited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Outstanding as of end of year</w:t>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7"/>
        </w:trPr>
        <w:tc>
          <w:tcPr>
            <w:tcW w:w="1520" w:type="dxa"/>
            <w:vAlign w:val="bottom"/>
            <w:tcBorders>
              <w:bottom w:val="single" w:sz="8" w:color="auto"/>
            </w:tcBorders>
            <w:gridSpan w:val="4"/>
          </w:tcPr>
          <w:p>
            <w:pPr>
              <w:jc w:val="right"/>
              <w:ind w:right="7"/>
              <w:spacing w:after="0"/>
              <w:rPr>
                <w:sz w:val="20"/>
                <w:szCs w:val="20"/>
                <w:color w:val="auto"/>
              </w:rPr>
            </w:pPr>
            <w:r>
              <w:rPr>
                <w:rFonts w:ascii="Arial" w:cs="Arial" w:eastAsia="Arial" w:hAnsi="Arial"/>
                <w:sz w:val="18"/>
                <w:szCs w:val="18"/>
                <w:color w:val="auto"/>
              </w:rPr>
              <w:t>2020</w:t>
            </w:r>
          </w:p>
        </w:tc>
        <w:tc>
          <w:tcPr>
            <w:tcW w:w="9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2019</w:t>
            </w:r>
          </w:p>
        </w:tc>
        <w:tc>
          <w:tcPr>
            <w:tcW w:w="9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2018</w:t>
            </w:r>
          </w:p>
        </w:tc>
        <w:tc>
          <w:tcPr>
            <w:tcW w:w="9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center"/>
              <w:ind w:right="50"/>
              <w:spacing w:after="0" w:line="201" w:lineRule="exact"/>
              <w:rPr>
                <w:sz w:val="20"/>
                <w:szCs w:val="20"/>
                <w:color w:val="auto"/>
              </w:rPr>
            </w:pPr>
            <w:r>
              <w:rPr>
                <w:rFonts w:ascii="Arial" w:cs="Arial" w:eastAsia="Arial" w:hAnsi="Arial"/>
                <w:sz w:val="18"/>
                <w:szCs w:val="18"/>
                <w:color w:val="auto"/>
                <w:w w:val="89"/>
              </w:rPr>
              <w:t>Weighted</w:t>
            </w: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center"/>
              <w:ind w:right="50"/>
              <w:spacing w:after="0" w:line="201" w:lineRule="exact"/>
              <w:rPr>
                <w:sz w:val="20"/>
                <w:szCs w:val="20"/>
                <w:color w:val="auto"/>
              </w:rPr>
            </w:pPr>
            <w:r>
              <w:rPr>
                <w:rFonts w:ascii="Arial" w:cs="Arial" w:eastAsia="Arial" w:hAnsi="Arial"/>
                <w:sz w:val="18"/>
                <w:szCs w:val="18"/>
                <w:color w:val="auto"/>
                <w:w w:val="89"/>
              </w:rPr>
              <w:t>Weighted</w:t>
            </w: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center"/>
              <w:ind w:right="50"/>
              <w:spacing w:after="0" w:line="201" w:lineRule="exact"/>
              <w:rPr>
                <w:sz w:val="20"/>
                <w:szCs w:val="20"/>
                <w:color w:val="auto"/>
              </w:rPr>
            </w:pPr>
            <w:r>
              <w:rPr>
                <w:rFonts w:ascii="Arial" w:cs="Arial" w:eastAsia="Arial" w:hAnsi="Arial"/>
                <w:sz w:val="18"/>
                <w:szCs w:val="18"/>
                <w:color w:val="auto"/>
                <w:w w:val="89"/>
              </w:rPr>
              <w:t>Weighted</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gridSpan w:val="3"/>
          </w:tcPr>
          <w:p>
            <w:pPr>
              <w:jc w:val="right"/>
              <w:ind w:right="520"/>
              <w:spacing w:after="0"/>
              <w:rPr>
                <w:sz w:val="20"/>
                <w:szCs w:val="20"/>
                <w:color w:val="auto"/>
              </w:rPr>
            </w:pPr>
            <w:r>
              <w:rPr>
                <w:rFonts w:ascii="Arial" w:cs="Arial" w:eastAsia="Arial" w:hAnsi="Arial"/>
                <w:sz w:val="18"/>
                <w:szCs w:val="18"/>
                <w:color w:val="auto"/>
              </w:rPr>
              <w:t>Number</w:t>
            </w:r>
          </w:p>
        </w:tc>
        <w:tc>
          <w:tcPr>
            <w:tcW w:w="14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Average</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Number</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Average</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Number</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Average</w:t>
            </w:r>
          </w:p>
        </w:tc>
        <w:tc>
          <w:tcPr>
            <w:tcW w:w="0" w:type="dxa"/>
            <w:vAlign w:val="bottom"/>
          </w:tcPr>
          <w:p>
            <w:pPr>
              <w:spacing w:after="0"/>
              <w:rPr>
                <w:sz w:val="1"/>
                <w:szCs w:val="1"/>
                <w:color w:val="auto"/>
              </w:rPr>
            </w:pPr>
          </w:p>
        </w:tc>
      </w:tr>
      <w:tr>
        <w:trPr>
          <w:trHeight w:val="237"/>
        </w:trPr>
        <w:tc>
          <w:tcPr>
            <w:tcW w:w="1380" w:type="dxa"/>
            <w:vAlign w:val="bottom"/>
            <w:gridSpan w:val="3"/>
          </w:tcPr>
          <w:p>
            <w:pPr>
              <w:jc w:val="right"/>
              <w:ind w:right="540"/>
              <w:spacing w:after="0"/>
              <w:rPr>
                <w:sz w:val="20"/>
                <w:szCs w:val="20"/>
                <w:color w:val="auto"/>
              </w:rPr>
            </w:pPr>
            <w:r>
              <w:rPr>
                <w:rFonts w:ascii="Arial" w:cs="Arial" w:eastAsia="Arial" w:hAnsi="Arial"/>
                <w:sz w:val="18"/>
                <w:szCs w:val="18"/>
                <w:color w:val="auto"/>
              </w:rPr>
              <w:t>of RSU</w:t>
            </w:r>
          </w:p>
        </w:tc>
        <w:tc>
          <w:tcPr>
            <w:tcW w:w="140" w:type="dxa"/>
            <w:vAlign w:val="bottom"/>
          </w:tcPr>
          <w:p>
            <w:pPr>
              <w:spacing w:after="0"/>
              <w:rPr>
                <w:sz w:val="20"/>
                <w:szCs w:val="20"/>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Fair Value</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of RSU</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Fair Value</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of RSU</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Fair Value</w:t>
            </w:r>
          </w:p>
        </w:tc>
        <w:tc>
          <w:tcPr>
            <w:tcW w:w="0" w:type="dxa"/>
            <w:vAlign w:val="bottom"/>
          </w:tcPr>
          <w:p>
            <w:pPr>
              <w:spacing w:after="0"/>
              <w:rPr>
                <w:sz w:val="1"/>
                <w:szCs w:val="1"/>
                <w:color w:val="auto"/>
              </w:rPr>
            </w:pPr>
          </w:p>
        </w:tc>
      </w:tr>
      <w:tr>
        <w:trPr>
          <w:trHeight w:val="202"/>
        </w:trPr>
        <w:tc>
          <w:tcPr>
            <w:tcW w:w="11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2,013,613</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19.13</w:t>
            </w:r>
          </w:p>
        </w:tc>
        <w:tc>
          <w:tcPr>
            <w:tcW w:w="240" w:type="dxa"/>
            <w:vAlign w:val="bottom"/>
          </w:tcPr>
          <w:p>
            <w:pPr>
              <w:spacing w:after="0"/>
              <w:rPr>
                <w:sz w:val="17"/>
                <w:szCs w:val="17"/>
                <w:color w:val="auto"/>
              </w:rPr>
            </w:pPr>
          </w:p>
        </w:tc>
        <w:tc>
          <w:tcPr>
            <w:tcW w:w="11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1,599,296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22.27</w:t>
            </w:r>
          </w:p>
        </w:tc>
        <w:tc>
          <w:tcPr>
            <w:tcW w:w="200" w:type="dxa"/>
            <w:vAlign w:val="bottom"/>
          </w:tcPr>
          <w:p>
            <w:pPr>
              <w:spacing w:after="0"/>
              <w:rPr>
                <w:sz w:val="17"/>
                <w:szCs w:val="17"/>
                <w:color w:val="auto"/>
              </w:rPr>
            </w:pPr>
          </w:p>
        </w:tc>
        <w:tc>
          <w:tcPr>
            <w:tcW w:w="11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1,245,889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21.29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1,105,155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19.86</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1,159,881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18.06</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977,667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20.80</w:t>
            </w:r>
          </w:p>
        </w:tc>
        <w:tc>
          <w:tcPr>
            <w:tcW w:w="0" w:type="dxa"/>
            <w:vAlign w:val="bottom"/>
          </w:tcPr>
          <w:p>
            <w:pPr>
              <w:spacing w:after="0"/>
              <w:rPr>
                <w:sz w:val="1"/>
                <w:szCs w:val="1"/>
                <w:color w:val="auto"/>
              </w:rPr>
            </w:pPr>
          </w:p>
        </w:tc>
      </w:tr>
      <w:tr>
        <w:trPr>
          <w:trHeight w:val="216"/>
        </w:trPr>
        <w:tc>
          <w:tcPr>
            <w:tcW w:w="1380" w:type="dxa"/>
            <w:vAlign w:val="bottom"/>
            <w:gridSpan w:val="3"/>
          </w:tcPr>
          <w:p>
            <w:pPr>
              <w:jc w:val="right"/>
              <w:ind w:right="200"/>
              <w:spacing w:after="0"/>
              <w:rPr>
                <w:sz w:val="20"/>
                <w:szCs w:val="20"/>
                <w:color w:val="auto"/>
              </w:rPr>
            </w:pPr>
            <w:r>
              <w:rPr>
                <w:rFonts w:ascii="Arial" w:cs="Arial" w:eastAsia="Arial" w:hAnsi="Arial"/>
                <w:sz w:val="18"/>
                <w:szCs w:val="18"/>
                <w:color w:val="auto"/>
              </w:rPr>
              <w:t>(806,993)</w:t>
            </w:r>
          </w:p>
        </w:tc>
        <w:tc>
          <w:tcPr>
            <w:tcW w:w="14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20.45</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(484,665)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23.91</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(602,423)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17.86</w:t>
            </w:r>
          </w:p>
        </w:tc>
        <w:tc>
          <w:tcPr>
            <w:tcW w:w="0" w:type="dxa"/>
            <w:vAlign w:val="bottom"/>
          </w:tcPr>
          <w:p>
            <w:pPr>
              <w:spacing w:after="0"/>
              <w:rPr>
                <w:sz w:val="1"/>
                <w:szCs w:val="1"/>
                <w:color w:val="auto"/>
              </w:rPr>
            </w:pPr>
          </w:p>
        </w:tc>
      </w:tr>
      <w:tr>
        <w:trPr>
          <w:trHeight w:val="237"/>
        </w:trPr>
        <w:tc>
          <w:tcPr>
            <w:tcW w:w="1380" w:type="dxa"/>
            <w:vAlign w:val="bottom"/>
            <w:gridSpan w:val="3"/>
          </w:tcPr>
          <w:p>
            <w:pPr>
              <w:jc w:val="right"/>
              <w:ind w:right="200"/>
              <w:spacing w:after="0"/>
              <w:rPr>
                <w:sz w:val="20"/>
                <w:szCs w:val="20"/>
                <w:color w:val="auto"/>
              </w:rPr>
            </w:pPr>
            <w:r>
              <w:rPr>
                <w:rFonts w:ascii="Arial" w:cs="Arial" w:eastAsia="Arial" w:hAnsi="Arial"/>
                <w:sz w:val="18"/>
                <w:szCs w:val="18"/>
                <w:color w:val="auto"/>
              </w:rPr>
              <w:t>(88,732)</w:t>
            </w:r>
          </w:p>
        </w:tc>
        <w:tc>
          <w:tcPr>
            <w:tcW w:w="14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18.62</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(260,899)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21.19</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(21,837)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22.11</w:t>
            </w:r>
          </w:p>
        </w:tc>
        <w:tc>
          <w:tcPr>
            <w:tcW w:w="0" w:type="dxa"/>
            <w:vAlign w:val="bottom"/>
          </w:tcPr>
          <w:p>
            <w:pPr>
              <w:spacing w:after="0"/>
              <w:rPr>
                <w:sz w:val="1"/>
                <w:szCs w:val="1"/>
                <w:color w:val="auto"/>
              </w:rPr>
            </w:pPr>
          </w:p>
        </w:tc>
      </w:tr>
      <w:tr>
        <w:trPr>
          <w:trHeight w:val="216"/>
        </w:trPr>
        <w:tc>
          <w:tcPr>
            <w:tcW w:w="11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2,223,043</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19.45</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2,013,613</w:t>
            </w:r>
          </w:p>
        </w:tc>
        <w:tc>
          <w:tcPr>
            <w:tcW w:w="1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19.13</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1,599,296</w:t>
            </w:r>
          </w:p>
        </w:tc>
        <w:tc>
          <w:tcPr>
            <w:tcW w:w="1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22.27</w:t>
            </w:r>
          </w:p>
        </w:tc>
        <w:tc>
          <w:tcPr>
            <w:tcW w:w="0" w:type="dxa"/>
            <w:vAlign w:val="bottom"/>
          </w:tcPr>
          <w:p>
            <w:pPr>
              <w:spacing w:after="0"/>
              <w:rPr>
                <w:sz w:val="1"/>
                <w:szCs w:val="1"/>
                <w:color w:val="auto"/>
              </w:rPr>
            </w:pPr>
          </w:p>
        </w:tc>
      </w:tr>
      <w:tr>
        <w:trPr>
          <w:trHeight w:val="20"/>
        </w:trPr>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F-43</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vMerge w:val="continue"/>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-2077085</wp:posOffset>
            </wp:positionH>
            <wp:positionV relativeFrom="paragraph">
              <wp:posOffset>-1002665</wp:posOffset>
            </wp:positionV>
            <wp:extent cx="713232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-2077085</wp:posOffset>
            </wp:positionH>
            <wp:positionV relativeFrom="paragraph">
              <wp:posOffset>-728345</wp:posOffset>
            </wp:positionV>
            <wp:extent cx="713232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-2077085</wp:posOffset>
            </wp:positionH>
            <wp:positionV relativeFrom="paragraph">
              <wp:posOffset>-436880</wp:posOffset>
            </wp:positionV>
            <wp:extent cx="7132320" cy="1631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-2077085</wp:posOffset>
            </wp:positionH>
            <wp:positionV relativeFrom="paragraph">
              <wp:posOffset>111125</wp:posOffset>
            </wp:positionV>
            <wp:extent cx="713232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2">
            <w:col w:w="3140" w:space="140"/>
            <w:col w:w="7960"/>
          </w:cols>
          <w:pgMar w:left="320" w:top="283" w:right="339" w:bottom="1440" w:gutter="0" w:footer="0" w:header="0"/>
          <w:type w:val="continuous"/>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35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NOTE 15</w:t>
        <w:tab/>
        <w:t>- SHAREHOLDERS’ EQUITY (Cont.)</w:t>
      </w:r>
    </w:p>
    <w:p>
      <w:pPr>
        <w:spacing w:after="0" w:line="198" w:lineRule="exact"/>
        <w:rPr>
          <w:sz w:val="20"/>
          <w:szCs w:val="20"/>
          <w:color w:val="auto"/>
        </w:rPr>
      </w:pPr>
    </w:p>
    <w:p>
      <w:pPr>
        <w:ind w:left="1440" w:hanging="352"/>
        <w:spacing w:after="0"/>
        <w:tabs>
          <w:tab w:leader="none" w:pos="144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Equity Incentive Plans (Cont.)</w:t>
      </w:r>
    </w:p>
    <w:p>
      <w:pPr>
        <w:spacing w:after="0" w:line="212" w:lineRule="exact"/>
        <w:rPr>
          <w:sz w:val="20"/>
          <w:szCs w:val="20"/>
          <w:color w:val="auto"/>
        </w:rPr>
      </w:pPr>
    </w:p>
    <w:p>
      <w:pPr>
        <w:ind w:left="1440"/>
        <w:spacing w:after="0"/>
        <w:tabs>
          <w:tab w:leader="none" w:pos="178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Summary of Information about Employees’ Share Incentive Plans</w:t>
      </w:r>
    </w:p>
    <w:p>
      <w:pPr>
        <w:spacing w:after="0" w:line="21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following table summarizes information about employees’ share options outstanding as of December 31, 2020:</w:t>
      </w:r>
    </w:p>
    <w:p>
      <w:pPr>
        <w:spacing w:after="0" w:line="185" w:lineRule="exact"/>
        <w:rPr>
          <w:sz w:val="20"/>
          <w:szCs w:val="20"/>
          <w:color w:val="auto"/>
        </w:rPr>
      </w:pPr>
    </w:p>
    <w:tbl>
      <w:tblPr>
        <w:tblLayout w:type="fixed"/>
        <w:tblInd w:w="144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3"/>
          </w:tcPr>
          <w:p>
            <w:pPr>
              <w:jc w:val="right"/>
              <w:ind w:right="1030"/>
              <w:spacing w:after="0"/>
              <w:rPr>
                <w:sz w:val="20"/>
                <w:szCs w:val="20"/>
                <w:color w:val="auto"/>
              </w:rPr>
            </w:pPr>
            <w:r>
              <w:rPr>
                <w:rFonts w:ascii="Arial" w:cs="Arial" w:eastAsia="Arial" w:hAnsi="Arial"/>
                <w:sz w:val="18"/>
                <w:szCs w:val="18"/>
                <w:color w:val="auto"/>
              </w:rPr>
              <w:t>Outstanding</w:t>
            </w: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4"/>
              </w:rPr>
              <w:t>Exercisable</w:t>
            </w:r>
          </w:p>
        </w:tc>
        <w:tc>
          <w:tcPr>
            <w:tcW w:w="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jc w:val="center"/>
              <w:spacing w:after="0" w:line="201" w:lineRule="exact"/>
              <w:rPr>
                <w:sz w:val="20"/>
                <w:szCs w:val="20"/>
                <w:color w:val="auto"/>
              </w:rPr>
            </w:pPr>
            <w:r>
              <w:rPr>
                <w:rFonts w:ascii="Arial" w:cs="Arial" w:eastAsia="Arial" w:hAnsi="Arial"/>
                <w:sz w:val="18"/>
                <w:szCs w:val="18"/>
                <w:color w:val="auto"/>
                <w:w w:val="87"/>
              </w:rPr>
              <w:t>Weighted average</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center"/>
              <w:ind w:right="170"/>
              <w:spacing w:after="0"/>
              <w:rPr>
                <w:sz w:val="20"/>
                <w:szCs w:val="20"/>
                <w:color w:val="auto"/>
              </w:rPr>
            </w:pPr>
            <w:r>
              <w:rPr>
                <w:rFonts w:ascii="Arial" w:cs="Arial" w:eastAsia="Arial" w:hAnsi="Arial"/>
                <w:sz w:val="18"/>
                <w:szCs w:val="18"/>
                <w:color w:val="auto"/>
                <w:w w:val="90"/>
              </w:rPr>
              <w:t>Range of</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remaining</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center"/>
              <w:ind w:right="170"/>
              <w:spacing w:after="0"/>
              <w:rPr>
                <w:sz w:val="20"/>
                <w:szCs w:val="20"/>
                <w:color w:val="auto"/>
              </w:rPr>
            </w:pPr>
            <w:r>
              <w:rPr>
                <w:rFonts w:ascii="Arial" w:cs="Arial" w:eastAsia="Arial" w:hAnsi="Arial"/>
                <w:sz w:val="18"/>
                <w:szCs w:val="18"/>
                <w:color w:val="auto"/>
                <w:w w:val="86"/>
              </w:rPr>
              <w:t>exercise</w:t>
            </w:r>
          </w:p>
        </w:tc>
        <w:tc>
          <w:tcPr>
            <w:tcW w:w="22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Number</w:t>
            </w:r>
          </w:p>
        </w:tc>
        <w:tc>
          <w:tcPr>
            <w:tcW w:w="1460" w:type="dxa"/>
            <w:vAlign w:val="bottom"/>
          </w:tcPr>
          <w:p>
            <w:pPr>
              <w:jc w:val="center"/>
              <w:spacing w:after="0"/>
              <w:rPr>
                <w:sz w:val="20"/>
                <w:szCs w:val="20"/>
                <w:color w:val="auto"/>
              </w:rPr>
            </w:pPr>
            <w:r>
              <w:rPr>
                <w:rFonts w:ascii="Arial" w:cs="Arial" w:eastAsia="Arial" w:hAnsi="Arial"/>
                <w:sz w:val="18"/>
                <w:szCs w:val="18"/>
                <w:color w:val="auto"/>
                <w:w w:val="93"/>
              </w:rPr>
              <w:t>contractual life</w:t>
            </w:r>
          </w:p>
        </w:tc>
        <w:tc>
          <w:tcPr>
            <w:tcW w:w="180" w:type="dxa"/>
            <w:vAlign w:val="bottom"/>
          </w:tcPr>
          <w:p>
            <w:pPr>
              <w:spacing w:after="0"/>
              <w:rPr>
                <w:sz w:val="18"/>
                <w:szCs w:val="18"/>
                <w:color w:val="auto"/>
              </w:rPr>
            </w:pPr>
          </w:p>
        </w:tc>
        <w:tc>
          <w:tcPr>
            <w:tcW w:w="1460" w:type="dxa"/>
            <w:vAlign w:val="bottom"/>
            <w:gridSpan w:val="3"/>
          </w:tcPr>
          <w:p>
            <w:pPr>
              <w:jc w:val="right"/>
              <w:ind w:right="27"/>
              <w:spacing w:after="0"/>
              <w:rPr>
                <w:sz w:val="20"/>
                <w:szCs w:val="20"/>
                <w:color w:val="auto"/>
              </w:rPr>
            </w:pPr>
            <w:r>
              <w:rPr>
                <w:rFonts w:ascii="Arial" w:cs="Arial" w:eastAsia="Arial" w:hAnsi="Arial"/>
                <w:sz w:val="18"/>
                <w:szCs w:val="18"/>
                <w:color w:val="auto"/>
                <w:w w:val="91"/>
              </w:rPr>
              <w:t>Weighted average</w:t>
            </w:r>
          </w:p>
        </w:tc>
        <w:tc>
          <w:tcPr>
            <w:tcW w:w="180" w:type="dxa"/>
            <w:vAlign w:val="bottom"/>
          </w:tcPr>
          <w:p>
            <w:pPr>
              <w:spacing w:after="0"/>
              <w:rPr>
                <w:sz w:val="18"/>
                <w:szCs w:val="18"/>
                <w:color w:val="auto"/>
              </w:rPr>
            </w:pPr>
          </w:p>
        </w:tc>
        <w:tc>
          <w:tcPr>
            <w:tcW w:w="1080" w:type="dxa"/>
            <w:vAlign w:val="bottom"/>
            <w:gridSpan w:val="3"/>
          </w:tcPr>
          <w:p>
            <w:pPr>
              <w:jc w:val="right"/>
              <w:ind w:right="10"/>
              <w:spacing w:after="0"/>
              <w:rPr>
                <w:sz w:val="20"/>
                <w:szCs w:val="20"/>
                <w:color w:val="auto"/>
              </w:rPr>
            </w:pPr>
            <w:r>
              <w:rPr>
                <w:rFonts w:ascii="Arial" w:cs="Arial" w:eastAsia="Arial" w:hAnsi="Arial"/>
                <w:sz w:val="18"/>
                <w:szCs w:val="18"/>
                <w:color w:val="auto"/>
              </w:rPr>
              <w:t>Number</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7"/>
          </w:tcPr>
          <w:p>
            <w:pPr>
              <w:jc w:val="center"/>
              <w:ind w:right="220"/>
              <w:spacing w:after="0"/>
              <w:rPr>
                <w:sz w:val="20"/>
                <w:szCs w:val="20"/>
                <w:color w:val="auto"/>
              </w:rPr>
            </w:pPr>
            <w:r>
              <w:rPr>
                <w:rFonts w:ascii="Arial" w:cs="Arial" w:eastAsia="Arial" w:hAnsi="Arial"/>
                <w:sz w:val="18"/>
                <w:szCs w:val="18"/>
                <w:color w:val="auto"/>
                <w:w w:val="87"/>
              </w:rPr>
              <w:t>Weighted average</w:t>
            </w:r>
          </w:p>
        </w:tc>
      </w:tr>
      <w:tr>
        <w:trPr>
          <w:trHeight w:val="237"/>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center"/>
              <w:ind w:right="170"/>
              <w:spacing w:after="0"/>
              <w:rPr>
                <w:sz w:val="20"/>
                <w:szCs w:val="20"/>
                <w:color w:val="auto"/>
              </w:rPr>
            </w:pPr>
            <w:r>
              <w:rPr>
                <w:rFonts w:ascii="Arial" w:cs="Arial" w:eastAsia="Arial" w:hAnsi="Arial"/>
                <w:sz w:val="18"/>
                <w:szCs w:val="18"/>
                <w:color w:val="auto"/>
                <w:w w:val="87"/>
              </w:rPr>
              <w:t>prices</w:t>
            </w:r>
          </w:p>
        </w:tc>
        <w:tc>
          <w:tcPr>
            <w:tcW w:w="220" w:type="dxa"/>
            <w:vAlign w:val="bottom"/>
          </w:tcPr>
          <w:p>
            <w:pPr>
              <w:spacing w:after="0"/>
              <w:rPr>
                <w:sz w:val="20"/>
                <w:szCs w:val="20"/>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outstanding</w:t>
            </w: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(in years)</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167"/>
              <w:spacing w:after="0"/>
              <w:rPr>
                <w:sz w:val="20"/>
                <w:szCs w:val="20"/>
                <w:color w:val="auto"/>
              </w:rPr>
            </w:pPr>
            <w:r>
              <w:rPr>
                <w:rFonts w:ascii="Arial" w:cs="Arial" w:eastAsia="Arial" w:hAnsi="Arial"/>
                <w:sz w:val="18"/>
                <w:szCs w:val="18"/>
                <w:color w:val="auto"/>
                <w:w w:val="93"/>
              </w:rPr>
              <w:t>exercise price</w:t>
            </w:r>
          </w:p>
        </w:tc>
        <w:tc>
          <w:tcPr>
            <w:tcW w:w="180" w:type="dxa"/>
            <w:vAlign w:val="bottom"/>
          </w:tcPr>
          <w:p>
            <w:pPr>
              <w:spacing w:after="0"/>
              <w:rPr>
                <w:sz w:val="20"/>
                <w:szCs w:val="20"/>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exercisable</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gridSpan w:val="7"/>
          </w:tcPr>
          <w:p>
            <w:pPr>
              <w:jc w:val="center"/>
              <w:ind w:right="220"/>
              <w:spacing w:after="0"/>
              <w:rPr>
                <w:sz w:val="20"/>
                <w:szCs w:val="20"/>
                <w:color w:val="auto"/>
              </w:rPr>
            </w:pPr>
            <w:r>
              <w:rPr>
                <w:rFonts w:ascii="Arial" w:cs="Arial" w:eastAsia="Arial" w:hAnsi="Arial"/>
                <w:sz w:val="18"/>
                <w:szCs w:val="18"/>
                <w:color w:val="auto"/>
                <w:w w:val="90"/>
              </w:rPr>
              <w:t>exercise price</w:t>
            </w:r>
          </w:p>
        </w:tc>
      </w:tr>
      <w:tr>
        <w:trPr>
          <w:trHeight w:val="216"/>
        </w:trPr>
        <w:tc>
          <w:tcPr>
            <w:tcW w:w="20" w:type="dxa"/>
            <w:vAlign w:val="bottom"/>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12.00 - 17.16</w:t>
            </w:r>
          </w:p>
        </w:tc>
        <w:tc>
          <w:tcPr>
            <w:tcW w:w="220" w:type="dxa"/>
            <w:vAlign w:val="bottom"/>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32,805</w:t>
            </w:r>
          </w:p>
        </w:tc>
        <w:tc>
          <w:tcPr>
            <w:tcW w:w="200" w:type="dxa"/>
            <w:vAlign w:val="bottom"/>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15.28</w:t>
            </w:r>
          </w:p>
        </w:tc>
        <w:tc>
          <w:tcPr>
            <w:tcW w:w="18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32,805</w:t>
            </w:r>
          </w:p>
        </w:tc>
        <w:tc>
          <w:tcPr>
            <w:tcW w:w="1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398"/>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9"/>
          </w:tcPr>
          <w:p>
            <w:pPr>
              <w:jc w:val="center"/>
              <w:ind w:left="210"/>
              <w:spacing w:after="0"/>
              <w:rPr>
                <w:sz w:val="20"/>
                <w:szCs w:val="20"/>
                <w:color w:val="auto"/>
              </w:rPr>
            </w:pPr>
            <w:r>
              <w:rPr>
                <w:rFonts w:ascii="Arial" w:cs="Arial" w:eastAsia="Arial" w:hAnsi="Arial"/>
                <w:sz w:val="18"/>
                <w:szCs w:val="18"/>
                <w:color w:val="auto"/>
                <w:w w:val="88"/>
              </w:rPr>
              <w:t>Year ended December 31,</w:t>
            </w: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8"/>
                <w:szCs w:val="18"/>
                <w:color w:val="auto"/>
                <w:w w:val="99"/>
              </w:rPr>
              <w:t>2020</w:t>
            </w:r>
          </w:p>
        </w:tc>
        <w:tc>
          <w:tcPr>
            <w:tcW w:w="1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9"/>
              </w:rPr>
              <w:t>2019</w:t>
            </w:r>
          </w:p>
        </w:tc>
        <w:tc>
          <w:tcPr>
            <w:tcW w:w="3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2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The intrinsic value of options exercised</w:t>
            </w:r>
          </w:p>
        </w:tc>
        <w:tc>
          <w:tcPr>
            <w:tcW w:w="1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4,429</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1,416</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280" w:type="dxa"/>
            <w:vAlign w:val="bottom"/>
            <w:gridSpan w:val="5"/>
          </w:tcPr>
          <w:p>
            <w:pPr>
              <w:spacing w:after="0"/>
              <w:rPr>
                <w:sz w:val="20"/>
                <w:szCs w:val="20"/>
                <w:color w:val="auto"/>
              </w:rPr>
            </w:pPr>
            <w:r>
              <w:rPr>
                <w:rFonts w:ascii="Arial" w:cs="Arial" w:eastAsia="Arial" w:hAnsi="Arial"/>
                <w:sz w:val="18"/>
                <w:szCs w:val="18"/>
                <w:color w:val="auto"/>
                <w:w w:val="96"/>
              </w:rPr>
              <w:t>The original fair value of options exercised</w:t>
            </w:r>
          </w:p>
        </w:tc>
        <w:tc>
          <w:tcPr>
            <w:tcW w:w="1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1,018</w:t>
            </w:r>
          </w:p>
        </w:tc>
        <w:tc>
          <w:tcPr>
            <w:tcW w:w="4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665</w:t>
            </w:r>
          </w:p>
        </w:tc>
        <w:tc>
          <w:tcPr>
            <w:tcW w:w="120" w:type="dxa"/>
            <w:vAlign w:val="bottom"/>
          </w:tcPr>
          <w:p>
            <w:pPr>
              <w:spacing w:after="0"/>
              <w:rPr>
                <w:sz w:val="20"/>
                <w:szCs w:val="20"/>
                <w:color w:val="auto"/>
              </w:rPr>
            </w:pP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20"/>
                <w:szCs w:val="20"/>
                <w:color w:val="auto"/>
              </w:rPr>
            </w:pPr>
          </w:p>
        </w:tc>
      </w:tr>
      <w:tr>
        <w:trPr>
          <w:trHeight w:val="398"/>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9"/>
          </w:tcPr>
          <w:p>
            <w:pPr>
              <w:jc w:val="center"/>
              <w:ind w:left="210"/>
              <w:spacing w:after="0"/>
              <w:rPr>
                <w:sz w:val="20"/>
                <w:szCs w:val="20"/>
                <w:color w:val="auto"/>
              </w:rPr>
            </w:pPr>
            <w:r>
              <w:rPr>
                <w:rFonts w:ascii="Arial" w:cs="Arial" w:eastAsia="Arial" w:hAnsi="Arial"/>
                <w:sz w:val="18"/>
                <w:szCs w:val="18"/>
                <w:color w:val="auto"/>
                <w:w w:val="88"/>
              </w:rPr>
              <w:t>Year ended December 31,</w:t>
            </w: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8"/>
                <w:szCs w:val="18"/>
                <w:color w:val="auto"/>
                <w:w w:val="99"/>
              </w:rPr>
              <w:t>2020</w:t>
            </w:r>
          </w:p>
        </w:tc>
        <w:tc>
          <w:tcPr>
            <w:tcW w:w="1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9"/>
              </w:rPr>
              <w:t>2019</w:t>
            </w:r>
          </w:p>
        </w:tc>
        <w:tc>
          <w:tcPr>
            <w:tcW w:w="3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2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The intrinsic value of converted RSUs</w:t>
            </w:r>
          </w:p>
        </w:tc>
        <w:tc>
          <w:tcPr>
            <w:tcW w:w="1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15,971</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8,207</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15,840</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280" w:type="dxa"/>
            <w:vAlign w:val="bottom"/>
            <w:gridSpan w:val="5"/>
          </w:tcPr>
          <w:p>
            <w:pPr>
              <w:spacing w:after="0"/>
              <w:rPr>
                <w:sz w:val="20"/>
                <w:szCs w:val="20"/>
                <w:color w:val="auto"/>
              </w:rPr>
            </w:pPr>
            <w:r>
              <w:rPr>
                <w:rFonts w:ascii="Arial" w:cs="Arial" w:eastAsia="Arial" w:hAnsi="Arial"/>
                <w:sz w:val="18"/>
                <w:szCs w:val="18"/>
                <w:color w:val="auto"/>
                <w:w w:val="99"/>
              </w:rPr>
              <w:t>The original fair value of converted RSUs</w:t>
            </w:r>
          </w:p>
        </w:tc>
        <w:tc>
          <w:tcPr>
            <w:tcW w:w="1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16,506</w:t>
            </w:r>
          </w:p>
        </w:tc>
        <w:tc>
          <w:tcPr>
            <w:tcW w:w="4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11,588</w:t>
            </w:r>
          </w:p>
        </w:tc>
        <w:tc>
          <w:tcPr>
            <w:tcW w:w="120" w:type="dxa"/>
            <w:vAlign w:val="bottom"/>
          </w:tcPr>
          <w:p>
            <w:pPr>
              <w:spacing w:after="0"/>
              <w:rPr>
                <w:sz w:val="20"/>
                <w:szCs w:val="20"/>
                <w:color w:val="auto"/>
              </w:rPr>
            </w:pP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10,761</w:t>
            </w:r>
          </w:p>
        </w:tc>
        <w:tc>
          <w:tcPr>
            <w:tcW w:w="100" w:type="dxa"/>
            <w:vAlign w:val="bottom"/>
          </w:tcPr>
          <w:p>
            <w:pPr>
              <w:spacing w:after="0"/>
              <w:rPr>
                <w:sz w:val="20"/>
                <w:szCs w:val="20"/>
                <w:color w:val="auto"/>
              </w:rPr>
            </w:pPr>
          </w:p>
        </w:tc>
      </w:tr>
    </w:tbl>
    <w:p>
      <w:pPr>
        <w:spacing w:after="0" w:line="16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Stock-based compensation expenses were recognized in the Statement of Operations as follows:</w:t>
      </w:r>
    </w:p>
    <w:p>
      <w:pPr>
        <w:spacing w:after="0" w:line="198" w:lineRule="exact"/>
        <w:rPr>
          <w:sz w:val="20"/>
          <w:szCs w:val="20"/>
          <w:color w:val="auto"/>
        </w:rPr>
      </w:pPr>
    </w:p>
    <w:tbl>
      <w:tblPr>
        <w:tblLayout w:type="fixed"/>
        <w:tblInd w:w="144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color w:val="auto"/>
              </w:rPr>
              <w:t>Year ended December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2019</w:t>
            </w:r>
          </w:p>
        </w:tc>
        <w:tc>
          <w:tcPr>
            <w:tcW w:w="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Cost of goods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5,197</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4,529</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Research and development, net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3,568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2,900</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2,533</w:t>
            </w: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Marketing, general and administrative</w:t>
            </w: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8,223</w:t>
            </w:r>
          </w:p>
        </w:tc>
        <w:tc>
          <w:tcPr>
            <w:tcW w:w="1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7,119</w:t>
            </w:r>
          </w:p>
        </w:tc>
        <w:tc>
          <w:tcPr>
            <w:tcW w:w="1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6100" w:type="dxa"/>
            <w:vAlign w:val="bottom"/>
            <w:gridSpan w:val="2"/>
          </w:tcPr>
          <w:p>
            <w:pPr>
              <w:spacing w:after="0"/>
              <w:rPr>
                <w:sz w:val="20"/>
                <w:szCs w:val="20"/>
                <w:color w:val="auto"/>
              </w:rPr>
            </w:pPr>
            <w:r>
              <w:rPr>
                <w:rFonts w:ascii="Arial" w:cs="Arial" w:eastAsia="Arial" w:hAnsi="Arial"/>
                <w:sz w:val="18"/>
                <w:szCs w:val="18"/>
                <w:color w:val="auto"/>
              </w:rPr>
              <w:t>Total stock-based compensation expense</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16,988</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14,548</w:t>
            </w:r>
          </w:p>
        </w:tc>
        <w:tc>
          <w:tcPr>
            <w:tcW w:w="4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12,661</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1" w:lineRule="exact"/>
        <w:rPr>
          <w:sz w:val="20"/>
          <w:szCs w:val="20"/>
          <w:color w:val="auto"/>
        </w:rPr>
      </w:pPr>
    </w:p>
    <w:p>
      <w:pPr>
        <w:ind w:left="1440" w:hanging="352"/>
        <w:spacing w:after="0"/>
        <w:tabs>
          <w:tab w:leader="none" w:pos="144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Treasury Stock</w:t>
      </w:r>
    </w:p>
    <w:p>
      <w:pPr>
        <w:spacing w:after="0" w:line="215" w:lineRule="exact"/>
        <w:rPr>
          <w:rFonts w:ascii="Arial" w:cs="Arial" w:eastAsia="Arial" w:hAnsi="Arial"/>
          <w:sz w:val="18"/>
          <w:szCs w:val="18"/>
          <w:b w:val="1"/>
          <w:bCs w:val="1"/>
          <w:color w:val="auto"/>
        </w:rPr>
      </w:pPr>
    </w:p>
    <w:p>
      <w:pPr>
        <w:ind w:left="14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During 1999 and 1998, the Company funded the purchase by a trustee of an aggregate of approximately 87 thousand Tower’s ordinary shares. These shares are classified as treasury shares.</w:t>
      </w:r>
    </w:p>
    <w:p>
      <w:pPr>
        <w:spacing w:after="0" w:line="152" w:lineRule="exact"/>
        <w:rPr>
          <w:rFonts w:ascii="Arial" w:cs="Arial" w:eastAsia="Arial" w:hAnsi="Arial"/>
          <w:sz w:val="18"/>
          <w:szCs w:val="18"/>
          <w:b w:val="1"/>
          <w:bCs w:val="1"/>
          <w:color w:val="auto"/>
        </w:rPr>
      </w:pPr>
    </w:p>
    <w:p>
      <w:pPr>
        <w:ind w:left="1440" w:hanging="352"/>
        <w:spacing w:after="0"/>
        <w:tabs>
          <w:tab w:leader="none" w:pos="144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Dividend Restriction</w:t>
      </w:r>
    </w:p>
    <w:p>
      <w:pPr>
        <w:spacing w:after="0" w:line="202" w:lineRule="exact"/>
        <w:rPr>
          <w:rFonts w:ascii="Arial" w:cs="Arial" w:eastAsia="Arial" w:hAnsi="Arial"/>
          <w:sz w:val="18"/>
          <w:szCs w:val="18"/>
          <w:b w:val="1"/>
          <w:bCs w:val="1"/>
          <w:color w:val="auto"/>
        </w:rPr>
      </w:pPr>
    </w:p>
    <w:p>
      <w:pPr>
        <w:ind w:left="14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Tower is subject to certain limitations on dividend distribution under the Series G Debentures indenture that allows for distribution of dividends subject to satisfying certain financial ratios.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19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NOTE 16</w:t>
        <w:tab/>
        <w:t>- INFORMATION ON GEOGRAPHIC AREAS AND MAJOR CUSTOMERS</w:t>
      </w:r>
    </w:p>
    <w:p>
      <w:pPr>
        <w:spacing w:after="0" w:line="198" w:lineRule="exact"/>
        <w:rPr>
          <w:sz w:val="20"/>
          <w:szCs w:val="20"/>
          <w:color w:val="auto"/>
        </w:rPr>
      </w:pPr>
    </w:p>
    <w:p>
      <w:pPr>
        <w:ind w:left="1080"/>
        <w:spacing w:after="0"/>
        <w:tabs>
          <w:tab w:leader="none" w:pos="142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5"/>
          <w:szCs w:val="15"/>
          <w:b w:val="1"/>
          <w:bCs w:val="1"/>
          <w:color w:val="auto"/>
        </w:rPr>
        <w:t>Revenues by Geographic Area - as Percentage of Total Revenue</w:t>
      </w:r>
    </w:p>
    <w:p>
      <w:pPr>
        <w:spacing w:after="0" w:line="202" w:lineRule="exact"/>
        <w:rPr>
          <w:sz w:val="20"/>
          <w:szCs w:val="20"/>
          <w:color w:val="auto"/>
        </w:rPr>
      </w:pPr>
    </w:p>
    <w:p>
      <w:pPr>
        <w:ind w:left="8300"/>
        <w:spacing w:after="0"/>
        <w:rPr>
          <w:sz w:val="20"/>
          <w:szCs w:val="20"/>
          <w:color w:val="auto"/>
        </w:rPr>
      </w:pPr>
      <w:r>
        <w:rPr>
          <w:rFonts w:ascii="Arial" w:cs="Arial" w:eastAsia="Arial" w:hAnsi="Arial"/>
          <w:sz w:val="18"/>
          <w:szCs w:val="18"/>
          <w:color w:val="auto"/>
        </w:rPr>
        <w:t>Year ended December 31,</w:t>
      </w:r>
    </w:p>
    <w:p>
      <w:pPr>
        <w:spacing w:after="0" w:line="23" w:lineRule="exact"/>
        <w:rPr>
          <w:sz w:val="20"/>
          <w:szCs w:val="20"/>
          <w:color w:val="auto"/>
        </w:rPr>
      </w:pPr>
    </w:p>
    <w:tbl>
      <w:tblPr>
        <w:tblLayout w:type="fixed"/>
        <w:tblInd w:w="1440" w:type="dxa"/>
        <w:tblCellMar>
          <w:top w:w="0" w:type="dxa"/>
          <w:left w:w="0" w:type="dxa"/>
          <w:bottom w:w="0" w:type="dxa"/>
          <w:right w:w="0" w:type="dxa"/>
        </w:tblCellMar>
      </w:tblPr>
      <w:tr>
        <w:trPr>
          <w:trHeight w:val="230"/>
        </w:trPr>
        <w:tc>
          <w:tcPr>
            <w:tcW w:w="5960" w:type="dxa"/>
            <w:vAlign w:val="bottom"/>
            <w:gridSpan w:val="2"/>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30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2019</w:t>
            </w: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2018</w:t>
            </w:r>
          </w:p>
        </w:tc>
        <w:tc>
          <w:tcPr>
            <w:tcW w:w="1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USA</w:t>
            </w:r>
          </w:p>
        </w:tc>
        <w:tc>
          <w:tcPr>
            <w:tcW w:w="7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w:t>
            </w:r>
          </w:p>
        </w:tc>
      </w:tr>
      <w:tr>
        <w:trPr>
          <w:trHeight w:val="216"/>
        </w:trPr>
        <w:tc>
          <w:tcPr>
            <w:tcW w:w="20" w:type="dxa"/>
            <w:vAlign w:val="bottom"/>
          </w:tcPr>
          <w:p>
            <w:pPr>
              <w:spacing w:after="0"/>
              <w:rPr>
                <w:sz w:val="18"/>
                <w:szCs w:val="18"/>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Japan</w:t>
            </w:r>
          </w:p>
        </w:tc>
        <w:tc>
          <w:tcPr>
            <w:tcW w:w="300" w:type="dxa"/>
            <w:vAlign w:val="bottom"/>
          </w:tcPr>
          <w:p>
            <w:pPr>
              <w:jc w:val="right"/>
              <w:spacing w:after="0"/>
              <w:rPr>
                <w:sz w:val="20"/>
                <w:szCs w:val="20"/>
                <w:color w:val="auto"/>
              </w:rPr>
            </w:pPr>
            <w:r>
              <w:rPr>
                <w:rFonts w:ascii="Arial" w:cs="Arial" w:eastAsia="Arial" w:hAnsi="Arial"/>
                <w:sz w:val="18"/>
                <w:szCs w:val="18"/>
                <w:color w:val="auto"/>
              </w:rPr>
              <w:t>28</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Asia (other than Japan)</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r>
      <w:tr>
        <w:trPr>
          <w:trHeight w:val="223"/>
        </w:trPr>
        <w:tc>
          <w:tcPr>
            <w:tcW w:w="5960" w:type="dxa"/>
            <w:vAlign w:val="bottom"/>
            <w:gridSpan w:val="2"/>
          </w:tcPr>
          <w:p>
            <w:pPr>
              <w:spacing w:after="0"/>
              <w:rPr>
                <w:sz w:val="20"/>
                <w:szCs w:val="20"/>
                <w:color w:val="auto"/>
              </w:rPr>
            </w:pPr>
            <w:r>
              <w:rPr>
                <w:rFonts w:ascii="Arial" w:cs="Arial" w:eastAsia="Arial" w:hAnsi="Arial"/>
                <w:sz w:val="18"/>
                <w:szCs w:val="18"/>
                <w:color w:val="auto"/>
              </w:rPr>
              <w:t>Europe</w:t>
            </w:r>
          </w:p>
        </w:tc>
        <w:tc>
          <w:tcPr>
            <w:tcW w:w="7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9"/>
                <w:szCs w:val="19"/>
                <w:color w:val="auto"/>
              </w:rPr>
            </w:pPr>
          </w:p>
        </w:tc>
      </w:tr>
      <w:tr>
        <w:trPr>
          <w:trHeight w:val="236"/>
        </w:trPr>
        <w:tc>
          <w:tcPr>
            <w:tcW w:w="20" w:type="dxa"/>
            <w:vAlign w:val="bottom"/>
          </w:tcPr>
          <w:p>
            <w:pPr>
              <w:spacing w:after="0"/>
              <w:rPr>
                <w:sz w:val="20"/>
                <w:szCs w:val="20"/>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4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100%</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0"/>
        </w:trPr>
        <w:tc>
          <w:tcPr>
            <w:tcW w:w="20" w:type="dxa"/>
            <w:vAlign w:val="bottom"/>
          </w:tcPr>
          <w:p>
            <w:pPr>
              <w:spacing w:after="0" w:line="20" w:lineRule="exact"/>
              <w:rPr>
                <w:sz w:val="1"/>
                <w:szCs w:val="1"/>
                <w:color w:val="auto"/>
              </w:rPr>
            </w:pPr>
          </w:p>
        </w:tc>
        <w:tc>
          <w:tcPr>
            <w:tcW w:w="59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175" w:lineRule="exact"/>
        <w:rPr>
          <w:sz w:val="20"/>
          <w:szCs w:val="20"/>
          <w:color w:val="auto"/>
        </w:rPr>
      </w:pPr>
    </w:p>
    <w:p>
      <w:pPr>
        <w:jc w:val="both"/>
        <w:ind w:left="1440" w:right="20"/>
        <w:spacing w:after="0" w:line="277" w:lineRule="auto"/>
        <w:rPr>
          <w:sz w:val="20"/>
          <w:szCs w:val="20"/>
          <w:color w:val="auto"/>
        </w:rPr>
      </w:pPr>
      <w:r>
        <w:rPr>
          <w:rFonts w:ascii="Arial" w:cs="Arial" w:eastAsia="Arial" w:hAnsi="Arial"/>
          <w:sz w:val="18"/>
          <w:szCs w:val="18"/>
          <w:color w:val="auto"/>
        </w:rPr>
        <w:t>The basis of attributing revenues from external customers to geographic area is based on the headquarters location of the customer issuing the purchase order; actual delivery may be shipped to another geographic area per customer request.</w:t>
      </w:r>
    </w:p>
    <w:p>
      <w:pPr>
        <w:spacing w:after="0" w:line="153" w:lineRule="exact"/>
        <w:rPr>
          <w:sz w:val="20"/>
          <w:szCs w:val="20"/>
          <w:color w:val="auto"/>
        </w:rPr>
      </w:pPr>
    </w:p>
    <w:p>
      <w:pPr>
        <w:ind w:left="1440" w:hanging="352"/>
        <w:spacing w:after="0"/>
        <w:tabs>
          <w:tab w:leader="none" w:pos="144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Long-Lived Assets by Geographic Area</w:t>
      </w:r>
    </w:p>
    <w:p>
      <w:pPr>
        <w:spacing w:after="0" w:line="215" w:lineRule="exact"/>
        <w:rPr>
          <w:rFonts w:ascii="Arial" w:cs="Arial" w:eastAsia="Arial" w:hAnsi="Arial"/>
          <w:sz w:val="18"/>
          <w:szCs w:val="18"/>
          <w:b w:val="1"/>
          <w:bCs w:val="1"/>
          <w:color w:val="auto"/>
        </w:rPr>
      </w:pPr>
    </w:p>
    <w:p>
      <w:pPr>
        <w:ind w:left="14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Substantially all of Tower’s long-lived assets are located in Israel, substantially all of TSNP’s and TSSA’s long-lived assets are located in the United States and substantially all of TPSCo’s long-lived assets are located in Japan.</w:t>
      </w:r>
    </w:p>
    <w:p>
      <w:pPr>
        <w:spacing w:after="0" w:line="130" w:lineRule="exact"/>
        <w:rPr>
          <w:sz w:val="20"/>
          <w:szCs w:val="20"/>
          <w:color w:val="auto"/>
        </w:rPr>
      </w:pPr>
    </w:p>
    <w:tbl>
      <w:tblPr>
        <w:tblLayout w:type="fixed"/>
        <w:tblInd w:w="144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7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8"/>
                <w:szCs w:val="18"/>
                <w:color w:val="auto"/>
              </w:rPr>
              <w:t>As of December 31,</w:t>
            </w: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73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Israel</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215,006</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219,479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United States</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234,902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248,453</w:t>
            </w: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Japan</w:t>
            </w: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389,263</w:t>
            </w:r>
          </w:p>
        </w:tc>
        <w:tc>
          <w:tcPr>
            <w:tcW w:w="1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214,007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839,171</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681,939</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ind w:left="1440" w:hanging="352"/>
        <w:spacing w:after="0"/>
        <w:tabs>
          <w:tab w:leader="none" w:pos="144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Major Customers - as Percentage of Net Accounts Receivable Balance</w:t>
      </w:r>
    </w:p>
    <w:p>
      <w:pPr>
        <w:spacing w:after="0" w:line="202" w:lineRule="exact"/>
        <w:rPr>
          <w:rFonts w:ascii="Arial" w:cs="Arial" w:eastAsia="Arial" w:hAnsi="Arial"/>
          <w:sz w:val="18"/>
          <w:szCs w:val="18"/>
          <w:b w:val="1"/>
          <w:bCs w:val="1"/>
          <w:color w:val="auto"/>
        </w:rPr>
      </w:pPr>
    </w:p>
    <w:p>
      <w:pPr>
        <w:ind w:left="144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As of December 31, 2020, two customers exceeded 10% of the net accounts receivable balance and represented 13% and 12% of such balance. As of December 31, 2019, no customer exceeded 10% of the net accounts receivable balance.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35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NOTE 16</w:t>
        <w:tab/>
        <w:t>- INFORMATION ON GEOGRAPHIC AREAS AND MAJOR CUSTOMERS (Cont.)</w:t>
      </w:r>
    </w:p>
    <w:p>
      <w:pPr>
        <w:spacing w:after="0" w:line="198" w:lineRule="exact"/>
        <w:rPr>
          <w:sz w:val="20"/>
          <w:szCs w:val="20"/>
          <w:color w:val="auto"/>
        </w:rPr>
      </w:pPr>
    </w:p>
    <w:p>
      <w:pPr>
        <w:ind w:left="1080"/>
        <w:spacing w:after="0"/>
        <w:tabs>
          <w:tab w:leader="none" w:pos="142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6"/>
          <w:szCs w:val="16"/>
          <w:b w:val="1"/>
          <w:bCs w:val="1"/>
          <w:color w:val="auto"/>
        </w:rPr>
        <w:t>Major Customers - as Percentage of Total Revenue</w:t>
      </w:r>
    </w:p>
    <w:p>
      <w:pPr>
        <w:spacing w:after="0" w:line="202" w:lineRule="exact"/>
        <w:rPr>
          <w:sz w:val="20"/>
          <w:szCs w:val="20"/>
          <w:color w:val="auto"/>
        </w:rPr>
      </w:pPr>
    </w:p>
    <w:p>
      <w:pPr>
        <w:ind w:left="8300"/>
        <w:spacing w:after="0"/>
        <w:rPr>
          <w:sz w:val="20"/>
          <w:szCs w:val="20"/>
          <w:color w:val="auto"/>
        </w:rPr>
      </w:pPr>
      <w:r>
        <w:rPr>
          <w:rFonts w:ascii="Arial" w:cs="Arial" w:eastAsia="Arial" w:hAnsi="Arial"/>
          <w:sz w:val="18"/>
          <w:szCs w:val="18"/>
          <w:color w:val="auto"/>
        </w:rPr>
        <w:t>Year ended December 31,</w:t>
      </w:r>
    </w:p>
    <w:p>
      <w:pPr>
        <w:spacing w:after="0" w:line="23" w:lineRule="exact"/>
        <w:rPr>
          <w:sz w:val="20"/>
          <w:szCs w:val="20"/>
          <w:color w:val="auto"/>
        </w:rPr>
      </w:pPr>
    </w:p>
    <w:tbl>
      <w:tblPr>
        <w:tblLayout w:type="fixed"/>
        <w:tblInd w:w="1440" w:type="dxa"/>
        <w:tblCellMar>
          <w:top w:w="0" w:type="dxa"/>
          <w:left w:w="0" w:type="dxa"/>
          <w:bottom w:w="0" w:type="dxa"/>
          <w:right w:w="0" w:type="dxa"/>
        </w:tblCellMar>
      </w:tblPr>
      <w:tr>
        <w:trPr>
          <w:trHeight w:val="230"/>
        </w:trPr>
        <w:tc>
          <w:tcPr>
            <w:tcW w:w="5960" w:type="dxa"/>
            <w:vAlign w:val="bottom"/>
            <w:gridSpan w:val="2"/>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26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2019</w:t>
            </w: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2018</w:t>
            </w:r>
          </w:p>
        </w:tc>
        <w:tc>
          <w:tcPr>
            <w:tcW w:w="1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Customer A</w:t>
            </w:r>
          </w:p>
        </w:tc>
        <w:tc>
          <w:tcPr>
            <w:tcW w:w="7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25%</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w:t>
            </w:r>
          </w:p>
        </w:tc>
      </w:tr>
      <w:tr>
        <w:trPr>
          <w:trHeight w:val="216"/>
        </w:trPr>
        <w:tc>
          <w:tcPr>
            <w:tcW w:w="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Customer B</w:t>
            </w:r>
          </w:p>
        </w:tc>
        <w:tc>
          <w:tcPr>
            <w:tcW w:w="260" w:type="dxa"/>
            <w:vAlign w:val="bottom"/>
          </w:tcPr>
          <w:p>
            <w:pPr>
              <w:ind w:left="80"/>
              <w:spacing w:after="0"/>
              <w:rPr>
                <w:sz w:val="20"/>
                <w:szCs w:val="20"/>
                <w:color w:val="auto"/>
              </w:rPr>
            </w:pPr>
            <w:r>
              <w:rPr>
                <w:rFonts w:ascii="Arial" w:cs="Arial" w:eastAsia="Arial" w:hAnsi="Arial"/>
                <w:sz w:val="18"/>
                <w:szCs w:val="18"/>
                <w:color w:val="auto"/>
                <w:w w:val="79"/>
              </w:rPr>
              <w:t>11</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customers *</w:t>
            </w:r>
          </w:p>
        </w:tc>
        <w:tc>
          <w:tcPr>
            <w:tcW w:w="26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22</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jc w:val="both"/>
        <w:ind w:left="1740" w:hanging="292"/>
        <w:spacing w:after="0" w:line="263" w:lineRule="auto"/>
        <w:tabs>
          <w:tab w:leader="none" w:pos="17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Represents aggregated revenue to four customers that accounted for between 4% to 7% of total revenue during 2020, to four customers that accounted for between 5% and 9% of total revenue during 2019, and to four customers that accounted for between 5% and 9% of total revenue during 2018.</w:t>
      </w:r>
    </w:p>
    <w:p>
      <w:pPr>
        <w:spacing w:after="0" w:line="24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NOTE 17</w:t>
        <w:tab/>
        <w:t>- FINANCING INCOME (EXPENSE), NET</w:t>
      </w:r>
    </w:p>
    <w:p>
      <w:pPr>
        <w:spacing w:after="0" w:line="21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Financing income (expense), net consists of the following: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8"/>
          </w:tcPr>
          <w:p>
            <w:pPr>
              <w:jc w:val="center"/>
              <w:ind w:left="450"/>
              <w:spacing w:after="0"/>
              <w:rPr>
                <w:sz w:val="20"/>
                <w:szCs w:val="20"/>
                <w:color w:val="auto"/>
              </w:rPr>
            </w:pPr>
            <w:r>
              <w:rPr>
                <w:rFonts w:ascii="Arial" w:cs="Arial" w:eastAsia="Arial" w:hAnsi="Arial"/>
                <w:sz w:val="18"/>
                <w:szCs w:val="18"/>
                <w:color w:val="auto"/>
                <w:w w:val="88"/>
              </w:rPr>
              <w:t>Year ended December 31,</w:t>
            </w:r>
          </w:p>
        </w:tc>
        <w:tc>
          <w:tcPr>
            <w:tcW w:w="8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2019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2018</w:t>
            </w:r>
          </w:p>
        </w:tc>
        <w:tc>
          <w:tcPr>
            <w:tcW w:w="80" w:type="dxa"/>
            <w:vAlign w:val="bottom"/>
          </w:tcPr>
          <w:p>
            <w:pPr>
              <w:spacing w:after="0"/>
              <w:rPr>
                <w:sz w:val="19"/>
                <w:szCs w:val="19"/>
                <w:color w:val="auto"/>
              </w:rPr>
            </w:pPr>
          </w:p>
        </w:tc>
      </w:tr>
      <w:tr>
        <w:trPr>
          <w:trHeight w:val="216"/>
        </w:trPr>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98"/>
              <w:spacing w:after="0"/>
              <w:rPr>
                <w:sz w:val="20"/>
                <w:szCs w:val="20"/>
                <w:color w:val="auto"/>
              </w:rPr>
            </w:pPr>
            <w:r>
              <w:rPr>
                <w:rFonts w:ascii="Arial" w:cs="Arial" w:eastAsia="Arial" w:hAnsi="Arial"/>
                <w:sz w:val="10"/>
                <w:szCs w:val="10"/>
                <w:color w:val="auto"/>
                <w:w w:val="71"/>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(6,755)</w:t>
            </w:r>
          </w:p>
        </w:tc>
        <w:tc>
          <w:tcPr>
            <w:tcW w:w="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(6,823)</w:t>
            </w:r>
          </w:p>
        </w:tc>
        <w:tc>
          <w:tcPr>
            <w:tcW w:w="1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(10,610)</w:t>
            </w:r>
          </w:p>
        </w:tc>
        <w:tc>
          <w:tcPr>
            <w:tcW w:w="80" w:type="dxa"/>
            <w:vAlign w:val="bottom"/>
            <w:tcBorders>
              <w:left w:val="single" w:sz="8" w:color="CCEEFF"/>
            </w:tcBorders>
            <w:shd w:val="clear" w:color="auto" w:fill="CCEEFF"/>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8,484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12,949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10,762</w:t>
            </w:r>
          </w:p>
        </w:tc>
        <w:tc>
          <w:tcPr>
            <w:tcW w:w="8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TSNP Notes amortization</w:t>
            </w:r>
          </w:p>
        </w:tc>
        <w:tc>
          <w:tcPr>
            <w:tcW w:w="22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(5,010)</w:t>
            </w:r>
          </w:p>
        </w:tc>
        <w:tc>
          <w:tcPr>
            <w:tcW w:w="80" w:type="dxa"/>
            <w:vAlign w:val="bottom"/>
            <w:tcBorders>
              <w:left w:val="single" w:sz="8" w:color="CCEEFF"/>
            </w:tcBorders>
            <w:shd w:val="clear" w:color="auto" w:fill="CCEEFF"/>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100" w:type="dxa"/>
            <w:vAlign w:val="bottom"/>
            <w:gridSpan w:val="4"/>
          </w:tcPr>
          <w:p>
            <w:pPr>
              <w:spacing w:after="0"/>
              <w:rPr>
                <w:sz w:val="20"/>
                <w:szCs w:val="20"/>
                <w:color w:val="auto"/>
              </w:rPr>
            </w:pPr>
            <w:r>
              <w:rPr>
                <w:rFonts w:ascii="Arial" w:cs="Arial" w:eastAsia="Arial" w:hAnsi="Arial"/>
                <w:sz w:val="18"/>
                <w:szCs w:val="18"/>
                <w:color w:val="auto"/>
                <w:w w:val="96"/>
              </w:rPr>
              <w:t>Series G Debentures amortization, related rate differences and hedging results</w:t>
            </w:r>
          </w:p>
        </w:tc>
        <w:tc>
          <w:tcPr>
            <w:tcW w:w="2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(3,045)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(3,299)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(3,589)</w:t>
            </w:r>
          </w:p>
        </w:tc>
        <w:tc>
          <w:tcPr>
            <w:tcW w:w="8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Exchange rate differences</w:t>
            </w:r>
          </w:p>
        </w:tc>
        <w:tc>
          <w:tcPr>
            <w:tcW w:w="22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5,190</w:t>
            </w:r>
          </w:p>
        </w:tc>
        <w:tc>
          <w:tcPr>
            <w:tcW w:w="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(968)</w:t>
            </w:r>
          </w:p>
        </w:tc>
        <w:tc>
          <w:tcPr>
            <w:tcW w:w="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80" w:type="dxa"/>
            <w:vAlign w:val="bottom"/>
            <w:tcBorders>
              <w:left w:val="single" w:sz="8" w:color="CCEEFF"/>
            </w:tcBorders>
            <w:shd w:val="clear" w:color="auto" w:fill="CCEEFF"/>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2920" w:type="dxa"/>
            <w:vAlign w:val="bottom"/>
            <w:gridSpan w:val="2"/>
          </w:tcPr>
          <w:p>
            <w:pPr>
              <w:ind w:left="80"/>
              <w:spacing w:after="0"/>
              <w:rPr>
                <w:sz w:val="20"/>
                <w:szCs w:val="20"/>
                <w:color w:val="auto"/>
              </w:rPr>
            </w:pPr>
            <w:r>
              <w:rPr>
                <w:rFonts w:ascii="Arial" w:cs="Arial" w:eastAsia="Arial" w:hAnsi="Arial"/>
                <w:sz w:val="18"/>
                <w:szCs w:val="18"/>
                <w:color w:val="auto"/>
              </w:rPr>
              <w:t>Bank fees and others</w:t>
            </w:r>
          </w:p>
        </w:tc>
        <w:tc>
          <w:tcPr>
            <w:tcW w:w="2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(1,004)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(1,847)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(3,673)</w:t>
            </w:r>
          </w:p>
        </w:tc>
        <w:tc>
          <w:tcPr>
            <w:tcW w:w="80" w:type="dxa"/>
            <w:vAlign w:val="bottom"/>
          </w:tcPr>
          <w:p>
            <w:pPr>
              <w:spacing w:after="0"/>
              <w:rPr>
                <w:sz w:val="18"/>
                <w:szCs w:val="18"/>
                <w:color w:val="auto"/>
              </w:rPr>
            </w:pPr>
          </w:p>
        </w:tc>
      </w:tr>
      <w:tr>
        <w:trPr>
          <w:trHeight w:val="27"/>
        </w:trPr>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2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36"/>
        </w:trPr>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94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jc w:val="right"/>
              <w:ind w:right="98"/>
              <w:spacing w:after="0"/>
              <w:rPr>
                <w:sz w:val="20"/>
                <w:szCs w:val="20"/>
                <w:color w:val="auto"/>
              </w:rPr>
            </w:pPr>
            <w:r>
              <w:rPr>
                <w:rFonts w:ascii="Arial" w:cs="Arial" w:eastAsia="Arial" w:hAnsi="Arial"/>
                <w:sz w:val="10"/>
                <w:szCs w:val="10"/>
                <w:color w:val="auto"/>
                <w:w w:val="71"/>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2,870</w:t>
            </w:r>
          </w:p>
        </w:tc>
        <w:tc>
          <w:tcPr>
            <w:tcW w:w="8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(13,184)</w:t>
            </w:r>
          </w:p>
        </w:tc>
        <w:tc>
          <w:tcPr>
            <w:tcW w:w="80" w:type="dxa"/>
            <w:vAlign w:val="bottom"/>
            <w:tcBorders>
              <w:left w:val="single" w:sz="8" w:color="CCEEFF"/>
            </w:tcBorders>
            <w:shd w:val="clear" w:color="auto" w:fill="CCEEFF"/>
          </w:tcPr>
          <w:p>
            <w:pPr>
              <w:spacing w:after="0"/>
              <w:rPr>
                <w:sz w:val="20"/>
                <w:szCs w:val="20"/>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r>
      <w:tr>
        <w:trPr>
          <w:trHeight w:val="480"/>
        </w:trPr>
        <w:tc>
          <w:tcPr>
            <w:tcW w:w="7560" w:type="dxa"/>
            <w:vAlign w:val="bottom"/>
            <w:gridSpan w:val="6"/>
          </w:tcPr>
          <w:p>
            <w:pPr>
              <w:spacing w:after="0"/>
              <w:rPr>
                <w:sz w:val="20"/>
                <w:szCs w:val="20"/>
                <w:color w:val="auto"/>
              </w:rPr>
            </w:pPr>
            <w:r>
              <w:rPr>
                <w:rFonts w:ascii="Arial" w:cs="Arial" w:eastAsia="Arial" w:hAnsi="Arial"/>
                <w:sz w:val="18"/>
                <w:szCs w:val="18"/>
                <w:b w:val="1"/>
                <w:bCs w:val="1"/>
                <w:color w:val="auto"/>
              </w:rPr>
              <w:t>NOTE 18  - RELATED PARTIES BALANCES AND TRANSACTIONS</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8"/>
        </w:trPr>
        <w:tc>
          <w:tcPr>
            <w:tcW w:w="1360" w:type="dxa"/>
            <w:vAlign w:val="bottom"/>
          </w:tcPr>
          <w:p>
            <w:pPr>
              <w:ind w:left="1080"/>
              <w:spacing w:after="0"/>
              <w:rPr>
                <w:sz w:val="20"/>
                <w:szCs w:val="20"/>
                <w:color w:val="auto"/>
              </w:rPr>
            </w:pPr>
            <w:r>
              <w:rPr>
                <w:rFonts w:ascii="Arial" w:cs="Arial" w:eastAsia="Arial" w:hAnsi="Arial"/>
                <w:sz w:val="18"/>
                <w:szCs w:val="18"/>
                <w:b w:val="1"/>
                <w:bCs w:val="1"/>
                <w:color w:val="auto"/>
              </w:rPr>
              <w:t>A.</w:t>
            </w:r>
          </w:p>
        </w:tc>
        <w:tc>
          <w:tcPr>
            <w:tcW w:w="2920" w:type="dxa"/>
            <w:vAlign w:val="bottom"/>
            <w:gridSpan w:val="2"/>
          </w:tcPr>
          <w:p>
            <w:pPr>
              <w:ind w:left="80"/>
              <w:spacing w:after="0"/>
              <w:rPr>
                <w:sz w:val="20"/>
                <w:szCs w:val="20"/>
                <w:color w:val="auto"/>
              </w:rPr>
            </w:pPr>
            <w:r>
              <w:rPr>
                <w:rFonts w:ascii="Arial" w:cs="Arial" w:eastAsia="Arial" w:hAnsi="Arial"/>
                <w:sz w:val="18"/>
                <w:szCs w:val="18"/>
                <w:b w:val="1"/>
                <w:bCs w:val="1"/>
                <w:color w:val="auto"/>
              </w:rPr>
              <w:t>Balance:</w:t>
            </w:r>
          </w:p>
        </w:tc>
        <w:tc>
          <w:tcPr>
            <w:tcW w:w="2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8"/>
        </w:trPr>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3280" w:type="dxa"/>
            <w:vAlign w:val="bottom"/>
            <w:gridSpan w:val="3"/>
          </w:tcPr>
          <w:p>
            <w:pPr>
              <w:ind w:left="220"/>
              <w:spacing w:after="0"/>
              <w:rPr>
                <w:sz w:val="20"/>
                <w:szCs w:val="20"/>
                <w:color w:val="auto"/>
              </w:rPr>
            </w:pPr>
            <w:r>
              <w:rPr>
                <w:rFonts w:ascii="Arial" w:cs="Arial" w:eastAsia="Arial" w:hAnsi="Arial"/>
                <w:sz w:val="18"/>
                <w:szCs w:val="18"/>
                <w:b w:val="1"/>
                <w:bCs w:val="1"/>
                <w:color w:val="auto"/>
                <w:w w:val="91"/>
              </w:rPr>
              <w:t>The nature of the relationship involved</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0" w:type="dxa"/>
            <w:vAlign w:val="bottom"/>
            <w:gridSpan w:val="6"/>
          </w:tcPr>
          <w:p>
            <w:pPr>
              <w:ind w:left="200"/>
              <w:spacing w:after="0"/>
              <w:rPr>
                <w:sz w:val="20"/>
                <w:szCs w:val="20"/>
                <w:color w:val="auto"/>
              </w:rPr>
            </w:pPr>
            <w:r>
              <w:rPr>
                <w:rFonts w:ascii="Arial" w:cs="Arial" w:eastAsia="Arial" w:hAnsi="Arial"/>
                <w:sz w:val="18"/>
                <w:szCs w:val="18"/>
                <w:color w:val="auto"/>
              </w:rPr>
              <w:t>As of December 31,</w:t>
            </w:r>
          </w:p>
        </w:tc>
      </w:tr>
      <w:tr>
        <w:trPr>
          <w:trHeight w:val="223"/>
        </w:trPr>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9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center"/>
              <w:ind w:right="150"/>
              <w:spacing w:after="0"/>
              <w:rPr>
                <w:sz w:val="20"/>
                <w:szCs w:val="20"/>
                <w:color w:val="auto"/>
              </w:rPr>
            </w:pPr>
            <w:r>
              <w:rPr>
                <w:rFonts w:ascii="Arial" w:cs="Arial" w:eastAsia="Arial" w:hAnsi="Arial"/>
                <w:sz w:val="18"/>
                <w:szCs w:val="18"/>
                <w:color w:val="auto"/>
                <w:w w:val="89"/>
              </w:rPr>
              <w:t>2020</w:t>
            </w: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80" w:type="dxa"/>
            <w:vAlign w:val="bottom"/>
          </w:tcPr>
          <w:p>
            <w:pPr>
              <w:spacing w:after="0"/>
              <w:rPr>
                <w:sz w:val="19"/>
                <w:szCs w:val="19"/>
                <w:color w:val="auto"/>
              </w:rPr>
            </w:pPr>
          </w:p>
        </w:tc>
      </w:tr>
      <w:tr>
        <w:trPr>
          <w:trHeight w:val="216"/>
        </w:trPr>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Long-term investment</w:t>
            </w:r>
          </w:p>
        </w:tc>
        <w:tc>
          <w:tcPr>
            <w:tcW w:w="3280" w:type="dxa"/>
            <w:vAlign w:val="bottom"/>
            <w:tcBorders>
              <w:right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w w:val="92"/>
              </w:rPr>
              <w:t>Equity investment in a limited partnership</w:t>
            </w:r>
          </w:p>
        </w:tc>
        <w:tc>
          <w:tcPr>
            <w:tcW w:w="22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80" w:type="dxa"/>
            <w:vAlign w:val="bottom"/>
            <w:tcBorders>
              <w:left w:val="single" w:sz="8" w:color="CCEEFF"/>
            </w:tcBorders>
            <w:shd w:val="clear" w:color="auto" w:fill="CCEEFF"/>
          </w:tcPr>
          <w:p>
            <w:pPr>
              <w:spacing w:after="0"/>
              <w:rPr>
                <w:sz w:val="18"/>
                <w:szCs w:val="18"/>
                <w:color w:val="auto"/>
              </w:rPr>
            </w:pPr>
          </w:p>
        </w:tc>
      </w:tr>
      <w:tr>
        <w:trPr>
          <w:trHeight w:val="419"/>
        </w:trPr>
        <w:tc>
          <w:tcPr>
            <w:tcW w:w="1360" w:type="dxa"/>
            <w:vAlign w:val="bottom"/>
          </w:tcPr>
          <w:p>
            <w:pPr>
              <w:ind w:left="1080"/>
              <w:spacing w:after="0"/>
              <w:rPr>
                <w:sz w:val="20"/>
                <w:szCs w:val="20"/>
                <w:color w:val="auto"/>
              </w:rPr>
            </w:pPr>
            <w:r>
              <w:rPr>
                <w:rFonts w:ascii="Arial" w:cs="Arial" w:eastAsia="Arial" w:hAnsi="Arial"/>
                <w:sz w:val="18"/>
                <w:szCs w:val="18"/>
                <w:b w:val="1"/>
                <w:bCs w:val="1"/>
                <w:color w:val="auto"/>
              </w:rPr>
              <w:t>B.</w:t>
            </w:r>
          </w:p>
        </w:tc>
        <w:tc>
          <w:tcPr>
            <w:tcW w:w="2920" w:type="dxa"/>
            <w:vAlign w:val="bottom"/>
            <w:gridSpan w:val="2"/>
          </w:tcPr>
          <w:p>
            <w:pPr>
              <w:ind w:left="80"/>
              <w:spacing w:after="0"/>
              <w:rPr>
                <w:sz w:val="20"/>
                <w:szCs w:val="20"/>
                <w:color w:val="auto"/>
              </w:rPr>
            </w:pPr>
            <w:r>
              <w:rPr>
                <w:rFonts w:ascii="Arial" w:cs="Arial" w:eastAsia="Arial" w:hAnsi="Arial"/>
                <w:sz w:val="18"/>
                <w:szCs w:val="18"/>
                <w:b w:val="1"/>
                <w:bCs w:val="1"/>
                <w:color w:val="auto"/>
              </w:rPr>
              <w:t>Transactions:</w:t>
            </w:r>
          </w:p>
        </w:tc>
        <w:tc>
          <w:tcPr>
            <w:tcW w:w="2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8"/>
        </w:trPr>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3280" w:type="dxa"/>
            <w:vAlign w:val="bottom"/>
            <w:gridSpan w:val="3"/>
          </w:tcPr>
          <w:p>
            <w:pPr>
              <w:ind w:left="220"/>
              <w:spacing w:after="0"/>
              <w:rPr>
                <w:sz w:val="20"/>
                <w:szCs w:val="20"/>
                <w:color w:val="auto"/>
              </w:rPr>
            </w:pPr>
            <w:r>
              <w:rPr>
                <w:rFonts w:ascii="Arial" w:cs="Arial" w:eastAsia="Arial" w:hAnsi="Arial"/>
                <w:sz w:val="18"/>
                <w:szCs w:val="18"/>
                <w:b w:val="1"/>
                <w:bCs w:val="1"/>
                <w:color w:val="auto"/>
              </w:rPr>
              <w:t>Description of the transactions</w:t>
            </w:r>
          </w:p>
        </w:tc>
        <w:tc>
          <w:tcPr>
            <w:tcW w:w="220" w:type="dxa"/>
            <w:vAlign w:val="bottom"/>
          </w:tcPr>
          <w:p>
            <w:pPr>
              <w:spacing w:after="0"/>
              <w:rPr>
                <w:sz w:val="24"/>
                <w:szCs w:val="24"/>
                <w:color w:val="auto"/>
              </w:rPr>
            </w:pPr>
          </w:p>
        </w:tc>
        <w:tc>
          <w:tcPr>
            <w:tcW w:w="2560" w:type="dxa"/>
            <w:vAlign w:val="bottom"/>
            <w:gridSpan w:val="8"/>
          </w:tcPr>
          <w:p>
            <w:pPr>
              <w:jc w:val="center"/>
              <w:ind w:left="450"/>
              <w:spacing w:after="0"/>
              <w:rPr>
                <w:sz w:val="20"/>
                <w:szCs w:val="20"/>
                <w:color w:val="auto"/>
              </w:rPr>
            </w:pPr>
            <w:r>
              <w:rPr>
                <w:rFonts w:ascii="Arial" w:cs="Arial" w:eastAsia="Arial" w:hAnsi="Arial"/>
                <w:sz w:val="18"/>
                <w:szCs w:val="18"/>
                <w:color w:val="auto"/>
                <w:w w:val="88"/>
              </w:rPr>
              <w:t>Year ended December 31,</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9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center"/>
              <w:ind w:right="150"/>
              <w:spacing w:after="0"/>
              <w:rPr>
                <w:sz w:val="20"/>
                <w:szCs w:val="20"/>
                <w:color w:val="auto"/>
              </w:rPr>
            </w:pPr>
            <w:r>
              <w:rPr>
                <w:rFonts w:ascii="Arial" w:cs="Arial" w:eastAsia="Arial" w:hAnsi="Arial"/>
                <w:sz w:val="18"/>
                <w:szCs w:val="18"/>
                <w:color w:val="auto"/>
                <w:w w:val="89"/>
              </w:rPr>
              <w:t>2019</w:t>
            </w: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2018</w:t>
            </w:r>
          </w:p>
        </w:tc>
        <w:tc>
          <w:tcPr>
            <w:tcW w:w="80" w:type="dxa"/>
            <w:vAlign w:val="bottom"/>
          </w:tcPr>
          <w:p>
            <w:pPr>
              <w:spacing w:after="0"/>
              <w:rPr>
                <w:sz w:val="19"/>
                <w:szCs w:val="19"/>
                <w:color w:val="auto"/>
              </w:rPr>
            </w:pPr>
          </w:p>
        </w:tc>
      </w:tr>
      <w:tr>
        <w:trPr>
          <w:trHeight w:val="202"/>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20" w:type="dxa"/>
            <w:vAlign w:val="bottom"/>
            <w:shd w:val="clear" w:color="auto" w:fill="CCEEFF"/>
          </w:tcPr>
          <w:p>
            <w:pPr>
              <w:spacing w:after="0"/>
              <w:rPr>
                <w:sz w:val="17"/>
                <w:szCs w:val="17"/>
                <w:color w:val="auto"/>
              </w:rPr>
            </w:pPr>
          </w:p>
        </w:tc>
        <w:tc>
          <w:tcPr>
            <w:tcW w:w="3280" w:type="dxa"/>
            <w:vAlign w:val="bottom"/>
            <w:tcBorders>
              <w:right w:val="single" w:sz="8" w:color="CCEEFF"/>
            </w:tcBorders>
            <w:gridSpan w:val="3"/>
            <w:shd w:val="clear" w:color="auto" w:fill="CCEEFF"/>
          </w:tcPr>
          <w:p>
            <w:pPr>
              <w:ind w:left="220"/>
              <w:spacing w:after="0" w:line="201" w:lineRule="exact"/>
              <w:rPr>
                <w:sz w:val="20"/>
                <w:szCs w:val="20"/>
                <w:color w:val="auto"/>
              </w:rPr>
            </w:pPr>
            <w:r>
              <w:rPr>
                <w:rFonts w:ascii="Arial" w:cs="Arial" w:eastAsia="Arial" w:hAnsi="Arial"/>
                <w:sz w:val="18"/>
                <w:szCs w:val="18"/>
                <w:color w:val="auto"/>
              </w:rPr>
              <w:t>Directors’ fees and reimbursement to</w:t>
            </w:r>
          </w:p>
        </w:tc>
        <w:tc>
          <w:tcPr>
            <w:tcW w:w="22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r>
      <w:tr>
        <w:trPr>
          <w:trHeight w:val="230"/>
        </w:trPr>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w w:val="96"/>
              </w:rPr>
              <w:t>General and Administrative expense</w:t>
            </w:r>
          </w:p>
        </w:tc>
        <w:tc>
          <w:tcPr>
            <w:tcW w:w="3280" w:type="dxa"/>
            <w:vAlign w:val="bottom"/>
            <w:tcBorders>
              <w:right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directors</w:t>
            </w:r>
          </w:p>
        </w:tc>
        <w:tc>
          <w:tcPr>
            <w:tcW w:w="220" w:type="dxa"/>
            <w:vAlign w:val="bottom"/>
            <w:shd w:val="clear" w:color="auto" w:fill="CCEEFF"/>
          </w:tcPr>
          <w:p>
            <w:pPr>
              <w:jc w:val="right"/>
              <w:ind w:right="78"/>
              <w:spacing w:after="0"/>
              <w:rPr>
                <w:sz w:val="20"/>
                <w:szCs w:val="20"/>
                <w:color w:val="auto"/>
              </w:rPr>
            </w:pPr>
            <w:r>
              <w:rPr>
                <w:rFonts w:ascii="Arial" w:cs="Arial" w:eastAsia="Arial" w:hAnsi="Arial"/>
                <w:sz w:val="15"/>
                <w:szCs w:val="15"/>
                <w:color w:val="auto"/>
                <w:w w:val="71"/>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8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12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80" w:type="dxa"/>
            <w:vAlign w:val="bottom"/>
            <w:tcBorders>
              <w:left w:val="single" w:sz="8" w:color="CCEEFF"/>
            </w:tcBorders>
            <w:shd w:val="clear" w:color="auto" w:fill="CCEEFF"/>
          </w:tcPr>
          <w:p>
            <w:pPr>
              <w:spacing w:after="0"/>
              <w:rPr>
                <w:sz w:val="20"/>
                <w:szCs w:val="20"/>
                <w:color w:val="auto"/>
              </w:rPr>
            </w:pPr>
          </w:p>
        </w:tc>
      </w:tr>
      <w:tr>
        <w:trPr>
          <w:trHeight w:val="202"/>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3280" w:type="dxa"/>
            <w:vAlign w:val="bottom"/>
            <w:gridSpan w:val="3"/>
          </w:tcPr>
          <w:p>
            <w:pPr>
              <w:ind w:left="220"/>
              <w:spacing w:after="0" w:line="201" w:lineRule="exact"/>
              <w:rPr>
                <w:sz w:val="20"/>
                <w:szCs w:val="20"/>
                <w:color w:val="auto"/>
              </w:rPr>
            </w:pPr>
            <w:r>
              <w:rPr>
                <w:rFonts w:ascii="Arial" w:cs="Arial" w:eastAsia="Arial" w:hAnsi="Arial"/>
                <w:sz w:val="18"/>
                <w:szCs w:val="18"/>
                <w:color w:val="auto"/>
              </w:rPr>
              <w:t>Non-controlling interest income (loss)</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1360" w:type="dxa"/>
            <w:vAlign w:val="bottom"/>
          </w:tcPr>
          <w:p>
            <w:pPr>
              <w:spacing w:after="0"/>
              <w:rPr>
                <w:sz w:val="20"/>
                <w:szCs w:val="20"/>
                <w:color w:val="auto"/>
              </w:rPr>
            </w:pPr>
          </w:p>
        </w:tc>
        <w:tc>
          <w:tcPr>
            <w:tcW w:w="2920" w:type="dxa"/>
            <w:vAlign w:val="bottom"/>
            <w:gridSpan w:val="2"/>
          </w:tcPr>
          <w:p>
            <w:pPr>
              <w:ind w:left="80"/>
              <w:spacing w:after="0"/>
              <w:rPr>
                <w:sz w:val="20"/>
                <w:szCs w:val="20"/>
                <w:color w:val="auto"/>
              </w:rPr>
            </w:pPr>
            <w:r>
              <w:rPr>
                <w:rFonts w:ascii="Arial" w:cs="Arial" w:eastAsia="Arial" w:hAnsi="Arial"/>
                <w:sz w:val="18"/>
                <w:szCs w:val="18"/>
                <w:color w:val="auto"/>
              </w:rPr>
              <w:t>Other income (expense), net</w:t>
            </w:r>
          </w:p>
        </w:tc>
        <w:tc>
          <w:tcPr>
            <w:tcW w:w="3280" w:type="dxa"/>
            <w:vAlign w:val="bottom"/>
            <w:gridSpan w:val="3"/>
          </w:tcPr>
          <w:p>
            <w:pPr>
              <w:ind w:left="220"/>
              <w:spacing w:after="0"/>
              <w:rPr>
                <w:sz w:val="20"/>
                <w:szCs w:val="20"/>
                <w:color w:val="auto"/>
              </w:rPr>
            </w:pPr>
            <w:r>
              <w:rPr>
                <w:rFonts w:ascii="Arial" w:cs="Arial" w:eastAsia="Arial" w:hAnsi="Arial"/>
                <w:sz w:val="18"/>
                <w:szCs w:val="18"/>
                <w:color w:val="auto"/>
              </w:rPr>
              <w:t>from a limited partnership</w:t>
            </w:r>
          </w:p>
        </w:tc>
        <w:tc>
          <w:tcPr>
            <w:tcW w:w="220" w:type="dxa"/>
            <w:vAlign w:val="bottom"/>
          </w:tcPr>
          <w:p>
            <w:pPr>
              <w:jc w:val="right"/>
              <w:ind w:right="78"/>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0"/>
                <w:szCs w:val="20"/>
                <w:color w:val="auto"/>
              </w:rPr>
            </w:pPr>
          </w:p>
        </w:tc>
        <w:tc>
          <w:tcPr>
            <w:tcW w:w="32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(55)</w:t>
            </w:r>
          </w:p>
        </w:tc>
        <w:tc>
          <w:tcPr>
            <w:tcW w:w="34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20"/>
                <w:szCs w:val="20"/>
                <w:color w:val="auto"/>
              </w:rPr>
            </w:pPr>
          </w:p>
        </w:tc>
      </w:tr>
      <w:tr>
        <w:trPr>
          <w:trHeight w:val="432"/>
        </w:trPr>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60" w:type="dxa"/>
            <w:vAlign w:val="bottom"/>
            <w:gridSpan w:val="2"/>
          </w:tcPr>
          <w:p>
            <w:pPr>
              <w:ind w:left="920"/>
              <w:spacing w:after="0"/>
              <w:rPr>
                <w:sz w:val="20"/>
                <w:szCs w:val="20"/>
                <w:color w:val="auto"/>
              </w:rPr>
            </w:pPr>
            <w:r>
              <w:rPr>
                <w:rFonts w:ascii="Arial" w:cs="Arial" w:eastAsia="Arial" w:hAnsi="Arial"/>
                <w:sz w:val="18"/>
                <w:szCs w:val="18"/>
                <w:color w:val="auto"/>
              </w:rPr>
              <w:t>F-46</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1360" w:type="dxa"/>
            <w:vAlign w:val="bottom"/>
            <w:tcBorders>
              <w:bottom w:val="single" w:sz="8" w:color="EEEEEE"/>
            </w:tcBorders>
          </w:tcPr>
          <w:p>
            <w:pPr>
              <w:spacing w:after="0"/>
              <w:rPr>
                <w:sz w:val="18"/>
                <w:szCs w:val="18"/>
                <w:color w:val="auto"/>
              </w:rPr>
            </w:pPr>
          </w:p>
        </w:tc>
        <w:tc>
          <w:tcPr>
            <w:tcW w:w="100" w:type="dxa"/>
            <w:vAlign w:val="bottom"/>
            <w:tcBorders>
              <w:bottom w:val="single" w:sz="8" w:color="EEEEEE"/>
            </w:tcBorders>
          </w:tcPr>
          <w:p>
            <w:pPr>
              <w:spacing w:after="0"/>
              <w:rPr>
                <w:sz w:val="18"/>
                <w:szCs w:val="18"/>
                <w:color w:val="auto"/>
              </w:rPr>
            </w:pPr>
          </w:p>
        </w:tc>
        <w:tc>
          <w:tcPr>
            <w:tcW w:w="2820" w:type="dxa"/>
            <w:vAlign w:val="bottom"/>
            <w:tcBorders>
              <w:bottom w:val="single" w:sz="8" w:color="EEEEEE"/>
            </w:tcBorders>
          </w:tcPr>
          <w:p>
            <w:pPr>
              <w:spacing w:after="0"/>
              <w:rPr>
                <w:sz w:val="18"/>
                <w:szCs w:val="18"/>
                <w:color w:val="auto"/>
              </w:rPr>
            </w:pPr>
          </w:p>
        </w:tc>
        <w:tc>
          <w:tcPr>
            <w:tcW w:w="220" w:type="dxa"/>
            <w:vAlign w:val="bottom"/>
            <w:tcBorders>
              <w:bottom w:val="single" w:sz="8" w:color="EEEEEE"/>
            </w:tcBorders>
          </w:tcPr>
          <w:p>
            <w:pPr>
              <w:spacing w:after="0"/>
              <w:rPr>
                <w:sz w:val="18"/>
                <w:szCs w:val="18"/>
                <w:color w:val="auto"/>
              </w:rPr>
            </w:pPr>
          </w:p>
        </w:tc>
        <w:tc>
          <w:tcPr>
            <w:tcW w:w="2940" w:type="dxa"/>
            <w:vAlign w:val="bottom"/>
            <w:tcBorders>
              <w:bottom w:val="single" w:sz="8" w:color="EEEEEE"/>
            </w:tcBorders>
          </w:tcPr>
          <w:p>
            <w:pPr>
              <w:spacing w:after="0"/>
              <w:rPr>
                <w:sz w:val="18"/>
                <w:szCs w:val="18"/>
                <w:color w:val="auto"/>
              </w:rPr>
            </w:pPr>
          </w:p>
        </w:tc>
        <w:tc>
          <w:tcPr>
            <w:tcW w:w="120" w:type="dxa"/>
            <w:vAlign w:val="bottom"/>
            <w:tcBorders>
              <w:bottom w:val="single" w:sz="8" w:color="EEEEEE"/>
            </w:tcBorders>
          </w:tcPr>
          <w:p>
            <w:pPr>
              <w:spacing w:after="0"/>
              <w:rPr>
                <w:sz w:val="18"/>
                <w:szCs w:val="18"/>
                <w:color w:val="auto"/>
              </w:rPr>
            </w:pPr>
          </w:p>
        </w:tc>
        <w:tc>
          <w:tcPr>
            <w:tcW w:w="220" w:type="dxa"/>
            <w:vAlign w:val="bottom"/>
            <w:tcBorders>
              <w:bottom w:val="single" w:sz="8" w:color="EEEEEE"/>
            </w:tcBorders>
          </w:tcPr>
          <w:p>
            <w:pPr>
              <w:spacing w:after="0"/>
              <w:rPr>
                <w:sz w:val="18"/>
                <w:szCs w:val="18"/>
                <w:color w:val="auto"/>
              </w:rPr>
            </w:pPr>
          </w:p>
        </w:tc>
        <w:tc>
          <w:tcPr>
            <w:tcW w:w="860" w:type="dxa"/>
            <w:vAlign w:val="bottom"/>
            <w:tcBorders>
              <w:bottom w:val="single" w:sz="8" w:color="EEEEEE"/>
            </w:tcBorders>
          </w:tcPr>
          <w:p>
            <w:pPr>
              <w:spacing w:after="0"/>
              <w:rPr>
                <w:sz w:val="18"/>
                <w:szCs w:val="18"/>
                <w:color w:val="auto"/>
              </w:rPr>
            </w:pPr>
          </w:p>
        </w:tc>
        <w:tc>
          <w:tcPr>
            <w:tcW w:w="80" w:type="dxa"/>
            <w:vAlign w:val="bottom"/>
            <w:tcBorders>
              <w:bottom w:val="single" w:sz="8" w:color="EEEEEE"/>
            </w:tcBorders>
          </w:tcPr>
          <w:p>
            <w:pPr>
              <w:spacing w:after="0"/>
              <w:rPr>
                <w:sz w:val="18"/>
                <w:szCs w:val="18"/>
                <w:color w:val="auto"/>
              </w:rPr>
            </w:pPr>
          </w:p>
        </w:tc>
        <w:tc>
          <w:tcPr>
            <w:tcW w:w="100" w:type="dxa"/>
            <w:vAlign w:val="bottom"/>
            <w:tcBorders>
              <w:bottom w:val="single" w:sz="8" w:color="EEEEEE"/>
            </w:tcBorders>
          </w:tcPr>
          <w:p>
            <w:pPr>
              <w:spacing w:after="0"/>
              <w:rPr>
                <w:sz w:val="18"/>
                <w:szCs w:val="18"/>
                <w:color w:val="auto"/>
              </w:rPr>
            </w:pPr>
          </w:p>
        </w:tc>
        <w:tc>
          <w:tcPr>
            <w:tcW w:w="220" w:type="dxa"/>
            <w:vAlign w:val="bottom"/>
            <w:tcBorders>
              <w:bottom w:val="single" w:sz="8" w:color="EEEEEE"/>
            </w:tcBorders>
          </w:tcPr>
          <w:p>
            <w:pPr>
              <w:spacing w:after="0"/>
              <w:rPr>
                <w:sz w:val="18"/>
                <w:szCs w:val="18"/>
                <w:color w:val="auto"/>
              </w:rPr>
            </w:pPr>
          </w:p>
        </w:tc>
        <w:tc>
          <w:tcPr>
            <w:tcW w:w="840" w:type="dxa"/>
            <w:vAlign w:val="bottom"/>
            <w:tcBorders>
              <w:bottom w:val="single" w:sz="8" w:color="EEEEEE"/>
            </w:tcBorders>
          </w:tcPr>
          <w:p>
            <w:pPr>
              <w:spacing w:after="0"/>
              <w:rPr>
                <w:sz w:val="18"/>
                <w:szCs w:val="18"/>
                <w:color w:val="auto"/>
              </w:rPr>
            </w:pPr>
          </w:p>
        </w:tc>
        <w:tc>
          <w:tcPr>
            <w:tcW w:w="120" w:type="dxa"/>
            <w:vAlign w:val="bottom"/>
            <w:tcBorders>
              <w:bottom w:val="single" w:sz="8" w:color="EEEEEE"/>
            </w:tcBorders>
          </w:tcPr>
          <w:p>
            <w:pPr>
              <w:spacing w:after="0"/>
              <w:rPr>
                <w:sz w:val="18"/>
                <w:szCs w:val="18"/>
                <w:color w:val="auto"/>
              </w:rPr>
            </w:pPr>
          </w:p>
        </w:tc>
        <w:tc>
          <w:tcPr>
            <w:tcW w:w="80" w:type="dxa"/>
            <w:vAlign w:val="bottom"/>
            <w:tcBorders>
              <w:bottom w:val="single" w:sz="8" w:color="EEEEEE"/>
            </w:tcBorders>
          </w:tcPr>
          <w:p>
            <w:pPr>
              <w:spacing w:after="0"/>
              <w:rPr>
                <w:sz w:val="18"/>
                <w:szCs w:val="18"/>
                <w:color w:val="auto"/>
              </w:rPr>
            </w:pPr>
          </w:p>
        </w:tc>
        <w:tc>
          <w:tcPr>
            <w:tcW w:w="260" w:type="dxa"/>
            <w:vAlign w:val="bottom"/>
            <w:tcBorders>
              <w:bottom w:val="single" w:sz="8" w:color="EEEEEE"/>
            </w:tcBorders>
          </w:tcPr>
          <w:p>
            <w:pPr>
              <w:spacing w:after="0"/>
              <w:rPr>
                <w:sz w:val="18"/>
                <w:szCs w:val="18"/>
                <w:color w:val="auto"/>
              </w:rPr>
            </w:pPr>
          </w:p>
        </w:tc>
        <w:tc>
          <w:tcPr>
            <w:tcW w:w="820" w:type="dxa"/>
            <w:vAlign w:val="bottom"/>
            <w:tcBorders>
              <w:bottom w:val="single" w:sz="8" w:color="EEEEEE"/>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19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NOTE 19</w:t>
        <w:tab/>
        <w:t>- INCOME TAXES</w:t>
      </w:r>
    </w:p>
    <w:p>
      <w:pPr>
        <w:spacing w:after="0" w:line="198" w:lineRule="exact"/>
        <w:rPr>
          <w:sz w:val="20"/>
          <w:szCs w:val="20"/>
          <w:color w:val="auto"/>
        </w:rPr>
      </w:pPr>
    </w:p>
    <w:p>
      <w:pPr>
        <w:ind w:left="1440" w:hanging="352"/>
        <w:spacing w:after="0"/>
        <w:tabs>
          <w:tab w:leader="none" w:pos="144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Tower Statutory Income Rates</w:t>
      </w:r>
    </w:p>
    <w:p>
      <w:pPr>
        <w:spacing w:after="0" w:line="215" w:lineRule="exact"/>
        <w:rPr>
          <w:rFonts w:ascii="Arial" w:cs="Arial" w:eastAsia="Arial" w:hAnsi="Arial"/>
          <w:sz w:val="18"/>
          <w:szCs w:val="18"/>
          <w:b w:val="1"/>
          <w:bCs w:val="1"/>
          <w:color w:val="auto"/>
        </w:rPr>
      </w:pPr>
    </w:p>
    <w:p>
      <w:pPr>
        <w:ind w:left="144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Substantially all of Tower’s existing facilities and other capital investments made through 2012 have been granted approved enterprise status, as provided by the Law for the Encouragement of Capital Investment in Israel (“Investments Law”).</w:t>
      </w:r>
    </w:p>
    <w:p>
      <w:pPr>
        <w:spacing w:after="0" w:line="132" w:lineRule="exact"/>
        <w:rPr>
          <w:rFonts w:ascii="Arial" w:cs="Arial" w:eastAsia="Arial" w:hAnsi="Arial"/>
          <w:sz w:val="18"/>
          <w:szCs w:val="18"/>
          <w:b w:val="1"/>
          <w:bCs w:val="1"/>
          <w:color w:val="auto"/>
        </w:rPr>
      </w:pPr>
    </w:p>
    <w:p>
      <w:pPr>
        <w:ind w:left="144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Tower, as an Israeli industrial company located in Migdal Ha’emek, may elect the Preferred Enterprise regime to apply to it under the Investment Law. The election is irrevocable.</w:t>
      </w:r>
    </w:p>
    <w:p>
      <w:pPr>
        <w:spacing w:after="0" w:line="143" w:lineRule="exact"/>
        <w:rPr>
          <w:rFonts w:ascii="Arial" w:cs="Arial" w:eastAsia="Arial" w:hAnsi="Arial"/>
          <w:sz w:val="18"/>
          <w:szCs w:val="18"/>
          <w:b w:val="1"/>
          <w:bCs w:val="1"/>
          <w:color w:val="auto"/>
        </w:rPr>
      </w:pPr>
    </w:p>
    <w:p>
      <w:pPr>
        <w:jc w:val="both"/>
        <w:ind w:left="14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Under the Preferred Enterprise Regime, Tower’s entire preferred income is subject to the tax rate of 7.5%. Any portion of Tower’s Israeli taxable income, that is not eligible for Preferred Enterprise benefits, if at all, shall be taxed at the regular corporate tax rate of 23%.</w:t>
      </w:r>
    </w:p>
    <w:p>
      <w:pPr>
        <w:spacing w:after="0" w:line="166" w:lineRule="exact"/>
        <w:rPr>
          <w:rFonts w:ascii="Arial" w:cs="Arial" w:eastAsia="Arial" w:hAnsi="Arial"/>
          <w:sz w:val="18"/>
          <w:szCs w:val="18"/>
          <w:b w:val="1"/>
          <w:bCs w:val="1"/>
          <w:color w:val="auto"/>
        </w:rPr>
      </w:pPr>
    </w:p>
    <w:p>
      <w:pPr>
        <w:ind w:left="1440" w:hanging="352"/>
        <w:spacing w:after="0"/>
        <w:tabs>
          <w:tab w:leader="none" w:pos="144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 Provision</w:t>
      </w:r>
    </w:p>
    <w:p>
      <w:pPr>
        <w:spacing w:after="0" w:line="215" w:lineRule="exact"/>
        <w:rPr>
          <w:rFonts w:ascii="Arial" w:cs="Arial" w:eastAsia="Arial" w:hAnsi="Arial"/>
          <w:sz w:val="18"/>
          <w:szCs w:val="18"/>
          <w:b w:val="1"/>
          <w:bCs w:val="1"/>
          <w:color w:val="auto"/>
        </w:rPr>
      </w:pPr>
    </w:p>
    <w:p>
      <w:pPr>
        <w:jc w:val="both"/>
        <w:ind w:left="14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Company's provision for income taxes is affected by income taxes in a multinational tax environment. The income tax provision is an estimate determined based on current enacted tax laws and tax rates at each of its geographic locations with the use of acceptable allocation methodologies based upon the Company’s organizational structure, the Company’s operations and business mode of work, and result in applicable local taxable income attributable to those locations.</w:t>
      </w:r>
    </w:p>
    <w:p>
      <w:pPr>
        <w:sectPr>
          <w:pgSz w:w="11900" w:h="16838" w:orient="portrait"/>
          <w:cols w:equalWidth="0" w:num="1">
            <w:col w:w="11240"/>
          </w:cols>
          <w:pgMar w:left="320" w:top="283" w:right="339" w:bottom="1440" w:gutter="0" w:footer="0" w:header="0"/>
        </w:sectPr>
      </w:pPr>
    </w:p>
    <w:p>
      <w:pPr>
        <w:spacing w:after="0" w:line="160"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The Company’s income tax provision is comprised of the following:</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Current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-121920</wp:posOffset>
            </wp:positionV>
            <wp:extent cx="6214745"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14745" cy="137160"/>
                    </a:xfrm>
                    <a:prstGeom prst="rect">
                      <a:avLst/>
                    </a:prstGeom>
                    <a:noFill/>
                  </pic:spPr>
                </pic:pic>
              </a:graphicData>
            </a:graphic>
          </wp:anchor>
        </w:drawing>
      </w:r>
    </w:p>
    <w:p>
      <w:pPr>
        <w:spacing w:after="0" w:line="3"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Local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5715</wp:posOffset>
            </wp:positionV>
            <wp:extent cx="6214745"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14745" cy="137160"/>
                    </a:xfrm>
                    <a:prstGeom prst="rect">
                      <a:avLst/>
                    </a:prstGeom>
                    <a:noFill/>
                  </pic:spPr>
                </pic:pic>
              </a:graphicData>
            </a:graphic>
          </wp:anchor>
        </w:drawing>
      </w:r>
    </w:p>
    <w:p>
      <w:pPr>
        <w:ind w:left="1600"/>
        <w:spacing w:after="0"/>
        <w:rPr>
          <w:sz w:val="20"/>
          <w:szCs w:val="20"/>
          <w:color w:val="auto"/>
        </w:rPr>
      </w:pPr>
      <w:r>
        <w:rPr>
          <w:rFonts w:ascii="Arial" w:cs="Arial" w:eastAsia="Arial" w:hAnsi="Arial"/>
          <w:sz w:val="18"/>
          <w:szCs w:val="18"/>
          <w:color w:val="auto"/>
        </w:rPr>
        <w:t>Foreign</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Deferred tax expense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5715</wp:posOffset>
            </wp:positionV>
            <wp:extent cx="6214745"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14745" cy="137160"/>
                    </a:xfrm>
                    <a:prstGeom prst="rect">
                      <a:avLst/>
                    </a:prstGeom>
                    <a:noFill/>
                  </pic:spPr>
                </pic:pic>
              </a:graphicData>
            </a:graphic>
          </wp:anchor>
        </w:drawing>
      </w:r>
    </w:p>
    <w:p>
      <w:pPr>
        <w:ind w:left="1600"/>
        <w:spacing w:after="0"/>
        <w:rPr>
          <w:sz w:val="20"/>
          <w:szCs w:val="20"/>
          <w:color w:val="auto"/>
        </w:rPr>
      </w:pPr>
      <w:r>
        <w:rPr>
          <w:rFonts w:ascii="Arial" w:cs="Arial" w:eastAsia="Arial" w:hAnsi="Arial"/>
          <w:sz w:val="18"/>
          <w:szCs w:val="18"/>
          <w:color w:val="auto"/>
        </w:rPr>
        <w:t>Local</w:t>
      </w:r>
    </w:p>
    <w:p>
      <w:pPr>
        <w:spacing w:after="0" w:line="22"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Foreign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14605</wp:posOffset>
            </wp:positionV>
            <wp:extent cx="6214745" cy="1631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14745" cy="163195"/>
                    </a:xfrm>
                    <a:prstGeom prst="rect">
                      <a:avLst/>
                    </a:prstGeom>
                    <a:noFill/>
                  </pic:spPr>
                </pic:pic>
              </a:graphicData>
            </a:graphic>
          </wp:anchor>
        </w:drawing>
      </w:r>
    </w:p>
    <w:p>
      <w:pPr>
        <w:spacing w:after="0" w:line="3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Income tax expense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5" w:lineRule="exact"/>
        <w:rPr>
          <w:sz w:val="20"/>
          <w:szCs w:val="20"/>
          <w:color w:val="auto"/>
        </w:rPr>
      </w:pPr>
    </w:p>
    <w:p>
      <w:pPr>
        <w:ind w:left="860"/>
        <w:spacing w:after="0"/>
        <w:rPr>
          <w:sz w:val="20"/>
          <w:szCs w:val="20"/>
          <w:color w:val="auto"/>
        </w:rPr>
      </w:pPr>
      <w:r>
        <w:rPr>
          <w:rFonts w:ascii="Arial" w:cs="Arial" w:eastAsia="Arial" w:hAnsi="Arial"/>
          <w:sz w:val="18"/>
          <w:szCs w:val="18"/>
          <w:color w:val="auto"/>
        </w:rPr>
        <w:t>Year ended December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c>
          <w:tcPr>
            <w:tcW w:w="1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2019</w:t>
            </w:r>
          </w:p>
        </w:tc>
        <w:tc>
          <w:tcPr>
            <w:tcW w:w="1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2018</w:t>
            </w:r>
          </w:p>
        </w:tc>
        <w:tc>
          <w:tcPr>
            <w:tcW w:w="40" w:type="dxa"/>
            <w:vAlign w:val="bottom"/>
          </w:tcPr>
          <w:p>
            <w:pPr>
              <w:spacing w:after="0"/>
              <w:rPr>
                <w:sz w:val="20"/>
                <w:szCs w:val="20"/>
                <w:color w:val="auto"/>
              </w:rPr>
            </w:pPr>
          </w:p>
        </w:tc>
      </w:tr>
      <w:tr>
        <w:trPr>
          <w:trHeight w:val="418"/>
        </w:trPr>
        <w:tc>
          <w:tcPr>
            <w:tcW w:w="220" w:type="dxa"/>
            <w:vAlign w:val="bottom"/>
            <w:gridSpan w:val="2"/>
          </w:tcPr>
          <w:p>
            <w:pPr>
              <w:jc w:val="right"/>
              <w:ind w:right="89"/>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2,164</w:t>
            </w:r>
          </w:p>
        </w:tc>
        <w:tc>
          <w:tcPr>
            <w:tcW w:w="4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2,232</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1,013</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9,273</w:t>
            </w:r>
          </w:p>
        </w:tc>
        <w:tc>
          <w:tcPr>
            <w:tcW w:w="40" w:type="dxa"/>
            <w:vAlign w:val="bottom"/>
          </w:tcPr>
          <w:p>
            <w:pPr>
              <w:spacing w:after="0"/>
              <w:rPr>
                <w:sz w:val="20"/>
                <w:szCs w:val="20"/>
                <w:color w:val="auto"/>
              </w:rPr>
            </w:pPr>
          </w:p>
        </w:tc>
      </w:tr>
      <w:tr>
        <w:trPr>
          <w:trHeight w:val="418"/>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8,481</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7,098</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9,316</w:t>
            </w:r>
          </w:p>
        </w:tc>
        <w:tc>
          <w:tcPr>
            <w:tcW w:w="40" w:type="dxa"/>
            <w:vAlign w:val="bottom"/>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(5,314)</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(5,163)</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(14,815)</w:t>
            </w:r>
          </w:p>
        </w:tc>
      </w:tr>
      <w:tr>
        <w:trPr>
          <w:trHeight w:val="216"/>
        </w:trPr>
        <w:tc>
          <w:tcPr>
            <w:tcW w:w="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5,399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5,938</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61" w:lineRule="exact"/>
        <w:rPr>
          <w:sz w:val="20"/>
          <w:szCs w:val="20"/>
          <w:color w:val="auto"/>
        </w:rPr>
      </w:pPr>
    </w:p>
    <w:p>
      <w:pPr>
        <w:ind w:left="860"/>
        <w:spacing w:after="0"/>
        <w:rPr>
          <w:sz w:val="20"/>
          <w:szCs w:val="20"/>
          <w:color w:val="auto"/>
        </w:rPr>
      </w:pPr>
      <w:r>
        <w:rPr>
          <w:rFonts w:ascii="Arial" w:cs="Arial" w:eastAsia="Arial" w:hAnsi="Arial"/>
          <w:sz w:val="18"/>
          <w:szCs w:val="18"/>
          <w:color w:val="auto"/>
        </w:rPr>
        <w:t>Year ended December 31,</w:t>
      </w:r>
    </w:p>
    <w:p>
      <w:pPr>
        <w:spacing w:after="0" w:line="23" w:lineRule="exact"/>
        <w:rPr>
          <w:sz w:val="20"/>
          <w:szCs w:val="20"/>
          <w:color w:val="auto"/>
        </w:rPr>
      </w:pPr>
    </w:p>
    <w:p>
      <w:pPr>
        <w:sectPr>
          <w:pgSz w:w="11900" w:h="16838" w:orient="portrait"/>
          <w:cols w:equalWidth="0" w:num="2">
            <w:col w:w="6820" w:space="720"/>
            <w:col w:w="3700"/>
          </w:cols>
          <w:pgMar w:left="320" w:top="283" w:right="3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146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c>
          <w:tcPr>
            <w:tcW w:w="18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2019</w:t>
            </w:r>
          </w:p>
        </w:tc>
        <w:tc>
          <w:tcPr>
            <w:tcW w:w="18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2018</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146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Profit (loss) before taxes:</w:t>
            </w:r>
          </w:p>
        </w:tc>
        <w:tc>
          <w:tcPr>
            <w:tcW w:w="3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2880" w:type="dxa"/>
            <w:vAlign w:val="bottom"/>
          </w:tcPr>
          <w:p>
            <w:pPr>
              <w:ind w:left="140"/>
              <w:spacing w:after="0"/>
              <w:rPr>
                <w:sz w:val="20"/>
                <w:szCs w:val="20"/>
                <w:color w:val="auto"/>
              </w:rPr>
            </w:pPr>
            <w:r>
              <w:rPr>
                <w:rFonts w:ascii="Arial" w:cs="Arial" w:eastAsia="Arial" w:hAnsi="Arial"/>
                <w:sz w:val="18"/>
                <w:szCs w:val="18"/>
                <w:color w:val="auto"/>
              </w:rPr>
              <w:t>Domestic</w:t>
            </w:r>
          </w:p>
        </w:tc>
        <w:tc>
          <w:tcPr>
            <w:tcW w:w="3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100,145</w:t>
            </w:r>
          </w:p>
        </w:tc>
        <w:tc>
          <w:tcPr>
            <w:tcW w:w="1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103,432</w:t>
            </w:r>
          </w:p>
        </w:tc>
        <w:tc>
          <w:tcPr>
            <w:tcW w:w="1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142,831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2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w:t>
            </w:r>
          </w:p>
        </w:tc>
        <w:tc>
          <w:tcPr>
            <w:tcW w:w="3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(11,457)</w:t>
            </w:r>
          </w:p>
        </w:tc>
        <w:tc>
          <w:tcPr>
            <w:tcW w:w="22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(12,411)</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(3,514)</w:t>
            </w:r>
          </w:p>
        </w:tc>
        <w:tc>
          <w:tcPr>
            <w:tcW w:w="20" w:type="dxa"/>
            <w:vAlign w:val="bottom"/>
            <w:shd w:val="clear" w:color="auto" w:fill="CCEEFF"/>
          </w:tcPr>
          <w:p>
            <w:pPr>
              <w:spacing w:after="0"/>
              <w:rPr>
                <w:sz w:val="18"/>
                <w:szCs w:val="18"/>
                <w:color w:val="auto"/>
              </w:rPr>
            </w:pPr>
          </w:p>
        </w:tc>
      </w:tr>
      <w:tr>
        <w:trPr>
          <w:trHeight w:val="27"/>
        </w:trPr>
        <w:tc>
          <w:tcPr>
            <w:tcW w:w="1460" w:type="dxa"/>
            <w:vAlign w:val="bottom"/>
          </w:tcPr>
          <w:p>
            <w:pPr>
              <w:spacing w:after="0"/>
              <w:rPr>
                <w:sz w:val="2"/>
                <w:szCs w:val="2"/>
                <w:color w:val="auto"/>
              </w:rPr>
            </w:pPr>
          </w:p>
        </w:tc>
        <w:tc>
          <w:tcPr>
            <w:tcW w:w="2880" w:type="dxa"/>
            <w:vAlign w:val="bottom"/>
            <w:shd w:val="clear" w:color="auto" w:fill="CCEEFF"/>
          </w:tcPr>
          <w:p>
            <w:pPr>
              <w:spacing w:after="0"/>
              <w:rPr>
                <w:sz w:val="2"/>
                <w:szCs w:val="2"/>
                <w:color w:val="auto"/>
              </w:rPr>
            </w:pPr>
          </w:p>
        </w:tc>
        <w:tc>
          <w:tcPr>
            <w:tcW w:w="3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216"/>
        </w:trPr>
        <w:tc>
          <w:tcPr>
            <w:tcW w:w="4340" w:type="dxa"/>
            <w:vAlign w:val="bottom"/>
            <w:gridSpan w:val="2"/>
          </w:tcPr>
          <w:p>
            <w:pPr>
              <w:ind w:left="1440"/>
              <w:spacing w:after="0"/>
              <w:rPr>
                <w:sz w:val="20"/>
                <w:szCs w:val="20"/>
                <w:color w:val="auto"/>
              </w:rPr>
            </w:pPr>
            <w:r>
              <w:rPr>
                <w:rFonts w:ascii="Arial" w:cs="Arial" w:eastAsia="Arial" w:hAnsi="Arial"/>
                <w:sz w:val="18"/>
                <w:szCs w:val="18"/>
                <w:color w:val="auto"/>
              </w:rPr>
              <w:t>Total profit before taxes</w:t>
            </w:r>
          </w:p>
        </w:tc>
        <w:tc>
          <w:tcPr>
            <w:tcW w:w="3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88,688</w:t>
            </w:r>
          </w:p>
        </w:tc>
        <w:tc>
          <w:tcPr>
            <w:tcW w:w="1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91,021</w:t>
            </w:r>
          </w:p>
        </w:tc>
        <w:tc>
          <w:tcPr>
            <w:tcW w:w="1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139,317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14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3"/>
        </w:trPr>
        <w:tc>
          <w:tcPr>
            <w:tcW w:w="14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3420" w:type="dxa"/>
            <w:vAlign w:val="bottom"/>
            <w:gridSpan w:val="2"/>
          </w:tcPr>
          <w:p>
            <w:pPr>
              <w:jc w:val="right"/>
              <w:ind w:right="1920"/>
              <w:spacing w:after="0"/>
              <w:rPr>
                <w:sz w:val="20"/>
                <w:szCs w:val="20"/>
                <w:color w:val="auto"/>
              </w:rPr>
            </w:pPr>
            <w:r>
              <w:rPr>
                <w:rFonts w:ascii="Arial" w:cs="Arial" w:eastAsia="Arial" w:hAnsi="Arial"/>
                <w:sz w:val="18"/>
                <w:szCs w:val="18"/>
                <w:color w:val="auto"/>
              </w:rPr>
              <w:t>F-47</w:t>
            </w: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2"/>
        </w:trPr>
        <w:tc>
          <w:tcPr>
            <w:tcW w:w="1460" w:type="dxa"/>
            <w:vAlign w:val="bottom"/>
            <w:tcBorders>
              <w:bottom w:val="single" w:sz="8" w:color="EEEEEE"/>
            </w:tcBorders>
          </w:tcPr>
          <w:p>
            <w:pPr>
              <w:spacing w:after="0"/>
              <w:rPr>
                <w:sz w:val="17"/>
                <w:szCs w:val="17"/>
                <w:color w:val="auto"/>
              </w:rPr>
            </w:pPr>
          </w:p>
        </w:tc>
        <w:tc>
          <w:tcPr>
            <w:tcW w:w="2880" w:type="dxa"/>
            <w:vAlign w:val="bottom"/>
            <w:tcBorders>
              <w:bottom w:val="single" w:sz="8" w:color="EEEEEE"/>
            </w:tcBorders>
          </w:tcPr>
          <w:p>
            <w:pPr>
              <w:spacing w:after="0"/>
              <w:rPr>
                <w:sz w:val="17"/>
                <w:szCs w:val="17"/>
                <w:color w:val="auto"/>
              </w:rPr>
            </w:pPr>
          </w:p>
        </w:tc>
        <w:tc>
          <w:tcPr>
            <w:tcW w:w="3200" w:type="dxa"/>
            <w:vAlign w:val="bottom"/>
            <w:tcBorders>
              <w:bottom w:val="single" w:sz="8" w:color="EEEEEE"/>
            </w:tcBorders>
          </w:tcPr>
          <w:p>
            <w:pPr>
              <w:spacing w:after="0"/>
              <w:rPr>
                <w:sz w:val="17"/>
                <w:szCs w:val="17"/>
                <w:color w:val="auto"/>
              </w:rPr>
            </w:pPr>
          </w:p>
        </w:tc>
        <w:tc>
          <w:tcPr>
            <w:tcW w:w="220" w:type="dxa"/>
            <w:vAlign w:val="bottom"/>
            <w:tcBorders>
              <w:bottom w:val="single" w:sz="8" w:color="EEEEEE"/>
            </w:tcBorders>
          </w:tcPr>
          <w:p>
            <w:pPr>
              <w:spacing w:after="0"/>
              <w:rPr>
                <w:sz w:val="17"/>
                <w:szCs w:val="17"/>
                <w:color w:val="auto"/>
              </w:rPr>
            </w:pPr>
          </w:p>
        </w:tc>
        <w:tc>
          <w:tcPr>
            <w:tcW w:w="860" w:type="dxa"/>
            <w:vAlign w:val="bottom"/>
            <w:tcBorders>
              <w:bottom w:val="single" w:sz="8" w:color="EEEEEE"/>
            </w:tcBorders>
          </w:tcPr>
          <w:p>
            <w:pPr>
              <w:spacing w:after="0"/>
              <w:rPr>
                <w:sz w:val="17"/>
                <w:szCs w:val="17"/>
                <w:color w:val="auto"/>
              </w:rPr>
            </w:pPr>
          </w:p>
        </w:tc>
        <w:tc>
          <w:tcPr>
            <w:tcW w:w="180" w:type="dxa"/>
            <w:vAlign w:val="bottom"/>
            <w:tcBorders>
              <w:bottom w:val="single" w:sz="8" w:color="EEEEEE"/>
            </w:tcBorders>
          </w:tcPr>
          <w:p>
            <w:pPr>
              <w:spacing w:after="0"/>
              <w:rPr>
                <w:sz w:val="17"/>
                <w:szCs w:val="17"/>
                <w:color w:val="auto"/>
              </w:rPr>
            </w:pPr>
          </w:p>
        </w:tc>
        <w:tc>
          <w:tcPr>
            <w:tcW w:w="220" w:type="dxa"/>
            <w:vAlign w:val="bottom"/>
            <w:tcBorders>
              <w:bottom w:val="single" w:sz="8" w:color="EEEEEE"/>
            </w:tcBorders>
          </w:tcPr>
          <w:p>
            <w:pPr>
              <w:spacing w:after="0"/>
              <w:rPr>
                <w:sz w:val="17"/>
                <w:szCs w:val="17"/>
                <w:color w:val="auto"/>
              </w:rPr>
            </w:pPr>
          </w:p>
        </w:tc>
        <w:tc>
          <w:tcPr>
            <w:tcW w:w="860" w:type="dxa"/>
            <w:vAlign w:val="bottom"/>
            <w:tcBorders>
              <w:bottom w:val="single" w:sz="8" w:color="EEEEEE"/>
            </w:tcBorders>
          </w:tcPr>
          <w:p>
            <w:pPr>
              <w:spacing w:after="0"/>
              <w:rPr>
                <w:sz w:val="17"/>
                <w:szCs w:val="17"/>
                <w:color w:val="auto"/>
              </w:rPr>
            </w:pPr>
          </w:p>
        </w:tc>
        <w:tc>
          <w:tcPr>
            <w:tcW w:w="180" w:type="dxa"/>
            <w:vAlign w:val="bottom"/>
            <w:tcBorders>
              <w:bottom w:val="single" w:sz="8" w:color="EEEEEE"/>
            </w:tcBorders>
          </w:tcPr>
          <w:p>
            <w:pPr>
              <w:spacing w:after="0"/>
              <w:rPr>
                <w:sz w:val="17"/>
                <w:szCs w:val="17"/>
                <w:color w:val="auto"/>
              </w:rPr>
            </w:pPr>
          </w:p>
        </w:tc>
        <w:tc>
          <w:tcPr>
            <w:tcW w:w="220" w:type="dxa"/>
            <w:vAlign w:val="bottom"/>
            <w:tcBorders>
              <w:bottom w:val="single" w:sz="8" w:color="EEEEEE"/>
            </w:tcBorders>
          </w:tcPr>
          <w:p>
            <w:pPr>
              <w:spacing w:after="0"/>
              <w:rPr>
                <w:sz w:val="17"/>
                <w:szCs w:val="17"/>
                <w:color w:val="auto"/>
              </w:rPr>
            </w:pPr>
          </w:p>
        </w:tc>
        <w:tc>
          <w:tcPr>
            <w:tcW w:w="860" w:type="dxa"/>
            <w:vAlign w:val="bottom"/>
            <w:tcBorders>
              <w:bottom w:val="single" w:sz="8" w:color="EEEEEE"/>
            </w:tcBorders>
          </w:tcPr>
          <w:p>
            <w:pPr>
              <w:spacing w:after="0"/>
              <w:rPr>
                <w:sz w:val="17"/>
                <w:szCs w:val="17"/>
                <w:color w:val="auto"/>
              </w:rPr>
            </w:pPr>
          </w:p>
        </w:tc>
        <w:tc>
          <w:tcPr>
            <w:tcW w:w="80" w:type="dxa"/>
            <w:vAlign w:val="bottom"/>
            <w:tcBorders>
              <w:bottom w:val="single" w:sz="8" w:color="EEEEEE"/>
            </w:tcBorders>
          </w:tcPr>
          <w:p>
            <w:pPr>
              <w:spacing w:after="0"/>
              <w:rPr>
                <w:sz w:val="17"/>
                <w:szCs w:val="17"/>
                <w:color w:val="auto"/>
              </w:rPr>
            </w:pP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type w:val="continuous"/>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35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NOTE 19</w:t>
        <w:tab/>
        <w:t>- INCOME TAXES (Cont.)</w:t>
      </w:r>
    </w:p>
    <w:p>
      <w:pPr>
        <w:spacing w:after="0" w:line="198" w:lineRule="exact"/>
        <w:rPr>
          <w:sz w:val="20"/>
          <w:szCs w:val="20"/>
          <w:color w:val="auto"/>
        </w:rPr>
      </w:pPr>
    </w:p>
    <w:p>
      <w:pPr>
        <w:ind w:left="1440" w:hanging="352"/>
        <w:spacing w:after="0"/>
        <w:tabs>
          <w:tab w:leader="none" w:pos="144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Components of Deferred Tax Asset/Liability</w:t>
      </w:r>
    </w:p>
    <w:p>
      <w:pPr>
        <w:spacing w:after="0" w:line="215" w:lineRule="exact"/>
        <w:rPr>
          <w:rFonts w:ascii="Arial" w:cs="Arial" w:eastAsia="Arial" w:hAnsi="Arial"/>
          <w:sz w:val="18"/>
          <w:szCs w:val="18"/>
          <w:b w:val="1"/>
          <w:bCs w:val="1"/>
          <w:color w:val="auto"/>
        </w:rPr>
      </w:pPr>
    </w:p>
    <w:p>
      <w:pPr>
        <w:ind w:left="14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following is a summary of the components of the deferred tax assets and liabilities reflected in the balance sheets as of the respective dates (*)</w:t>
      </w:r>
    </w:p>
    <w:p>
      <w:pPr>
        <w:spacing w:after="0" w:line="130" w:lineRule="exact"/>
        <w:rPr>
          <w:sz w:val="20"/>
          <w:szCs w:val="20"/>
          <w:color w:val="auto"/>
        </w:rPr>
      </w:pPr>
    </w:p>
    <w:tbl>
      <w:tblPr>
        <w:tblLayout w:type="fixed"/>
        <w:tblInd w:w="144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0" w:type="dxa"/>
            <w:vAlign w:val="bottom"/>
            <w:gridSpan w:val="6"/>
          </w:tcPr>
          <w:p>
            <w:pPr>
              <w:jc w:val="right"/>
              <w:ind w:right="540"/>
              <w:spacing w:after="0"/>
              <w:rPr>
                <w:sz w:val="20"/>
                <w:szCs w:val="20"/>
                <w:color w:val="auto"/>
              </w:rPr>
            </w:pPr>
            <w:r>
              <w:rPr>
                <w:rFonts w:ascii="Arial" w:cs="Arial" w:eastAsia="Arial" w:hAnsi="Arial"/>
                <w:sz w:val="18"/>
                <w:szCs w:val="18"/>
                <w:color w:val="auto"/>
              </w:rPr>
              <w:t>As of December 31,</w:t>
            </w:r>
          </w:p>
        </w:tc>
      </w:tr>
      <w:tr>
        <w:trPr>
          <w:trHeight w:val="223"/>
        </w:trPr>
        <w:tc>
          <w:tcPr>
            <w:tcW w:w="20" w:type="dxa"/>
            <w:vAlign w:val="bottom"/>
          </w:tcPr>
          <w:p>
            <w:pPr>
              <w:spacing w:after="0"/>
              <w:rPr>
                <w:sz w:val="19"/>
                <w:szCs w:val="19"/>
                <w:color w:val="auto"/>
              </w:rPr>
            </w:pPr>
          </w:p>
        </w:tc>
        <w:tc>
          <w:tcPr>
            <w:tcW w:w="53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 and liability - long-term:</w:t>
            </w:r>
          </w:p>
        </w:tc>
        <w:tc>
          <w:tcPr>
            <w:tcW w:w="2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80"/>
              <w:spacing w:after="0"/>
              <w:rPr>
                <w:sz w:val="20"/>
                <w:szCs w:val="20"/>
                <w:color w:val="auto"/>
              </w:rPr>
            </w:pPr>
            <w:r>
              <w:rPr>
                <w:rFonts w:ascii="Arial" w:cs="Arial" w:eastAsia="Arial" w:hAnsi="Arial"/>
                <w:sz w:val="18"/>
                <w:szCs w:val="18"/>
                <w:color w:val="auto"/>
              </w:rPr>
              <w:t>Deferred tax assets:</w:t>
            </w:r>
          </w:p>
        </w:tc>
        <w:tc>
          <w:tcPr>
            <w:tcW w:w="2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Net operating loss carryforward</w:t>
            </w:r>
          </w:p>
        </w:tc>
        <w:tc>
          <w:tcPr>
            <w:tcW w:w="22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72,658</w:t>
            </w: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78,783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Employees benefits and compensation</w:t>
            </w:r>
          </w:p>
        </w:tc>
        <w:tc>
          <w:tcPr>
            <w:tcW w:w="2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6,813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4,819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Accruals and reserves</w:t>
            </w:r>
          </w:p>
        </w:tc>
        <w:tc>
          <w:tcPr>
            <w:tcW w:w="2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18,179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15,276</w:t>
            </w: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Others</w:t>
            </w:r>
          </w:p>
        </w:tc>
        <w:tc>
          <w:tcPr>
            <w:tcW w:w="20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3,453</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104,415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107,287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 see F below</w:t>
            </w:r>
          </w:p>
        </w:tc>
        <w:tc>
          <w:tcPr>
            <w:tcW w:w="2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(10,745)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(7,266)</w:t>
            </w:r>
          </w:p>
        </w:tc>
      </w:tr>
      <w:tr>
        <w:trPr>
          <w:trHeight w:val="27"/>
        </w:trPr>
        <w:tc>
          <w:tcPr>
            <w:tcW w:w="20" w:type="dxa"/>
            <w:vAlign w:val="bottom"/>
          </w:tcPr>
          <w:p>
            <w:pPr>
              <w:spacing w:after="0"/>
              <w:rPr>
                <w:sz w:val="2"/>
                <w:szCs w:val="2"/>
                <w:color w:val="auto"/>
              </w:rPr>
            </w:pPr>
          </w:p>
        </w:tc>
        <w:tc>
          <w:tcPr>
            <w:tcW w:w="530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Deferred tax assets</w:t>
            </w:r>
          </w:p>
        </w:tc>
        <w:tc>
          <w:tcPr>
            <w:tcW w:w="22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93,670</w:t>
            </w:r>
          </w:p>
        </w:tc>
        <w:tc>
          <w:tcPr>
            <w:tcW w:w="12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100,021</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300" w:type="dxa"/>
            <w:vAlign w:val="bottom"/>
            <w:shd w:val="clear" w:color="auto" w:fill="CCEEFF"/>
          </w:tcPr>
          <w:p>
            <w:pPr>
              <w:ind w:left="280"/>
              <w:spacing w:after="0" w:line="196" w:lineRule="exact"/>
              <w:rPr>
                <w:sz w:val="20"/>
                <w:szCs w:val="20"/>
                <w:color w:val="auto"/>
              </w:rPr>
            </w:pPr>
            <w:r>
              <w:rPr>
                <w:rFonts w:ascii="Arial" w:cs="Arial" w:eastAsia="Arial" w:hAnsi="Arial"/>
                <w:sz w:val="18"/>
                <w:szCs w:val="18"/>
                <w:color w:val="auto"/>
              </w:rPr>
              <w:t>Deferred tax liabilities- long-term:</w:t>
            </w:r>
          </w:p>
        </w:tc>
        <w:tc>
          <w:tcPr>
            <w:tcW w:w="2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2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(76,136)</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(77,966)</w:t>
            </w: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2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(931)</w:t>
            </w:r>
          </w:p>
        </w:tc>
      </w:tr>
      <w:tr>
        <w:trPr>
          <w:trHeight w:val="27"/>
        </w:trPr>
        <w:tc>
          <w:tcPr>
            <w:tcW w:w="20" w:type="dxa"/>
            <w:vAlign w:val="bottom"/>
          </w:tcPr>
          <w:p>
            <w:pPr>
              <w:spacing w:after="0"/>
              <w:rPr>
                <w:sz w:val="2"/>
                <w:szCs w:val="2"/>
                <w:color w:val="auto"/>
              </w:rPr>
            </w:pPr>
          </w:p>
        </w:tc>
        <w:tc>
          <w:tcPr>
            <w:tcW w:w="530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Deferred tax liabilities</w:t>
            </w:r>
          </w:p>
        </w:tc>
        <w:tc>
          <w:tcPr>
            <w:tcW w:w="22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(77,154)</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(78,897)</w:t>
            </w: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300" w:type="dxa"/>
            <w:vAlign w:val="bottom"/>
            <w:shd w:val="clear" w:color="auto" w:fill="CCEEFF"/>
          </w:tcPr>
          <w:p>
            <w:pPr>
              <w:spacing w:after="0"/>
              <w:rPr>
                <w:sz w:val="17"/>
                <w:szCs w:val="17"/>
                <w:color w:val="auto"/>
              </w:rPr>
            </w:pPr>
          </w:p>
        </w:tc>
        <w:tc>
          <w:tcPr>
            <w:tcW w:w="2280" w:type="dxa"/>
            <w:vAlign w:val="bottom"/>
            <w:gridSpan w:val="2"/>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gridSpan w:val="2"/>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Presented in long term deferred tax assets</w:t>
            </w:r>
          </w:p>
        </w:tc>
        <w:tc>
          <w:tcPr>
            <w:tcW w:w="22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57,802</w:t>
            </w:r>
          </w:p>
        </w:tc>
        <w:tc>
          <w:tcPr>
            <w:tcW w:w="12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66,362</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53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Presented in long term deferred tax liabilities</w:t>
            </w:r>
          </w:p>
        </w:tc>
        <w:tc>
          <w:tcPr>
            <w:tcW w:w="20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(41,286)</w:t>
            </w:r>
          </w:p>
        </w:tc>
        <w:tc>
          <w:tcPr>
            <w:tcW w:w="30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(45,238)</w:t>
            </w:r>
          </w:p>
        </w:tc>
      </w:tr>
      <w:tr>
        <w:trPr>
          <w:trHeight w:val="20"/>
        </w:trPr>
        <w:tc>
          <w:tcPr>
            <w:tcW w:w="20" w:type="dxa"/>
            <w:vAlign w:val="bottom"/>
          </w:tcPr>
          <w:p>
            <w:pPr>
              <w:spacing w:after="0" w:line="20" w:lineRule="exact"/>
              <w:rPr>
                <w:sz w:val="1"/>
                <w:szCs w:val="1"/>
                <w:color w:val="auto"/>
              </w:rPr>
            </w:pPr>
          </w:p>
        </w:tc>
        <w:tc>
          <w:tcPr>
            <w:tcW w:w="530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88" w:lineRule="exact"/>
        <w:rPr>
          <w:sz w:val="20"/>
          <w:szCs w:val="20"/>
          <w:color w:val="auto"/>
        </w:rPr>
      </w:pPr>
    </w:p>
    <w:p>
      <w:pPr>
        <w:ind w:left="1440" w:right="20" w:firstLine="8"/>
        <w:spacing w:after="0" w:line="277" w:lineRule="auto"/>
        <w:tabs>
          <w:tab w:leader="none" w:pos="1725"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Deferred tax assets and liabilities relating to Tower for the years 2020 and 2019 are computed based on the Israeli preferred enterprise tax rate of 7.5%.</w:t>
      </w:r>
    </w:p>
    <w:p>
      <w:pPr>
        <w:sectPr>
          <w:pgSz w:w="11900" w:h="16838" w:orient="portrait"/>
          <w:cols w:equalWidth="0" w:num="1">
            <w:col w:w="11240"/>
          </w:cols>
          <w:pgMar w:left="320" w:top="283" w:right="339" w:bottom="1440" w:gutter="0" w:footer="0" w:header="0"/>
        </w:sectPr>
      </w:pPr>
    </w:p>
    <w:p>
      <w:pPr>
        <w:spacing w:after="0" w:line="153" w:lineRule="exact"/>
        <w:rPr>
          <w:sz w:val="20"/>
          <w:szCs w:val="20"/>
          <w:color w:val="auto"/>
        </w:rPr>
      </w:pPr>
    </w:p>
    <w:p>
      <w:pPr>
        <w:ind w:left="1440" w:hanging="352"/>
        <w:spacing w:after="0"/>
        <w:tabs>
          <w:tab w:leader="none" w:pos="144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Unrecognized Tax Benefit</w:t>
      </w:r>
    </w:p>
    <w:p>
      <w:pPr>
        <w:spacing w:after="0" w:line="202" w:lineRule="exact"/>
        <w:rPr>
          <w:rFonts w:ascii="Arial" w:cs="Arial" w:eastAsia="Arial" w:hAnsi="Arial"/>
          <w:sz w:val="18"/>
          <w:szCs w:val="18"/>
          <w:b w:val="1"/>
          <w:bCs w:val="1"/>
          <w:color w:val="auto"/>
        </w:rPr>
      </w:pPr>
    </w:p>
    <w:p>
      <w:pPr>
        <w:ind w:left="1440"/>
        <w:spacing w:after="0"/>
        <w:rPr>
          <w:rFonts w:ascii="Arial" w:cs="Arial" w:eastAsia="Arial" w:hAnsi="Arial"/>
          <w:sz w:val="18"/>
          <w:szCs w:val="18"/>
          <w:b w:val="1"/>
          <w:bCs w:val="1"/>
          <w:color w:val="auto"/>
        </w:rPr>
      </w:pPr>
      <w:r>
        <w:rPr>
          <w:rFonts w:ascii="Arial" w:cs="Arial" w:eastAsia="Arial" w:hAnsi="Arial"/>
          <w:sz w:val="16"/>
          <w:szCs w:val="16"/>
          <w:color w:val="auto"/>
        </w:rPr>
        <w:t>A reconciliation of the beginning and ending amount of unrecognized tax benefits is as follows:</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80" w:lineRule="exact"/>
        <w:rPr>
          <w:rFonts w:ascii="Arial" w:cs="Arial" w:eastAsia="Arial" w:hAnsi="Arial"/>
          <w:sz w:val="18"/>
          <w:szCs w:val="18"/>
          <w:b w:val="1"/>
          <w:bCs w:val="1"/>
          <w:color w:val="auto"/>
        </w:rPr>
      </w:pPr>
    </w:p>
    <w:p>
      <w:pPr>
        <w:ind w:left="1440"/>
        <w:spacing w:after="0"/>
        <w:rPr>
          <w:rFonts w:ascii="Arial" w:cs="Arial" w:eastAsia="Arial" w:hAnsi="Arial"/>
          <w:sz w:val="18"/>
          <w:szCs w:val="18"/>
          <w:b w:val="1"/>
          <w:bCs w:val="1"/>
          <w:color w:val="auto"/>
        </w:rPr>
      </w:pPr>
      <w:r>
        <w:rPr>
          <w:rFonts w:ascii="Arial" w:cs="Arial" w:eastAsia="Arial" w:hAnsi="Arial"/>
          <w:sz w:val="18"/>
          <w:szCs w:val="18"/>
          <w:color w:val="auto"/>
        </w:rPr>
        <w:t>Balance at January 1, 2020</w:t>
      </w:r>
    </w:p>
    <w:p>
      <w:pPr>
        <w:spacing w:after="0" w:line="23" w:lineRule="exact"/>
        <w:rPr>
          <w:rFonts w:ascii="Arial" w:cs="Arial" w:eastAsia="Arial" w:hAnsi="Arial"/>
          <w:sz w:val="18"/>
          <w:szCs w:val="18"/>
          <w:b w:val="1"/>
          <w:bCs w:val="1"/>
          <w:color w:val="auto"/>
        </w:rPr>
      </w:pPr>
    </w:p>
    <w:p>
      <w:pPr>
        <w:ind w:left="1440" w:right="3800"/>
        <w:spacing w:after="0" w:line="294" w:lineRule="auto"/>
        <w:rPr>
          <w:rFonts w:ascii="Arial" w:cs="Arial" w:eastAsia="Arial" w:hAnsi="Arial"/>
          <w:sz w:val="18"/>
          <w:szCs w:val="18"/>
          <w:b w:val="1"/>
          <w:bCs w:val="1"/>
          <w:color w:val="auto"/>
        </w:rPr>
      </w:pPr>
      <w:r>
        <w:rPr>
          <w:rFonts w:ascii="Arial" w:cs="Arial" w:eastAsia="Arial" w:hAnsi="Arial"/>
          <w:sz w:val="18"/>
          <w:szCs w:val="18"/>
          <w:color w:val="auto"/>
        </w:rPr>
        <w:t>Additions for tax positions of current year Reduction due to statute of limitation of prior years Balance at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-619760</wp:posOffset>
            </wp:positionV>
            <wp:extent cx="6214745"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14745" cy="137160"/>
                    </a:xfrm>
                    <a:prstGeom prst="rect">
                      <a:avLst/>
                    </a:prstGeom>
                    <a:noFill/>
                  </pic:spPr>
                </pic:pic>
              </a:graphicData>
            </a:graphic>
          </wp:anchor>
        </w:drawing>
        <w:drawing>
          <wp:anchor simplePos="0" relativeHeight="251657728" behindDoc="1" locked="0" layoutInCell="0" allowOverlap="1">
            <wp:simplePos x="0" y="0"/>
            <wp:positionH relativeFrom="column">
              <wp:posOffset>922020</wp:posOffset>
            </wp:positionH>
            <wp:positionV relativeFrom="paragraph">
              <wp:posOffset>-345440</wp:posOffset>
            </wp:positionV>
            <wp:extent cx="6214745" cy="1543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14745" cy="154305"/>
                    </a:xfrm>
                    <a:prstGeom prst="rect">
                      <a:avLst/>
                    </a:prstGeom>
                    <a:noFill/>
                  </pic:spPr>
                </pic:pic>
              </a:graphicData>
            </a:graphic>
          </wp:anchor>
        </w:drawing>
      </w:r>
    </w:p>
    <w:p>
      <w:pPr>
        <w:spacing w:after="0" w:line="136"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Unrecognized tax</w:t>
      </w:r>
    </w:p>
    <w:p>
      <w:pPr>
        <w:spacing w:after="0" w:line="23"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wp:posOffset>
            </wp:positionV>
            <wp:extent cx="92583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925830" cy="17145"/>
                    </a:xfrm>
                    <a:prstGeom prst="rect">
                      <a:avLst/>
                    </a:prstGeom>
                    <a:noFill/>
                  </pic:spPr>
                </pic:pic>
              </a:graphicData>
            </a:graphic>
          </wp:anchor>
        </w:drawing>
      </w:r>
    </w:p>
    <w:p>
      <w:pPr>
        <w:spacing w:after="0" w:line="2" w:lineRule="exact"/>
        <w:rPr>
          <w:sz w:val="20"/>
          <w:szCs w:val="20"/>
          <w:color w:val="auto"/>
        </w:rPr>
      </w:pPr>
    </w:p>
    <w:p>
      <w:pPr>
        <w:ind w:left="980" w:hanging="971"/>
        <w:spacing w:after="0"/>
        <w:tabs>
          <w:tab w:leader="none" w:pos="9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15,113</w:t>
      </w:r>
    </w:p>
    <w:p>
      <w:pPr>
        <w:spacing w:after="0" w:line="34" w:lineRule="exact"/>
        <w:rPr>
          <w:rFonts w:ascii="Arial" w:cs="Arial" w:eastAsia="Arial" w:hAnsi="Arial"/>
          <w:sz w:val="17"/>
          <w:szCs w:val="17"/>
          <w:color w:val="auto"/>
        </w:rPr>
      </w:pPr>
    </w:p>
    <w:p>
      <w:pPr>
        <w:ind w:left="1200"/>
        <w:spacing w:after="0"/>
        <w:rPr>
          <w:rFonts w:ascii="Arial" w:cs="Arial" w:eastAsia="Arial" w:hAnsi="Arial"/>
          <w:sz w:val="17"/>
          <w:szCs w:val="17"/>
          <w:color w:val="auto"/>
        </w:rPr>
      </w:pPr>
      <w:r>
        <w:rPr>
          <w:rFonts w:ascii="Arial" w:cs="Arial" w:eastAsia="Arial" w:hAnsi="Arial"/>
          <w:sz w:val="18"/>
          <w:szCs w:val="18"/>
          <w:color w:val="auto"/>
        </w:rPr>
        <w:t>624</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(423)</w:t>
      </w:r>
    </w:p>
    <w:p>
      <w:pPr>
        <w:spacing w:after="0" w:line="22" w:lineRule="exact"/>
        <w:rPr>
          <w:sz w:val="20"/>
          <w:szCs w:val="20"/>
          <w:color w:val="auto"/>
        </w:rPr>
      </w:pPr>
    </w:p>
    <w:p>
      <w:pPr>
        <w:ind w:left="980" w:hanging="971"/>
        <w:spacing w:after="0"/>
        <w:tabs>
          <w:tab w:leader="none" w:pos="9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15,314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22225</wp:posOffset>
            </wp:positionV>
            <wp:extent cx="92583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925830" cy="825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39370</wp:posOffset>
            </wp:positionV>
            <wp:extent cx="92583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ectPr>
          <w:pgSz w:w="11900" w:h="16838" w:orient="portrait"/>
          <w:cols w:equalWidth="0" w:num="2">
            <w:col w:w="8940" w:space="720"/>
            <w:col w:w="1580"/>
          </w:cols>
          <w:pgMar w:left="320" w:top="283" w:right="339" w:bottom="1440" w:gutter="0" w:footer="0" w:header="0"/>
          <w:type w:val="continuous"/>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40" w:type="dxa"/>
            <w:vAlign w:val="bottom"/>
            <w:gridSpan w:val="2"/>
          </w:tcPr>
          <w:p>
            <w:pPr>
              <w:spacing w:after="0"/>
              <w:rPr>
                <w:sz w:val="20"/>
                <w:szCs w:val="20"/>
                <w:color w:val="auto"/>
              </w:rPr>
            </w:pPr>
            <w:r>
              <w:rPr>
                <w:rFonts w:ascii="Arial" w:cs="Arial" w:eastAsia="Arial" w:hAnsi="Arial"/>
                <w:sz w:val="18"/>
                <w:szCs w:val="18"/>
                <w:b w:val="1"/>
                <w:bCs w:val="1"/>
                <w:color w:val="auto"/>
              </w:rPr>
              <w:t>NOTE 19  - INCOME TAXES (Cont.)</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7540" w:type="dxa"/>
            <w:vAlign w:val="bottom"/>
            <w:gridSpan w:val="2"/>
          </w:tcPr>
          <w:p>
            <w:pPr>
              <w:ind w:left="1080"/>
              <w:spacing w:after="0"/>
              <w:rPr>
                <w:sz w:val="20"/>
                <w:szCs w:val="20"/>
                <w:color w:val="auto"/>
              </w:rPr>
            </w:pPr>
            <w:r>
              <w:rPr>
                <w:rFonts w:ascii="Arial" w:cs="Arial" w:eastAsia="Arial" w:hAnsi="Arial"/>
                <w:sz w:val="18"/>
                <w:szCs w:val="18"/>
                <w:b w:val="1"/>
                <w:bCs w:val="1"/>
                <w:color w:val="auto"/>
              </w:rPr>
              <w:t>D.  Unrecognized Tax Benefit (Cont.)</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46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60" w:type="dxa"/>
            <w:vAlign w:val="bottom"/>
            <w:gridSpan w:val="5"/>
          </w:tcPr>
          <w:p>
            <w:pPr>
              <w:jc w:val="center"/>
              <w:ind w:right="120"/>
              <w:spacing w:after="0"/>
              <w:rPr>
                <w:sz w:val="20"/>
                <w:szCs w:val="20"/>
                <w:color w:val="auto"/>
              </w:rPr>
            </w:pPr>
            <w:r>
              <w:rPr>
                <w:rFonts w:ascii="Arial" w:cs="Arial" w:eastAsia="Arial" w:hAnsi="Arial"/>
                <w:sz w:val="18"/>
                <w:szCs w:val="18"/>
                <w:color w:val="auto"/>
                <w:w w:val="91"/>
              </w:rPr>
              <w:t>Unrecognized tax</w:t>
            </w:r>
          </w:p>
        </w:tc>
        <w:tc>
          <w:tcPr>
            <w:tcW w:w="0" w:type="dxa"/>
            <w:vAlign w:val="bottom"/>
          </w:tcPr>
          <w:p>
            <w:pPr>
              <w:spacing w:after="0"/>
              <w:rPr>
                <w:sz w:val="1"/>
                <w:szCs w:val="1"/>
                <w:color w:val="auto"/>
              </w:rPr>
            </w:pPr>
          </w:p>
        </w:tc>
      </w:tr>
      <w:tr>
        <w:trPr>
          <w:trHeight w:val="237"/>
        </w:trPr>
        <w:tc>
          <w:tcPr>
            <w:tcW w:w="146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3"/>
          </w:tcPr>
          <w:p>
            <w:pPr>
              <w:jc w:val="center"/>
              <w:ind w:right="500"/>
              <w:spacing w:after="0"/>
              <w:rPr>
                <w:sz w:val="20"/>
                <w:szCs w:val="20"/>
                <w:color w:val="auto"/>
              </w:rPr>
            </w:pPr>
            <w:r>
              <w:rPr>
                <w:rFonts w:ascii="Arial" w:cs="Arial" w:eastAsia="Arial" w:hAnsi="Arial"/>
                <w:sz w:val="18"/>
                <w:szCs w:val="18"/>
                <w:color w:val="auto"/>
                <w:w w:val="88"/>
              </w:rPr>
              <w:t>benefits</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1, 2019</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8"/>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right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Additions for tax positions of current year</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Reduction due to statute of limitation of prior years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7"/>
        </w:trPr>
        <w:tc>
          <w:tcPr>
            <w:tcW w:w="1460" w:type="dxa"/>
            <w:vAlign w:val="bottom"/>
          </w:tcPr>
          <w:p>
            <w:pPr>
              <w:spacing w:after="0"/>
              <w:rPr>
                <w:sz w:val="2"/>
                <w:szCs w:val="2"/>
                <w:color w:val="auto"/>
              </w:rPr>
            </w:pPr>
          </w:p>
        </w:tc>
        <w:tc>
          <w:tcPr>
            <w:tcW w:w="608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540" w:type="dxa"/>
            <w:vAlign w:val="bottom"/>
            <w:gridSpan w:val="2"/>
          </w:tcPr>
          <w:p>
            <w:pPr>
              <w:ind w:left="1440"/>
              <w:spacing w:after="0"/>
              <w:rPr>
                <w:sz w:val="20"/>
                <w:szCs w:val="20"/>
                <w:color w:val="auto"/>
              </w:rPr>
            </w:pPr>
            <w:r>
              <w:rPr>
                <w:rFonts w:ascii="Arial" w:cs="Arial" w:eastAsia="Arial" w:hAnsi="Arial"/>
                <w:sz w:val="18"/>
                <w:szCs w:val="18"/>
                <w:color w:val="auto"/>
              </w:rPr>
              <w:t>Balance at December 31, 2019</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38"/>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15,113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46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60" w:type="dxa"/>
            <w:vAlign w:val="bottom"/>
            <w:gridSpan w:val="5"/>
          </w:tcPr>
          <w:p>
            <w:pPr>
              <w:jc w:val="center"/>
              <w:ind w:right="120"/>
              <w:spacing w:after="0"/>
              <w:rPr>
                <w:sz w:val="20"/>
                <w:szCs w:val="20"/>
                <w:color w:val="auto"/>
              </w:rPr>
            </w:pPr>
            <w:r>
              <w:rPr>
                <w:rFonts w:ascii="Arial" w:cs="Arial" w:eastAsia="Arial" w:hAnsi="Arial"/>
                <w:sz w:val="18"/>
                <w:szCs w:val="18"/>
                <w:color w:val="auto"/>
                <w:w w:val="91"/>
              </w:rPr>
              <w:t>Unrecognized tax</w:t>
            </w:r>
          </w:p>
        </w:tc>
        <w:tc>
          <w:tcPr>
            <w:tcW w:w="0" w:type="dxa"/>
            <w:vAlign w:val="bottom"/>
          </w:tcPr>
          <w:p>
            <w:pPr>
              <w:spacing w:after="0"/>
              <w:rPr>
                <w:sz w:val="1"/>
                <w:szCs w:val="1"/>
                <w:color w:val="auto"/>
              </w:rPr>
            </w:pPr>
          </w:p>
        </w:tc>
      </w:tr>
      <w:tr>
        <w:trPr>
          <w:trHeight w:val="237"/>
        </w:trPr>
        <w:tc>
          <w:tcPr>
            <w:tcW w:w="146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3"/>
          </w:tcPr>
          <w:p>
            <w:pPr>
              <w:jc w:val="center"/>
              <w:ind w:right="500"/>
              <w:spacing w:after="0"/>
              <w:rPr>
                <w:sz w:val="20"/>
                <w:szCs w:val="20"/>
                <w:color w:val="auto"/>
              </w:rPr>
            </w:pPr>
            <w:r>
              <w:rPr>
                <w:rFonts w:ascii="Arial" w:cs="Arial" w:eastAsia="Arial" w:hAnsi="Arial"/>
                <w:sz w:val="18"/>
                <w:szCs w:val="18"/>
                <w:color w:val="auto"/>
                <w:w w:val="88"/>
              </w:rPr>
              <w:t>benefits</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1, 2018</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8"/>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right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Additions for tax positions of current year</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Reduction due to statute of limitation of prior years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(1,219)</w:t>
            </w:r>
          </w:p>
        </w:tc>
        <w:tc>
          <w:tcPr>
            <w:tcW w:w="0" w:type="dxa"/>
            <w:vAlign w:val="bottom"/>
          </w:tcPr>
          <w:p>
            <w:pPr>
              <w:spacing w:after="0"/>
              <w:rPr>
                <w:sz w:val="1"/>
                <w:szCs w:val="1"/>
                <w:color w:val="auto"/>
              </w:rPr>
            </w:pPr>
          </w:p>
        </w:tc>
      </w:tr>
      <w:tr>
        <w:trPr>
          <w:trHeight w:val="27"/>
        </w:trPr>
        <w:tc>
          <w:tcPr>
            <w:tcW w:w="1460" w:type="dxa"/>
            <w:vAlign w:val="bottom"/>
          </w:tcPr>
          <w:p>
            <w:pPr>
              <w:spacing w:after="0"/>
              <w:rPr>
                <w:sz w:val="2"/>
                <w:szCs w:val="2"/>
                <w:color w:val="auto"/>
              </w:rPr>
            </w:pPr>
          </w:p>
        </w:tc>
        <w:tc>
          <w:tcPr>
            <w:tcW w:w="608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540" w:type="dxa"/>
            <w:vAlign w:val="bottom"/>
            <w:gridSpan w:val="2"/>
          </w:tcPr>
          <w:p>
            <w:pPr>
              <w:ind w:left="1440"/>
              <w:spacing w:after="0"/>
              <w:rPr>
                <w:sz w:val="20"/>
                <w:szCs w:val="20"/>
                <w:color w:val="auto"/>
              </w:rPr>
            </w:pPr>
            <w:r>
              <w:rPr>
                <w:rFonts w:ascii="Arial" w:cs="Arial" w:eastAsia="Arial" w:hAnsi="Arial"/>
                <w:sz w:val="18"/>
                <w:szCs w:val="18"/>
                <w:color w:val="auto"/>
              </w:rPr>
              <w:t>Balance at December 31, 2018</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38"/>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14,783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40" w:type="dxa"/>
            <w:vAlign w:val="bottom"/>
            <w:gridSpan w:val="2"/>
            <w:vMerge w:val="restart"/>
          </w:tcPr>
          <w:p>
            <w:pPr>
              <w:ind w:left="1080"/>
              <w:spacing w:after="0"/>
              <w:rPr>
                <w:sz w:val="20"/>
                <w:szCs w:val="20"/>
                <w:color w:val="auto"/>
              </w:rPr>
            </w:pPr>
            <w:r>
              <w:rPr>
                <w:rFonts w:ascii="Arial" w:cs="Arial" w:eastAsia="Arial" w:hAnsi="Arial"/>
                <w:sz w:val="18"/>
                <w:szCs w:val="18"/>
                <w:b w:val="1"/>
                <w:bCs w:val="1"/>
                <w:color w:val="auto"/>
              </w:rPr>
              <w:t>E.  Effective Income Tax</w:t>
            </w: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54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7540" w:type="dxa"/>
            <w:vAlign w:val="bottom"/>
            <w:gridSpan w:val="2"/>
          </w:tcPr>
          <w:p>
            <w:pPr>
              <w:ind w:left="1440"/>
              <w:spacing w:after="0"/>
              <w:rPr>
                <w:sz w:val="20"/>
                <w:szCs w:val="20"/>
                <w:color w:val="auto"/>
              </w:rPr>
            </w:pPr>
            <w:r>
              <w:rPr>
                <w:rFonts w:ascii="Arial" w:cs="Arial" w:eastAsia="Arial" w:hAnsi="Arial"/>
                <w:sz w:val="18"/>
                <w:szCs w:val="18"/>
                <w:color w:val="auto"/>
                <w:w w:val="97"/>
              </w:rPr>
              <w:t>The reconciliation of the statutory tax rate to the effective tax rate is as follows:</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46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7"/>
          </w:tcPr>
          <w:p>
            <w:pPr>
              <w:jc w:val="center"/>
              <w:ind w:left="470"/>
              <w:spacing w:after="0"/>
              <w:rPr>
                <w:sz w:val="20"/>
                <w:szCs w:val="20"/>
                <w:color w:val="auto"/>
              </w:rPr>
            </w:pPr>
            <w:r>
              <w:rPr>
                <w:rFonts w:ascii="Arial" w:cs="Arial" w:eastAsia="Arial" w:hAnsi="Arial"/>
                <w:sz w:val="18"/>
                <w:szCs w:val="18"/>
                <w:color w:val="auto"/>
                <w:w w:val="88"/>
              </w:rPr>
              <w:t>Year ended December 31,</w:t>
            </w: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46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2019</w:t>
            </w:r>
          </w:p>
        </w:tc>
        <w:tc>
          <w:tcPr>
            <w:tcW w:w="2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Tax expense computed at statutory rates, see (*) below</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20,398</w:t>
            </w: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20,935</w:t>
            </w:r>
          </w:p>
        </w:tc>
        <w:tc>
          <w:tcPr>
            <w:tcW w:w="18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460" w:type="dxa"/>
            <w:vAlign w:val="bottom"/>
          </w:tcPr>
          <w:p>
            <w:pPr>
              <w:spacing w:after="0"/>
              <w:rPr>
                <w:sz w:val="17"/>
                <w:szCs w:val="17"/>
                <w:color w:val="auto"/>
              </w:rPr>
            </w:pPr>
          </w:p>
        </w:tc>
        <w:tc>
          <w:tcPr>
            <w:tcW w:w="6080" w:type="dxa"/>
            <w:vAlign w:val="bottom"/>
          </w:tcPr>
          <w:p>
            <w:pPr>
              <w:spacing w:after="0" w:line="201" w:lineRule="exact"/>
              <w:rPr>
                <w:sz w:val="20"/>
                <w:szCs w:val="20"/>
                <w:color w:val="auto"/>
              </w:rPr>
            </w:pPr>
            <w:r>
              <w:rPr>
                <w:rFonts w:ascii="Arial" w:cs="Arial" w:eastAsia="Arial" w:hAnsi="Arial"/>
                <w:sz w:val="18"/>
                <w:szCs w:val="18"/>
                <w:color w:val="auto"/>
              </w:rPr>
              <w:t>Effect of different tax rates in different jurisdictions and Preferred Enterprise</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p>
        </w:tc>
        <w:tc>
          <w:tcPr>
            <w:tcW w:w="6080" w:type="dxa"/>
            <w:vAlign w:val="bottom"/>
          </w:tcPr>
          <w:p>
            <w:pPr>
              <w:ind w:left="140"/>
              <w:spacing w:after="0"/>
              <w:rPr>
                <w:sz w:val="20"/>
                <w:szCs w:val="20"/>
                <w:color w:val="auto"/>
              </w:rPr>
            </w:pPr>
            <w:r>
              <w:rPr>
                <w:rFonts w:ascii="Arial" w:cs="Arial" w:eastAsia="Arial" w:hAnsi="Arial"/>
                <w:sz w:val="18"/>
                <w:szCs w:val="18"/>
                <w:color w:val="auto"/>
              </w:rPr>
              <w:t>Benefit</w:t>
            </w:r>
          </w:p>
        </w:tc>
        <w:tc>
          <w:tcPr>
            <w:tcW w:w="22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(15,046)</w:t>
            </w:r>
          </w:p>
        </w:tc>
        <w:tc>
          <w:tcPr>
            <w:tcW w:w="220" w:type="dxa"/>
            <w:vAlign w:val="bottom"/>
          </w:tcPr>
          <w:p>
            <w:pPr>
              <w:spacing w:after="0"/>
              <w:rPr>
                <w:sz w:val="20"/>
                <w:szCs w:val="20"/>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(16,396)</w:t>
            </w:r>
          </w:p>
        </w:tc>
        <w:tc>
          <w:tcPr>
            <w:tcW w:w="28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(23,150)</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 in valuation allowance, see F below</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3,479</w:t>
            </w: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1,432</w:t>
            </w:r>
          </w:p>
        </w:tc>
        <w:tc>
          <w:tcPr>
            <w:tcW w:w="18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gridSpan w:val="2"/>
          </w:tcPr>
          <w:p>
            <w:pPr>
              <w:ind w:left="1440"/>
              <w:spacing w:after="0"/>
              <w:rPr>
                <w:sz w:val="20"/>
                <w:szCs w:val="20"/>
                <w:color w:val="auto"/>
              </w:rPr>
            </w:pPr>
            <w:r>
              <w:rPr>
                <w:rFonts w:ascii="Arial" w:cs="Arial" w:eastAsia="Arial" w:hAnsi="Arial"/>
                <w:sz w:val="18"/>
                <w:szCs w:val="18"/>
                <w:color w:val="auto"/>
              </w:rPr>
              <w:t>Permanent differences and other, net</w:t>
            </w:r>
          </w:p>
        </w:tc>
        <w:tc>
          <w:tcPr>
            <w:tcW w:w="2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(3,432)</w:t>
            </w:r>
          </w:p>
        </w:tc>
        <w:tc>
          <w:tcPr>
            <w:tcW w:w="220" w:type="dxa"/>
            <w:vAlign w:val="bottom"/>
          </w:tcPr>
          <w:p>
            <w:pPr>
              <w:spacing w:after="0"/>
              <w:rPr>
                <w:sz w:val="18"/>
                <w:szCs w:val="18"/>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(3,023)</w:t>
            </w:r>
          </w:p>
        </w:tc>
        <w:tc>
          <w:tcPr>
            <w:tcW w:w="2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(4,016)</w:t>
            </w:r>
          </w:p>
        </w:tc>
        <w:tc>
          <w:tcPr>
            <w:tcW w:w="0" w:type="dxa"/>
            <w:vAlign w:val="bottom"/>
          </w:tcPr>
          <w:p>
            <w:pPr>
              <w:spacing w:after="0"/>
              <w:rPr>
                <w:sz w:val="1"/>
                <w:szCs w:val="1"/>
                <w:color w:val="auto"/>
              </w:rPr>
            </w:pPr>
          </w:p>
        </w:tc>
      </w:tr>
      <w:tr>
        <w:trPr>
          <w:trHeight w:val="27"/>
        </w:trPr>
        <w:tc>
          <w:tcPr>
            <w:tcW w:w="1460" w:type="dxa"/>
            <w:vAlign w:val="bottom"/>
          </w:tcPr>
          <w:p>
            <w:pPr>
              <w:spacing w:after="0"/>
              <w:rPr>
                <w:sz w:val="2"/>
                <w:szCs w:val="2"/>
                <w:color w:val="auto"/>
              </w:rPr>
            </w:pPr>
          </w:p>
        </w:tc>
        <w:tc>
          <w:tcPr>
            <w:tcW w:w="60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1460" w:type="dxa"/>
            <w:vAlign w:val="bottom"/>
          </w:tcPr>
          <w:p>
            <w:pPr>
              <w:spacing w:after="0"/>
              <w:rPr>
                <w:sz w:val="20"/>
                <w:szCs w:val="20"/>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5,399</w:t>
            </w:r>
          </w:p>
        </w:tc>
        <w:tc>
          <w:tcPr>
            <w:tcW w:w="18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2,948</w:t>
            </w:r>
          </w:p>
        </w:tc>
        <w:tc>
          <w:tcPr>
            <w:tcW w:w="180" w:type="dxa"/>
            <w:vAlign w:val="bottom"/>
            <w:tcBorders>
              <w:right w:val="single" w:sz="8" w:color="CCEEFF"/>
            </w:tcBorders>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5,938</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60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 The tax expense was computed based on regular Israeli corporate tax rate of 23%.</w:t>
      </w:r>
    </w:p>
    <w:p>
      <w:pPr>
        <w:spacing w:after="0" w:line="207" w:lineRule="exact"/>
        <w:rPr>
          <w:sz w:val="20"/>
          <w:szCs w:val="20"/>
          <w:color w:val="auto"/>
        </w:rPr>
      </w:pPr>
    </w:p>
    <w:p>
      <w:pPr>
        <w:ind w:left="1440" w:hanging="352"/>
        <w:spacing w:after="0"/>
        <w:tabs>
          <w:tab w:leader="none" w:pos="144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Net Operating Loss Carryforward</w:t>
      </w:r>
    </w:p>
    <w:p>
      <w:pPr>
        <w:spacing w:after="0" w:line="215" w:lineRule="exact"/>
        <w:rPr>
          <w:rFonts w:ascii="Arial" w:cs="Arial" w:eastAsia="Arial" w:hAnsi="Arial"/>
          <w:sz w:val="18"/>
          <w:szCs w:val="18"/>
          <w:b w:val="1"/>
          <w:bCs w:val="1"/>
          <w:color w:val="auto"/>
        </w:rPr>
      </w:pPr>
    </w:p>
    <w:p>
      <w:pPr>
        <w:ind w:left="14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As of December 31, 2020, Tower had net operating loss carryforward for tax purposes of approximately $1,000,000 which may be carried forward indefinitely.</w:t>
      </w:r>
    </w:p>
    <w:p>
      <w:pPr>
        <w:spacing w:after="0" w:line="143" w:lineRule="exact"/>
        <w:rPr>
          <w:rFonts w:ascii="Arial" w:cs="Arial" w:eastAsia="Arial" w:hAnsi="Arial"/>
          <w:sz w:val="18"/>
          <w:szCs w:val="18"/>
          <w:b w:val="1"/>
          <w:bCs w:val="1"/>
          <w:color w:val="auto"/>
        </w:rPr>
      </w:pPr>
    </w:p>
    <w:p>
      <w:pPr>
        <w:jc w:val="both"/>
        <w:ind w:left="144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The future utilization of Tower US Holdings’ federal net operating loss carryforward to offset future federal taxable income is subject to an annual limitation as a result of ownership changes that have occurred. Additional limitations could apply if ownership changes occur in the future. TSNP has had two “change in ownership” events that limit the utilization of net operating loss carryforward. The first “change in ownership” event occurred in February 2007 upon Jazz Technologies’ acquisition of TSNP. The second “change in ownership” event occurred in September 2008, upon Tower’s acquisition of TSNP. TSNP concluded that the net operating loss limitation for the change in ownership which occurred in September 2008 will be an annual utilization of approximately $2,100 in its tax return.</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35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NOTE 19</w:t>
        <w:tab/>
        <w:t>- INCOME TAXES (Cont.)</w:t>
      </w:r>
    </w:p>
    <w:p>
      <w:pPr>
        <w:spacing w:after="0" w:line="198" w:lineRule="exact"/>
        <w:rPr>
          <w:sz w:val="20"/>
          <w:szCs w:val="20"/>
          <w:color w:val="auto"/>
        </w:rPr>
      </w:pPr>
    </w:p>
    <w:p>
      <w:pPr>
        <w:ind w:left="1440" w:hanging="352"/>
        <w:spacing w:after="0"/>
        <w:tabs>
          <w:tab w:leader="none" w:pos="144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Net Operating Loss Carryforward (Cont.)</w:t>
      </w:r>
    </w:p>
    <w:p>
      <w:pPr>
        <w:spacing w:after="0" w:line="215" w:lineRule="exact"/>
        <w:rPr>
          <w:rFonts w:ascii="Arial" w:cs="Arial" w:eastAsia="Arial" w:hAnsi="Arial"/>
          <w:sz w:val="18"/>
          <w:szCs w:val="18"/>
          <w:b w:val="1"/>
          <w:bCs w:val="1"/>
          <w:color w:val="auto"/>
        </w:rPr>
      </w:pPr>
    </w:p>
    <w:p>
      <w:pPr>
        <w:jc w:val="both"/>
        <w:ind w:left="14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As of December 31, 2020, Tower US Holdings had federal net operating loss carryforward of approximately $37,500, of which approximately $20,100 do not expire and is subject to a taxable income limitation of 80% due to the Act, and the remaining federal tax loss carryforwards of $17,400 will begin to expire in 2022, unless previously utilized.</w:t>
      </w:r>
    </w:p>
    <w:p>
      <w:pPr>
        <w:spacing w:after="0" w:line="170" w:lineRule="exact"/>
        <w:rPr>
          <w:rFonts w:ascii="Arial" w:cs="Arial" w:eastAsia="Arial" w:hAnsi="Arial"/>
          <w:sz w:val="18"/>
          <w:szCs w:val="18"/>
          <w:b w:val="1"/>
          <w:bCs w:val="1"/>
          <w:color w:val="auto"/>
        </w:rPr>
      </w:pPr>
    </w:p>
    <w:p>
      <w:pPr>
        <w:ind w:left="14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As of December 31, 2020, Tower US Holdings had California state net operating loss carryforward of approximately $8,800. The state tax loss carry forward will begin to expire in 2029, unless previously utilized.</w:t>
      </w:r>
    </w:p>
    <w:p>
      <w:pPr>
        <w:spacing w:after="0" w:line="143" w:lineRule="exact"/>
        <w:rPr>
          <w:rFonts w:ascii="Arial" w:cs="Arial" w:eastAsia="Arial" w:hAnsi="Arial"/>
          <w:sz w:val="18"/>
          <w:szCs w:val="18"/>
          <w:b w:val="1"/>
          <w:bCs w:val="1"/>
          <w:color w:val="auto"/>
        </w:rPr>
      </w:pPr>
    </w:p>
    <w:p>
      <w:pPr>
        <w:ind w:left="14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Tower US Holdings recorded a valuation allowance against the deferred tax asset balances for its federal and state net operating loss carryforward.</w:t>
      </w:r>
    </w:p>
    <w:p>
      <w:pPr>
        <w:spacing w:after="0" w:line="156" w:lineRule="exact"/>
        <w:rPr>
          <w:rFonts w:ascii="Arial" w:cs="Arial" w:eastAsia="Arial" w:hAnsi="Arial"/>
          <w:sz w:val="18"/>
          <w:szCs w:val="18"/>
          <w:b w:val="1"/>
          <w:bCs w:val="1"/>
          <w:color w:val="auto"/>
        </w:rPr>
      </w:pPr>
    </w:p>
    <w:p>
      <w:pPr>
        <w:ind w:left="1440"/>
        <w:spacing w:after="0"/>
        <w:rPr>
          <w:rFonts w:ascii="Arial" w:cs="Arial" w:eastAsia="Arial" w:hAnsi="Arial"/>
          <w:sz w:val="18"/>
          <w:szCs w:val="18"/>
          <w:b w:val="1"/>
          <w:bCs w:val="1"/>
          <w:color w:val="auto"/>
        </w:rPr>
      </w:pPr>
      <w:r>
        <w:rPr>
          <w:rFonts w:ascii="Arial" w:cs="Arial" w:eastAsia="Arial" w:hAnsi="Arial"/>
          <w:sz w:val="18"/>
          <w:szCs w:val="18"/>
          <w:color w:val="auto"/>
        </w:rPr>
        <w:t>As of December 31, 2020 and 2019, TPSCo had no net operating loss carryforward.</w:t>
      </w:r>
    </w:p>
    <w:p>
      <w:pPr>
        <w:spacing w:after="0" w:line="207" w:lineRule="exact"/>
        <w:rPr>
          <w:rFonts w:ascii="Arial" w:cs="Arial" w:eastAsia="Arial" w:hAnsi="Arial"/>
          <w:sz w:val="18"/>
          <w:szCs w:val="18"/>
          <w:b w:val="1"/>
          <w:bCs w:val="1"/>
          <w:color w:val="auto"/>
        </w:rPr>
      </w:pPr>
    </w:p>
    <w:p>
      <w:pPr>
        <w:ind w:left="1440" w:hanging="352"/>
        <w:spacing w:after="0"/>
        <w:tabs>
          <w:tab w:leader="none" w:pos="144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Final Tax Assessments</w:t>
      </w:r>
    </w:p>
    <w:p>
      <w:pPr>
        <w:spacing w:after="0" w:line="202" w:lineRule="exact"/>
        <w:rPr>
          <w:rFonts w:ascii="Arial" w:cs="Arial" w:eastAsia="Arial" w:hAnsi="Arial"/>
          <w:sz w:val="18"/>
          <w:szCs w:val="18"/>
          <w:b w:val="1"/>
          <w:bCs w:val="1"/>
          <w:color w:val="auto"/>
        </w:rPr>
      </w:pPr>
    </w:p>
    <w:p>
      <w:pPr>
        <w:ind w:left="144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Tower possesses final tax assessments through the year 1998. In addition, the tax assessments for the years 1999-2015 are deemed final.</w:t>
      </w:r>
    </w:p>
    <w:p>
      <w:pPr>
        <w:spacing w:after="0" w:line="156" w:lineRule="exact"/>
        <w:rPr>
          <w:rFonts w:ascii="Arial" w:cs="Arial" w:eastAsia="Arial" w:hAnsi="Arial"/>
          <w:sz w:val="18"/>
          <w:szCs w:val="18"/>
          <w:b w:val="1"/>
          <w:bCs w:val="1"/>
          <w:color w:val="auto"/>
        </w:rPr>
      </w:pPr>
    </w:p>
    <w:p>
      <w:pPr>
        <w:ind w:left="14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Tower US Holdings files a consolidated tax return including TSNP and TSSA. Tower US Holdings and its subsidiaries are subject to U.S. federal income tax as well as income tax in multiple states.</w:t>
      </w:r>
    </w:p>
    <w:p>
      <w:pPr>
        <w:spacing w:after="0" w:line="156" w:lineRule="exact"/>
        <w:rPr>
          <w:rFonts w:ascii="Arial" w:cs="Arial" w:eastAsia="Arial" w:hAnsi="Arial"/>
          <w:sz w:val="18"/>
          <w:szCs w:val="18"/>
          <w:b w:val="1"/>
          <w:bCs w:val="1"/>
          <w:color w:val="auto"/>
        </w:rPr>
      </w:pPr>
    </w:p>
    <w:p>
      <w:pPr>
        <w:jc w:val="both"/>
        <w:ind w:left="14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general, Tower US Holdings is no longer subject to U.S. federal income tax examinations before 2017 and state and local income tax examinations before 2016. However, to the extent allowed by law, the tax authorities may have the right to examine prior periods where net operating losses were generated and carried forward, and make adjustments up to the amount of the net operating loss carryforward amount.</w:t>
      </w:r>
    </w:p>
    <w:p>
      <w:pPr>
        <w:spacing w:after="0" w:line="159" w:lineRule="exact"/>
        <w:rPr>
          <w:rFonts w:ascii="Arial" w:cs="Arial" w:eastAsia="Arial" w:hAnsi="Arial"/>
          <w:sz w:val="18"/>
          <w:szCs w:val="18"/>
          <w:b w:val="1"/>
          <w:bCs w:val="1"/>
          <w:color w:val="auto"/>
        </w:rPr>
      </w:pPr>
    </w:p>
    <w:p>
      <w:pPr>
        <w:jc w:val="both"/>
        <w:ind w:left="14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On March 27, 2020, the CARES Act was signed. The CARES Act provided numerous tax provisions and other stimulus measures, including but not limited to temporary changes regarding the prior and future utilization of net operating losses. Under the provisions of the CARES Act, Tower US Holdings received a $2,100 income tax refund from carrying back federal net operating losses and a $1,100 refund of its minimum tax credits.</w:t>
      </w:r>
    </w:p>
    <w:p>
      <w:pPr>
        <w:spacing w:after="0" w:line="17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TPSCo possesses final tax assessments through the year 2016.</w:t>
      </w:r>
    </w:p>
    <w:p>
      <w:pPr>
        <w:spacing w:after="0" w:line="185"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4946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431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55" w:name="page56"/>
    <w:bookmarkEnd w:id="55"/>
    <w:p>
      <w:pPr>
        <w:ind w:left="10120"/>
        <w:spacing w:after="0"/>
        <w:rPr>
          <w:sz w:val="20"/>
          <w:szCs w:val="20"/>
          <w:color w:val="auto"/>
        </w:rPr>
      </w:pPr>
      <w:r>
        <w:rPr>
          <w:rFonts w:ascii="Arial" w:cs="Arial" w:eastAsia="Arial" w:hAnsi="Arial"/>
          <w:sz w:val="19"/>
          <w:szCs w:val="19"/>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t>Exhibit 99.2</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MANAGEMENT’S DISCUSSION AND ANALYSIS OF FINANCIAL</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CONDITION AND RESULTS OF OPERATIONS</w:t>
      </w:r>
    </w:p>
    <w:p>
      <w:pPr>
        <w:spacing w:after="0" w:line="293" w:lineRule="exact"/>
        <w:rPr>
          <w:sz w:val="20"/>
          <w:szCs w:val="20"/>
          <w:color w:val="auto"/>
        </w:rPr>
      </w:pPr>
    </w:p>
    <w:p>
      <w:pPr>
        <w:jc w:val="both"/>
        <w:spacing w:after="0" w:line="266" w:lineRule="auto"/>
        <w:rPr>
          <w:sz w:val="20"/>
          <w:szCs w:val="20"/>
          <w:color w:val="auto"/>
        </w:rPr>
      </w:pPr>
      <w:r>
        <w:rPr>
          <w:rFonts w:ascii="Arial" w:cs="Arial" w:eastAsia="Arial" w:hAnsi="Arial"/>
          <w:sz w:val="22"/>
          <w:szCs w:val="22"/>
          <w:i w:val="1"/>
          <w:iCs w:val="1"/>
          <w:color w:val="auto"/>
        </w:rPr>
        <w:t>The information contained in this section should be read in conjunction with our consolidated financial statements as of December 31, 2020 and 2019 and related notes for the years then ended. Our financial statements have been prepared in accordance with generally accepted accounting principles in the United States (“US GAAP”).</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9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The following table sets forth certain statement of operations data as a percentage of total revenues for the periods indicated:</w:t>
      </w:r>
    </w:p>
    <w:p>
      <w:pPr>
        <w:spacing w:after="0" w:line="218" w:lineRule="exact"/>
        <w:rPr>
          <w:sz w:val="20"/>
          <w:szCs w:val="20"/>
          <w:color w:val="auto"/>
        </w:rPr>
      </w:pPr>
    </w:p>
    <w:p>
      <w:pPr>
        <w:ind w:left="886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0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20"/>
                <w:szCs w:val="20"/>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7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23"/>
        </w:trPr>
        <w:tc>
          <w:tcPr>
            <w:tcW w:w="936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340" w:type="dxa"/>
            <w:vAlign w:val="bottom"/>
          </w:tcPr>
          <w:p>
            <w:pPr>
              <w:jc w:val="right"/>
              <w:spacing w:after="0"/>
              <w:rPr>
                <w:sz w:val="20"/>
                <w:szCs w:val="20"/>
                <w:color w:val="auto"/>
              </w:rPr>
            </w:pPr>
            <w:r>
              <w:rPr>
                <w:rFonts w:ascii="Arial" w:cs="Arial" w:eastAsia="Arial" w:hAnsi="Arial"/>
                <w:sz w:val="18"/>
                <w:szCs w:val="18"/>
                <w:color w:val="auto"/>
                <w:w w:val="91"/>
              </w:rPr>
              <w:t>81.6</w:t>
            </w:r>
          </w:p>
        </w:tc>
        <w:tc>
          <w:tcPr>
            <w:tcW w:w="28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81.4</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7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18.4</w:t>
            </w:r>
          </w:p>
        </w:tc>
        <w:tc>
          <w:tcPr>
            <w:tcW w:w="280" w:type="dxa"/>
            <w:vAlign w:val="bottom"/>
            <w:tcBorders>
              <w:left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60" w:type="dxa"/>
            <w:vAlign w:val="bottom"/>
            <w:shd w:val="clear" w:color="auto" w:fill="CCEEFF"/>
          </w:tcPr>
          <w:p>
            <w:pPr>
              <w:spacing w:after="0"/>
              <w:rPr>
                <w:sz w:val="18"/>
                <w:szCs w:val="18"/>
                <w:color w:val="auto"/>
              </w:rPr>
            </w:pPr>
          </w:p>
        </w:tc>
      </w:tr>
      <w:tr>
        <w:trPr>
          <w:trHeight w:val="216"/>
        </w:trPr>
        <w:tc>
          <w:tcPr>
            <w:tcW w:w="9360" w:type="dxa"/>
            <w:vAlign w:val="bottom"/>
            <w:gridSpan w:val="2"/>
          </w:tcPr>
          <w:p>
            <w:pPr>
              <w:spacing w:after="0"/>
              <w:rPr>
                <w:sz w:val="20"/>
                <w:szCs w:val="20"/>
                <w:color w:val="auto"/>
              </w:rPr>
            </w:pPr>
            <w:r>
              <w:rPr>
                <w:rFonts w:ascii="Arial" w:cs="Arial" w:eastAsia="Arial" w:hAnsi="Arial"/>
                <w:sz w:val="18"/>
                <w:szCs w:val="18"/>
                <w:color w:val="auto"/>
              </w:rPr>
              <w:t>Research and development expense</w:t>
            </w:r>
          </w:p>
        </w:tc>
        <w:tc>
          <w:tcPr>
            <w:tcW w:w="340" w:type="dxa"/>
            <w:vAlign w:val="bottom"/>
          </w:tcPr>
          <w:p>
            <w:pPr>
              <w:jc w:val="right"/>
              <w:spacing w:after="0"/>
              <w:rPr>
                <w:sz w:val="20"/>
                <w:szCs w:val="20"/>
                <w:color w:val="auto"/>
              </w:rPr>
            </w:pPr>
            <w:r>
              <w:rPr>
                <w:rFonts w:ascii="Arial" w:cs="Arial" w:eastAsia="Arial" w:hAnsi="Arial"/>
                <w:sz w:val="18"/>
                <w:szCs w:val="18"/>
                <w:color w:val="auto"/>
              </w:rPr>
              <w:t>6.1</w:t>
            </w:r>
          </w:p>
        </w:tc>
        <w:tc>
          <w:tcPr>
            <w:tcW w:w="2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6.2</w:t>
            </w:r>
          </w:p>
        </w:tc>
      </w:tr>
      <w:tr>
        <w:trPr>
          <w:trHeight w:val="223"/>
        </w:trPr>
        <w:tc>
          <w:tcPr>
            <w:tcW w:w="8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Marketing, general and administrative expense</w:t>
            </w:r>
          </w:p>
        </w:tc>
        <w:tc>
          <w:tcPr>
            <w:tcW w:w="76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80" w:type="dxa"/>
            <w:vAlign w:val="bottom"/>
            <w:tcBorders>
              <w:left w:val="single" w:sz="8" w:color="CCEEFF"/>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60" w:type="dxa"/>
            <w:vAlign w:val="bottom"/>
            <w:tcBorders>
              <w:bottom w:val="single" w:sz="8" w:color="CCEEFF"/>
            </w:tcBorders>
            <w:shd w:val="clear" w:color="auto" w:fill="CCEEFF"/>
          </w:tcPr>
          <w:p>
            <w:pPr>
              <w:spacing w:after="0"/>
              <w:rPr>
                <w:sz w:val="19"/>
                <w:szCs w:val="19"/>
                <w:color w:val="auto"/>
              </w:rPr>
            </w:pPr>
          </w:p>
        </w:tc>
      </w:tr>
      <w:tr>
        <w:trPr>
          <w:trHeight w:val="216"/>
        </w:trPr>
        <w:tc>
          <w:tcPr>
            <w:tcW w:w="9360" w:type="dxa"/>
            <w:vAlign w:val="bottom"/>
            <w:gridSpan w:val="2"/>
          </w:tcPr>
          <w:p>
            <w:pPr>
              <w:spacing w:after="0"/>
              <w:rPr>
                <w:sz w:val="20"/>
                <w:szCs w:val="20"/>
                <w:color w:val="auto"/>
              </w:rPr>
            </w:pPr>
            <w:r>
              <w:rPr>
                <w:rFonts w:ascii="Arial" w:cs="Arial" w:eastAsia="Arial" w:hAnsi="Arial"/>
                <w:sz w:val="18"/>
                <w:szCs w:val="18"/>
                <w:color w:val="auto"/>
              </w:rPr>
              <w:t>Operating profit</w:t>
            </w:r>
          </w:p>
        </w:tc>
        <w:tc>
          <w:tcPr>
            <w:tcW w:w="340" w:type="dxa"/>
            <w:vAlign w:val="bottom"/>
          </w:tcPr>
          <w:p>
            <w:pPr>
              <w:jc w:val="right"/>
              <w:spacing w:after="0"/>
              <w:rPr>
                <w:sz w:val="20"/>
                <w:szCs w:val="20"/>
                <w:color w:val="auto"/>
              </w:rPr>
            </w:pPr>
            <w:r>
              <w:rPr>
                <w:rFonts w:ascii="Arial" w:cs="Arial" w:eastAsia="Arial" w:hAnsi="Arial"/>
                <w:sz w:val="18"/>
                <w:szCs w:val="18"/>
                <w:color w:val="auto"/>
              </w:rPr>
              <w:t>7.2</w:t>
            </w:r>
          </w:p>
        </w:tc>
        <w:tc>
          <w:tcPr>
            <w:tcW w:w="2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7.0</w:t>
            </w:r>
          </w:p>
        </w:tc>
      </w:tr>
      <w:tr>
        <w:trPr>
          <w:trHeight w:val="216"/>
        </w:trPr>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Financing income, net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80" w:type="dxa"/>
            <w:vAlign w:val="bottom"/>
            <w:tcBorders>
              <w:left w:val="single" w:sz="8" w:color="CCEEFF"/>
            </w:tcBorders>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w:t>
            </w:r>
          </w:p>
        </w:tc>
      </w:tr>
      <w:tr>
        <w:trPr>
          <w:trHeight w:val="223"/>
        </w:trPr>
        <w:tc>
          <w:tcPr>
            <w:tcW w:w="936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(0.4)</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0.3</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Profit before income tax</w:t>
            </w:r>
          </w:p>
        </w:tc>
        <w:tc>
          <w:tcPr>
            <w:tcW w:w="7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80" w:type="dxa"/>
            <w:vAlign w:val="bottom"/>
            <w:tcBorders>
              <w:left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60" w:type="dxa"/>
            <w:vAlign w:val="bottom"/>
            <w:shd w:val="clear" w:color="auto" w:fill="CCEEFF"/>
          </w:tcPr>
          <w:p>
            <w:pPr>
              <w:spacing w:after="0"/>
              <w:rPr>
                <w:sz w:val="18"/>
                <w:szCs w:val="18"/>
                <w:color w:val="auto"/>
              </w:rPr>
            </w:pPr>
          </w:p>
        </w:tc>
      </w:tr>
      <w:tr>
        <w:trPr>
          <w:trHeight w:val="223"/>
        </w:trPr>
        <w:tc>
          <w:tcPr>
            <w:tcW w:w="9360" w:type="dxa"/>
            <w:vAlign w:val="bottom"/>
            <w:gridSpan w:val="2"/>
          </w:tcPr>
          <w:p>
            <w:pPr>
              <w:spacing w:after="0"/>
              <w:rPr>
                <w:sz w:val="20"/>
                <w:szCs w:val="20"/>
                <w:color w:val="auto"/>
              </w:rPr>
            </w:pPr>
            <w:r>
              <w:rPr>
                <w:rFonts w:ascii="Arial" w:cs="Arial" w:eastAsia="Arial" w:hAnsi="Arial"/>
                <w:sz w:val="18"/>
                <w:szCs w:val="18"/>
                <w:color w:val="auto"/>
              </w:rPr>
              <w:t>Income tax expense, net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(0.4)</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Net profit</w:t>
            </w:r>
          </w:p>
        </w:tc>
        <w:tc>
          <w:tcPr>
            <w:tcW w:w="7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80" w:type="dxa"/>
            <w:vAlign w:val="bottom"/>
            <w:tcBorders>
              <w:left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60" w:type="dxa"/>
            <w:vAlign w:val="bottom"/>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Net loss (income) attributable to the non-controlling interest</w:t>
            </w:r>
          </w:p>
        </w:tc>
        <w:tc>
          <w:tcPr>
            <w:tcW w:w="76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(0.1)</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0.2</w:t>
            </w:r>
          </w:p>
        </w:tc>
      </w:tr>
      <w:tr>
        <w:trPr>
          <w:trHeight w:val="27"/>
        </w:trPr>
        <w:tc>
          <w:tcPr>
            <w:tcW w:w="86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3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Net profit attributable to the company</w:t>
            </w:r>
          </w:p>
        </w:tc>
        <w:tc>
          <w:tcPr>
            <w:tcW w:w="76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w:t>
            </w:r>
          </w:p>
        </w:tc>
      </w:tr>
      <w:tr>
        <w:trPr>
          <w:trHeight w:val="20"/>
        </w:trPr>
        <w:tc>
          <w:tcPr>
            <w:tcW w:w="86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following table sets forth certain statement of operations data for the periods indicated (in thousands):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0" w:type="dxa"/>
            <w:vAlign w:val="bottom"/>
            <w:gridSpan w:val="5"/>
          </w:tcPr>
          <w:p>
            <w:pPr>
              <w:jc w:val="right"/>
              <w:ind w:right="360"/>
              <w:spacing w:after="0"/>
              <w:rPr>
                <w:sz w:val="20"/>
                <w:szCs w:val="20"/>
                <w:color w:val="auto"/>
              </w:rPr>
            </w:pPr>
            <w:r>
              <w:rPr>
                <w:rFonts w:ascii="Arial" w:cs="Arial" w:eastAsia="Arial" w:hAnsi="Arial"/>
                <w:sz w:val="18"/>
                <w:szCs w:val="18"/>
                <w:b w:val="1"/>
                <w:bCs w:val="1"/>
                <w:color w:val="auto"/>
                <w:w w:val="92"/>
              </w:rPr>
              <w:t>Year ended December 31,</w:t>
            </w:r>
          </w:p>
        </w:tc>
      </w:tr>
      <w:tr>
        <w:trPr>
          <w:trHeight w:val="223"/>
        </w:trPr>
        <w:tc>
          <w:tcPr>
            <w:tcW w:w="86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1,265,684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1,234,003</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Cost of revenues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1,032,366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1,004,332</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233,318</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229,671</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Research and development expense</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78,320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75,579</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Marketing, general and administrative expense</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63,965</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67,376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Operating profit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91,033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86,716</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Financing income, net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(5,215)</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4,293</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Profit before income tax</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88,688</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91,021</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Income tax expense, net</w:t>
            </w: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(5,399)</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(2,948)</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profit</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83,289</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88,073</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Net loss (income) attributable to the non-controlling interest</w:t>
            </w: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(987)</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1,975</w:t>
            </w:r>
          </w:p>
        </w:tc>
      </w:tr>
      <w:tr>
        <w:trPr>
          <w:trHeight w:val="256"/>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profit attributable to the company</w:t>
            </w: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82,302</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90,048</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176"/>
        </w:trPr>
        <w:tc>
          <w:tcPr>
            <w:tcW w:w="86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r>
    </w:tbl>
    <w:p>
      <w:pPr>
        <w:sectPr>
          <w:pgSz w:w="11900" w:h="16838" w:orient="portrait"/>
          <w:cols w:equalWidth="0" w:num="1">
            <w:col w:w="11240"/>
          </w:cols>
          <w:pgMar w:left="320" w:top="423" w:right="339" w:bottom="1440" w:gutter="0" w:footer="0" w:header="0"/>
        </w:sectPr>
      </w:pPr>
    </w:p>
    <w:bookmarkStart w:id="56" w:name="page57"/>
    <w:bookmarkEnd w:id="56"/>
    <w:p>
      <w:pPr>
        <w:spacing w:after="0"/>
        <w:rPr>
          <w:sz w:val="20"/>
          <w:szCs w:val="20"/>
          <w:color w:val="auto"/>
        </w:rPr>
      </w:pPr>
      <w:r>
        <w:rPr>
          <w:rFonts w:ascii="Arial" w:cs="Arial" w:eastAsia="Arial" w:hAnsi="Arial"/>
          <w:sz w:val="22"/>
          <w:szCs w:val="22"/>
          <w:b w:val="1"/>
          <w:bCs w:val="1"/>
          <w:color w:val="auto"/>
        </w:rPr>
        <w:t>Year ended December 31, 2020 compared to year ended December 31, 2019</w:t>
      </w:r>
    </w:p>
    <w:p>
      <w:pPr>
        <w:spacing w:after="0" w:line="29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21"/>
          <w:szCs w:val="21"/>
          <w:i w:val="1"/>
          <w:iCs w:val="1"/>
          <w:color w:val="auto"/>
        </w:rPr>
        <w:t xml:space="preserve">Revenues. </w:t>
      </w:r>
      <w:r>
        <w:rPr>
          <w:rFonts w:ascii="Arial" w:cs="Arial" w:eastAsia="Arial" w:hAnsi="Arial"/>
          <w:sz w:val="21"/>
          <w:szCs w:val="21"/>
          <w:color w:val="auto"/>
        </w:rPr>
        <w:t>Revenues for the year ended December 31, 2020 were $1,265.7 million, as compared to $1,234.0 million for</w:t>
      </w:r>
      <w:r>
        <w:rPr>
          <w:rFonts w:ascii="Arial" w:cs="Arial" w:eastAsia="Arial" w:hAnsi="Arial"/>
          <w:sz w:val="21"/>
          <w:szCs w:val="21"/>
          <w:i w:val="1"/>
          <w:iCs w:val="1"/>
          <w:color w:val="auto"/>
        </w:rPr>
        <w:t xml:space="preserve"> </w:t>
      </w:r>
      <w:r>
        <w:rPr>
          <w:rFonts w:ascii="Arial" w:cs="Arial" w:eastAsia="Arial" w:hAnsi="Arial"/>
          <w:sz w:val="21"/>
          <w:szCs w:val="21"/>
          <w:color w:val="auto"/>
        </w:rPr>
        <w:t>the year ended December 31, 2019. The $31.7 million revenue increase is attributed mainly to an increased quantity of products (CMOS silicon wafers) manufactured and shipped to our foundry customers from our factories, especially from our Uozu Japan 300mm factory (Fab 7), while our average selling price per product remained stable.</w:t>
      </w:r>
    </w:p>
    <w:p>
      <w:pPr>
        <w:spacing w:after="0" w:line="22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2"/>
          <w:szCs w:val="22"/>
          <w:i w:val="1"/>
          <w:iCs w:val="1"/>
          <w:color w:val="auto"/>
        </w:rPr>
        <w:t>Cost of Revenues</w:t>
      </w:r>
      <w:r>
        <w:rPr>
          <w:rFonts w:ascii="Arial" w:cs="Arial" w:eastAsia="Arial" w:hAnsi="Arial"/>
          <w:sz w:val="22"/>
          <w:szCs w:val="22"/>
          <w:color w:val="auto"/>
        </w:rPr>
        <w:t>. Cost of revenues for the year ended December 31, 2020 amounted to $1,032.4 million as compared to</w:t>
      </w:r>
      <w:r>
        <w:rPr>
          <w:rFonts w:ascii="Arial" w:cs="Arial" w:eastAsia="Arial" w:hAnsi="Arial"/>
          <w:sz w:val="22"/>
          <w:szCs w:val="22"/>
          <w:i w:val="1"/>
          <w:iCs w:val="1"/>
          <w:color w:val="auto"/>
        </w:rPr>
        <w:t xml:space="preserve"> </w:t>
      </w:r>
      <w:r>
        <w:rPr>
          <w:rFonts w:ascii="Arial" w:cs="Arial" w:eastAsia="Arial" w:hAnsi="Arial"/>
          <w:sz w:val="22"/>
          <w:szCs w:val="22"/>
          <w:color w:val="auto"/>
        </w:rPr>
        <w:t>$1,004.3 million for the year ended December 31, 2019. The $28.1 million increase in manufacturing cost is mainly due to higher variable cost directly associated with the increased volume of wafers we manufactured and shipped as described above, as well as depreciation expense increase associated with the property and equipment we had acquired and installed in 2020, as compared to 2019.</w:t>
      </w:r>
    </w:p>
    <w:p>
      <w:pPr>
        <w:spacing w:after="0" w:line="24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i w:val="1"/>
          <w:iCs w:val="1"/>
          <w:color w:val="auto"/>
        </w:rPr>
        <w:t>Gross Profit</w:t>
      </w:r>
      <w:r>
        <w:rPr>
          <w:rFonts w:ascii="Arial" w:cs="Arial" w:eastAsia="Arial" w:hAnsi="Arial"/>
          <w:sz w:val="22"/>
          <w:szCs w:val="22"/>
          <w:color w:val="auto"/>
        </w:rPr>
        <w:t>. Gross profit for the year ended December 31, 2020 amounted to $233.3 million as compared to $229.7</w:t>
      </w:r>
      <w:r>
        <w:rPr>
          <w:rFonts w:ascii="Arial" w:cs="Arial" w:eastAsia="Arial" w:hAnsi="Arial"/>
          <w:sz w:val="22"/>
          <w:szCs w:val="22"/>
          <w:i w:val="1"/>
          <w:iCs w:val="1"/>
          <w:color w:val="auto"/>
        </w:rPr>
        <w:t xml:space="preserve"> </w:t>
      </w:r>
      <w:r>
        <w:rPr>
          <w:rFonts w:ascii="Arial" w:cs="Arial" w:eastAsia="Arial" w:hAnsi="Arial"/>
          <w:sz w:val="22"/>
          <w:szCs w:val="22"/>
          <w:color w:val="auto"/>
        </w:rPr>
        <w:t>million for the year ended December 31, 2019. The $3.6 million increase in gross profit resulted mainly from the $31.7 million revenue increase, net of the $28.1 million increased cost of revenues, as described above.</w:t>
      </w:r>
    </w:p>
    <w:p>
      <w:pPr>
        <w:spacing w:after="0" w:line="239"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9"/>
          <w:szCs w:val="19"/>
          <w:i w:val="1"/>
          <w:iCs w:val="1"/>
          <w:color w:val="auto"/>
        </w:rPr>
        <w:t>Research and Developmen</w:t>
      </w:r>
      <w:r>
        <w:rPr>
          <w:rFonts w:ascii="Arial" w:cs="Arial" w:eastAsia="Arial" w:hAnsi="Arial"/>
          <w:sz w:val="19"/>
          <w:szCs w:val="19"/>
          <w:color w:val="auto"/>
        </w:rPr>
        <w:t>t. Research and development expense for the year ended December 31, 2020, amounted to</w:t>
      </w:r>
      <w:r>
        <w:rPr>
          <w:rFonts w:ascii="Arial" w:cs="Arial" w:eastAsia="Arial" w:hAnsi="Arial"/>
          <w:sz w:val="19"/>
          <w:szCs w:val="19"/>
          <w:i w:val="1"/>
          <w:iCs w:val="1"/>
          <w:color w:val="auto"/>
        </w:rPr>
        <w:t xml:space="preserve"> </w:t>
      </w:r>
      <w:r>
        <w:rPr>
          <w:rFonts w:ascii="Arial" w:cs="Arial" w:eastAsia="Arial" w:hAnsi="Arial"/>
          <w:sz w:val="19"/>
          <w:szCs w:val="19"/>
          <w:color w:val="auto"/>
        </w:rPr>
        <w:t>$78.3 million as compared to $75.6 million in the year ended December 31, 2019, both reflecting approximately 6% of our revenues. The $2.7 million increase in research and development expense reflects our continuous focus on enhancing our mid-term and long-term products’ development funnel, technology capabilities and future design wins.</w:t>
      </w:r>
    </w:p>
    <w:p>
      <w:pPr>
        <w:spacing w:after="0" w:line="19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i w:val="1"/>
          <w:iCs w:val="1"/>
          <w:color w:val="auto"/>
        </w:rPr>
        <w:t>Marketing, General and Administrative</w:t>
      </w:r>
      <w:r>
        <w:rPr>
          <w:rFonts w:ascii="Arial" w:cs="Arial" w:eastAsia="Arial" w:hAnsi="Arial"/>
          <w:sz w:val="22"/>
          <w:szCs w:val="22"/>
          <w:color w:val="auto"/>
        </w:rPr>
        <w:t>. Marketing, general and administrative expense for the year ended December 31,</w:t>
      </w:r>
      <w:r>
        <w:rPr>
          <w:rFonts w:ascii="Arial" w:cs="Arial" w:eastAsia="Arial" w:hAnsi="Arial"/>
          <w:sz w:val="22"/>
          <w:szCs w:val="22"/>
          <w:i w:val="1"/>
          <w:iCs w:val="1"/>
          <w:color w:val="auto"/>
        </w:rPr>
        <w:t xml:space="preserve"> </w:t>
      </w:r>
      <w:r>
        <w:rPr>
          <w:rFonts w:ascii="Arial" w:cs="Arial" w:eastAsia="Arial" w:hAnsi="Arial"/>
          <w:sz w:val="22"/>
          <w:szCs w:val="22"/>
          <w:color w:val="auto"/>
        </w:rPr>
        <w:t>2020 amounted to $64.0 million, a decrease of $3.4 million as compared to $67.4 million recorded in the year ended December 31, 2019, mainly due to cost reduction activities we executed following the pandemic.</w:t>
      </w:r>
    </w:p>
    <w:p>
      <w:pPr>
        <w:spacing w:after="0" w:line="239"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9"/>
          <w:szCs w:val="19"/>
          <w:i w:val="1"/>
          <w:iCs w:val="1"/>
          <w:color w:val="auto"/>
        </w:rPr>
        <w:t xml:space="preserve">Operating Profit. </w:t>
      </w:r>
      <w:r>
        <w:rPr>
          <w:rFonts w:ascii="Arial" w:cs="Arial" w:eastAsia="Arial" w:hAnsi="Arial"/>
          <w:sz w:val="19"/>
          <w:szCs w:val="19"/>
          <w:color w:val="auto"/>
        </w:rPr>
        <w:t>Operating profit for the year ended December 31, 2020 amounted to $91.0 million as compared to $86.7</w:t>
      </w:r>
      <w:r>
        <w:rPr>
          <w:rFonts w:ascii="Arial" w:cs="Arial" w:eastAsia="Arial" w:hAnsi="Arial"/>
          <w:sz w:val="19"/>
          <w:szCs w:val="19"/>
          <w:i w:val="1"/>
          <w:iCs w:val="1"/>
          <w:color w:val="auto"/>
        </w:rPr>
        <w:t xml:space="preserve"> </w:t>
      </w:r>
      <w:r>
        <w:rPr>
          <w:rFonts w:ascii="Arial" w:cs="Arial" w:eastAsia="Arial" w:hAnsi="Arial"/>
          <w:sz w:val="19"/>
          <w:szCs w:val="19"/>
          <w:color w:val="auto"/>
        </w:rPr>
        <w:t>million for the year ended December 31, 2019. The $4.3 million increase in operating profit resulted mainly from the $3.6 million increase in gross profit described above and the $3.4 million savings in Marketing, general and administrative expense described above, offset by the $2.7 million increase in research and development expense described above.</w:t>
      </w:r>
    </w:p>
    <w:p>
      <w:pPr>
        <w:spacing w:after="0" w:line="19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9"/>
          <w:szCs w:val="19"/>
          <w:i w:val="1"/>
          <w:iCs w:val="1"/>
          <w:color w:val="auto"/>
        </w:rPr>
        <w:t xml:space="preserve">Financing Income, Net. </w:t>
      </w:r>
      <w:r>
        <w:rPr>
          <w:rFonts w:ascii="Arial" w:cs="Arial" w:eastAsia="Arial" w:hAnsi="Arial"/>
          <w:sz w:val="19"/>
          <w:szCs w:val="19"/>
          <w:color w:val="auto"/>
        </w:rPr>
        <w:t>Financing income, net for the year ended December 31, 2020 amounted to $2.9 million as</w:t>
      </w:r>
      <w:r>
        <w:rPr>
          <w:rFonts w:ascii="Arial" w:cs="Arial" w:eastAsia="Arial" w:hAnsi="Arial"/>
          <w:sz w:val="19"/>
          <w:szCs w:val="19"/>
          <w:i w:val="1"/>
          <w:iCs w:val="1"/>
          <w:color w:val="auto"/>
        </w:rPr>
        <w:t xml:space="preserve"> </w:t>
      </w:r>
      <w:r>
        <w:rPr>
          <w:rFonts w:ascii="Arial" w:cs="Arial" w:eastAsia="Arial" w:hAnsi="Arial"/>
          <w:sz w:val="19"/>
          <w:szCs w:val="19"/>
          <w:color w:val="auto"/>
        </w:rPr>
        <w:t>compared to financing income, net of $0.01 million for the year ended December 31, 2019. The increase was mainly due to NIS-to-USD exchange rate changes during the years and its impact over NIS-denominated assets and liabilities valuation in USD, which resulted in an increase in financing net income of $6.2 million in 2020 as compared to 2019, which was partially offset by $4.5 million lower interest income due to lower interest rates and other returns received on our deposits and other investments, associated with the worldwide reduction in such rates during 2020 as compared to 2019.</w:t>
      </w:r>
    </w:p>
    <w:p>
      <w:pPr>
        <w:spacing w:after="0" w:line="20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2"/>
          <w:szCs w:val="22"/>
          <w:i w:val="1"/>
          <w:iCs w:val="1"/>
          <w:color w:val="auto"/>
        </w:rPr>
        <w:t xml:space="preserve">Other Income (Expense), Net. </w:t>
      </w:r>
      <w:r>
        <w:rPr>
          <w:rFonts w:ascii="Arial" w:cs="Arial" w:eastAsia="Arial" w:hAnsi="Arial"/>
          <w:sz w:val="22"/>
          <w:szCs w:val="22"/>
          <w:color w:val="auto"/>
        </w:rPr>
        <w:t>Other expense, net for the year ended December 31, 2020 amounted to $5.2 million as</w:t>
      </w:r>
      <w:r>
        <w:rPr>
          <w:rFonts w:ascii="Arial" w:cs="Arial" w:eastAsia="Arial" w:hAnsi="Arial"/>
          <w:sz w:val="22"/>
          <w:szCs w:val="22"/>
          <w:i w:val="1"/>
          <w:iCs w:val="1"/>
          <w:color w:val="auto"/>
        </w:rPr>
        <w:t xml:space="preserve"> </w:t>
      </w:r>
      <w:r>
        <w:rPr>
          <w:rFonts w:ascii="Arial" w:cs="Arial" w:eastAsia="Arial" w:hAnsi="Arial"/>
          <w:sz w:val="22"/>
          <w:szCs w:val="22"/>
          <w:color w:val="auto"/>
        </w:rPr>
        <w:t>compared to other income, net of $4.3 million for the year ended December 31, 2019. Other income (expense), net include mainly non-recurring items such as gains and losses from the sale and disposal of property and equipment, as well as evaluation or devaluation of the value of investments in companies in accordance with ASC 321, as detailed in Notes 2J and 12E to the consolidated financial statements as of December 31, 2020.</w:t>
      </w:r>
    </w:p>
    <w:p>
      <w:pPr>
        <w:spacing w:after="0" w:line="24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i w:val="1"/>
          <w:iCs w:val="1"/>
          <w:color w:val="auto"/>
        </w:rPr>
        <w:t>Income Tax Expense, Net</w:t>
      </w:r>
      <w:r>
        <w:rPr>
          <w:rFonts w:ascii="Arial" w:cs="Arial" w:eastAsia="Arial" w:hAnsi="Arial"/>
          <w:sz w:val="22"/>
          <w:szCs w:val="22"/>
          <w:color w:val="auto"/>
        </w:rPr>
        <w:t>. Income tax expense, net for the year ended December 31, 2020 amounted to $5.4 million as</w:t>
      </w:r>
      <w:r>
        <w:rPr>
          <w:rFonts w:ascii="Arial" w:cs="Arial" w:eastAsia="Arial" w:hAnsi="Arial"/>
          <w:sz w:val="22"/>
          <w:szCs w:val="22"/>
          <w:i w:val="1"/>
          <w:iCs w:val="1"/>
          <w:color w:val="auto"/>
        </w:rPr>
        <w:t xml:space="preserve"> </w:t>
      </w:r>
      <w:r>
        <w:rPr>
          <w:rFonts w:ascii="Arial" w:cs="Arial" w:eastAsia="Arial" w:hAnsi="Arial"/>
          <w:sz w:val="22"/>
          <w:szCs w:val="22"/>
          <w:color w:val="auto"/>
        </w:rPr>
        <w:t>compared to $2.9 million in the year ended December 31, 2019, reflecting mainly an increase in profitability of TPSCo, which is located in a higher-tax region as compared to our other subsidiaries.</w:t>
      </w:r>
    </w:p>
    <w:p>
      <w:pPr>
        <w:spacing w:after="0" w:line="23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i w:val="1"/>
          <w:iCs w:val="1"/>
          <w:color w:val="auto"/>
        </w:rPr>
        <w:t xml:space="preserve">Net profit. </w:t>
      </w:r>
      <w:r>
        <w:rPr>
          <w:rFonts w:ascii="Arial" w:cs="Arial" w:eastAsia="Arial" w:hAnsi="Arial"/>
          <w:sz w:val="22"/>
          <w:szCs w:val="22"/>
          <w:color w:val="auto"/>
        </w:rPr>
        <w:t>Net profit for the year ended December 31, 2020 amounted to $83.3 million as compared to a net profit of</w:t>
      </w:r>
      <w:r>
        <w:rPr>
          <w:rFonts w:ascii="Arial" w:cs="Arial" w:eastAsia="Arial" w:hAnsi="Arial"/>
          <w:sz w:val="22"/>
          <w:szCs w:val="22"/>
          <w:i w:val="1"/>
          <w:iCs w:val="1"/>
          <w:color w:val="auto"/>
        </w:rPr>
        <w:t xml:space="preserve"> </w:t>
      </w:r>
      <w:r>
        <w:rPr>
          <w:rFonts w:ascii="Arial" w:cs="Arial" w:eastAsia="Arial" w:hAnsi="Arial"/>
          <w:sz w:val="22"/>
          <w:szCs w:val="22"/>
          <w:color w:val="auto"/>
        </w:rPr>
        <w:t>$88.1 million for the year ended December 31, 2019. The decrease in net profit in the amount of $4.8 million was mainly due to the increases in other expense, net and in the tax expense, net, offset by the increase in the operating profit and in the financing income, net as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57" w:name="page58"/>
    <w:bookmarkEnd w:id="57"/>
    <w:p>
      <w:pPr>
        <w:jc w:val="both"/>
        <w:ind w:firstLine="648"/>
        <w:spacing w:after="0" w:line="284" w:lineRule="auto"/>
        <w:rPr>
          <w:sz w:val="20"/>
          <w:szCs w:val="20"/>
          <w:color w:val="auto"/>
        </w:rPr>
      </w:pPr>
      <w:r>
        <w:rPr>
          <w:rFonts w:ascii="Arial" w:cs="Arial" w:eastAsia="Arial" w:hAnsi="Arial"/>
          <w:sz w:val="21"/>
          <w:szCs w:val="21"/>
          <w:i w:val="1"/>
          <w:iCs w:val="1"/>
          <w:color w:val="auto"/>
        </w:rPr>
        <w:t xml:space="preserve">Net loss (income) attributable to the non-controlling interest. </w:t>
      </w:r>
      <w:r>
        <w:rPr>
          <w:rFonts w:ascii="Arial" w:cs="Arial" w:eastAsia="Arial" w:hAnsi="Arial"/>
          <w:sz w:val="21"/>
          <w:szCs w:val="21"/>
          <w:color w:val="auto"/>
        </w:rPr>
        <w:t>Net loss (income) attributable to the non-controlling interest</w:t>
      </w:r>
      <w:r>
        <w:rPr>
          <w:rFonts w:ascii="Arial" w:cs="Arial" w:eastAsia="Arial" w:hAnsi="Arial"/>
          <w:sz w:val="21"/>
          <w:szCs w:val="21"/>
          <w:i w:val="1"/>
          <w:iCs w:val="1"/>
          <w:color w:val="auto"/>
        </w:rPr>
        <w:t xml:space="preserve"> </w:t>
      </w:r>
      <w:r>
        <w:rPr>
          <w:rFonts w:ascii="Arial" w:cs="Arial" w:eastAsia="Arial" w:hAnsi="Arial"/>
          <w:sz w:val="21"/>
          <w:szCs w:val="21"/>
          <w:color w:val="auto"/>
        </w:rPr>
        <w:t>for the year ended December 31, 2020 amounted to $1.0 million income as compared to a $2.0 million loss in the year ended December 31, 2019, reflecting the increase in the profitability of TPSCo, of which we hold 51%.</w:t>
      </w:r>
    </w:p>
    <w:p>
      <w:pPr>
        <w:spacing w:after="0" w:line="223" w:lineRule="exact"/>
        <w:rPr>
          <w:sz w:val="20"/>
          <w:szCs w:val="20"/>
          <w:color w:val="auto"/>
        </w:rPr>
      </w:pPr>
    </w:p>
    <w:p>
      <w:pPr>
        <w:jc w:val="both"/>
        <w:ind w:firstLine="715"/>
        <w:spacing w:after="0" w:line="262" w:lineRule="auto"/>
        <w:rPr>
          <w:sz w:val="20"/>
          <w:szCs w:val="20"/>
          <w:color w:val="auto"/>
        </w:rPr>
      </w:pPr>
      <w:r>
        <w:rPr>
          <w:rFonts w:ascii="Arial" w:cs="Arial" w:eastAsia="Arial" w:hAnsi="Arial"/>
          <w:sz w:val="22"/>
          <w:szCs w:val="22"/>
          <w:i w:val="1"/>
          <w:iCs w:val="1"/>
          <w:color w:val="auto"/>
        </w:rPr>
        <w:t>Net Profit attributable to the company</w:t>
      </w:r>
      <w:r>
        <w:rPr>
          <w:rFonts w:ascii="Arial" w:cs="Arial" w:eastAsia="Arial" w:hAnsi="Arial"/>
          <w:sz w:val="22"/>
          <w:szCs w:val="22"/>
          <w:color w:val="auto"/>
        </w:rPr>
        <w:t>. Net profit attributable to the company for the year ended December 31, 2020</w:t>
      </w:r>
      <w:r>
        <w:rPr>
          <w:rFonts w:ascii="Arial" w:cs="Arial" w:eastAsia="Arial" w:hAnsi="Arial"/>
          <w:sz w:val="22"/>
          <w:szCs w:val="22"/>
          <w:i w:val="1"/>
          <w:iCs w:val="1"/>
          <w:color w:val="auto"/>
        </w:rPr>
        <w:t xml:space="preserve"> </w:t>
      </w:r>
      <w:r>
        <w:rPr>
          <w:rFonts w:ascii="Arial" w:cs="Arial" w:eastAsia="Arial" w:hAnsi="Arial"/>
          <w:sz w:val="22"/>
          <w:szCs w:val="22"/>
          <w:color w:val="auto"/>
        </w:rPr>
        <w:t>amounted to $82.3 million as compared to a net profit attributable to the company of $90.0 million for the year ended December 31, 2019. The decrease in net profit attributable to the company in the amount of $7.7 million was mainly due to the decrease in the net profit, as described above.</w:t>
      </w:r>
    </w:p>
    <w:p>
      <w:pPr>
        <w:spacing w:after="0" w:line="245" w:lineRule="exact"/>
        <w:rPr>
          <w:sz w:val="20"/>
          <w:szCs w:val="20"/>
          <w:color w:val="auto"/>
        </w:rPr>
      </w:pPr>
    </w:p>
    <w:p>
      <w:pPr>
        <w:jc w:val="both"/>
        <w:ind w:firstLine="703"/>
        <w:spacing w:after="0" w:line="266" w:lineRule="auto"/>
        <w:rPr>
          <w:sz w:val="20"/>
          <w:szCs w:val="20"/>
          <w:color w:val="auto"/>
        </w:rPr>
      </w:pPr>
      <w:r>
        <w:rPr>
          <w:rFonts w:ascii="Arial" w:cs="Arial" w:eastAsia="Arial" w:hAnsi="Arial"/>
          <w:sz w:val="22"/>
          <w:szCs w:val="22"/>
          <w:color w:val="auto"/>
        </w:rPr>
        <w:t>For details with regards to risks associated with the COVID-19 pandemic and/or risks that may result from the pandemic, see our disclosure under Note 1 to our consolidated financial statements as of December 31, 2020 and the risk factors section in ITEM 3 in our Form 20-F filed on April 30, 2020.</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Impact of Currency Fluctuations</w:t>
      </w:r>
    </w:p>
    <w:p>
      <w:pPr>
        <w:spacing w:after="0" w:line="293" w:lineRule="exact"/>
        <w:rPr>
          <w:sz w:val="20"/>
          <w:szCs w:val="20"/>
          <w:color w:val="auto"/>
        </w:rPr>
      </w:pPr>
    </w:p>
    <w:p>
      <w:pPr>
        <w:jc w:val="both"/>
        <w:ind w:firstLine="698"/>
        <w:spacing w:after="0" w:line="260" w:lineRule="auto"/>
        <w:rPr>
          <w:sz w:val="20"/>
          <w:szCs w:val="20"/>
          <w:color w:val="auto"/>
        </w:rPr>
      </w:pPr>
      <w:r>
        <w:rPr>
          <w:rFonts w:ascii="Arial" w:cs="Arial" w:eastAsia="Arial" w:hAnsi="Arial"/>
          <w:sz w:val="22"/>
          <w:szCs w:val="22"/>
          <w:color w:val="auto"/>
        </w:rPr>
        <w:t>The Company currently operates in three different regions: Japan, the United States and Israel. The functional currency of our entities in the United States and Israel is the US dollar (“USD”). The functional currency of our subsidiary in Japan is the Japanese Yen (“JPY”). Our expenses and costs are denominated mainly in USD, JPY and New Israeli Shekels (“NIS”), revenues are denominated mainly in USD and JPY and our cash from operations, investing and financing activities are denominated mainly in USD, JPY and NIS. Therefore, the Company is exposed to the risk of currency exchange rate fluctuations in Israel and Japan.</w:t>
      </w:r>
    </w:p>
    <w:p>
      <w:pPr>
        <w:spacing w:after="0" w:line="24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The USD cost of our operations in Israel is influenced by changes in the USD-to-NIS exchange rate, with respect to costs that are denominated in NIS. During the year ended December 31, 2020, the USD depreciated against the NIS by 7.0%, as compared to 7.8% depreciation during the year ended December 31, 2019.</w:t>
      </w:r>
    </w:p>
    <w:p>
      <w:pPr>
        <w:spacing w:after="0" w:line="239"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The fluctuation of the USD against the NIS can affect our results of operations as they relate to the entity in Israel. Appreciation of the NIS has the effect of increasing the cost, in USD terms, of some of the purchases and labor costs that are denominated in NIS, which may lead to erosion in the profit margins. The Company uses foreign currency cylinder transactions to hedge a portion of this currency exposure to be contained within a pre-defined fixed range. In addition, the Company executed swap-hedging transactions to hedge the exposure to the fluctuation of the USD against the NIS to the extent it relates to the Company’s non-convertible Series G debentures, which are denominated in NIS.</w:t>
      </w:r>
    </w:p>
    <w:p>
      <w:pPr>
        <w:spacing w:after="0" w:line="23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The majority of TPSCo’s revenues are denominated in JPY and the majority of TPSCo’s expenses are denominated in JPY, which limits the exposure to fluctuations of the USD / JPY exchange rate on TPSCo’s results of operations. In order to mitigate a portion of the net exposure to the USD / JPY exchange rate, the Company has engaged in cylinder hedging transactions to contain the currency’s fluctuation within a pre-defined fixed range.</w:t>
      </w:r>
    </w:p>
    <w:p>
      <w:pPr>
        <w:spacing w:after="0" w:line="24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During the year ended December 31, 2020, the USD depreciated against the JPY by 5.0%, as compared to 1.2% depreciation during the year ended December 31, 2019. The net effect of the USD depreciation against the JPY on TPSCo’s assets and liabilities denominated in JPY is presented in the Cumulative Translation Adjustment (“CTA”) as part of Other Comprehensive Income (“OCI”) in the balance sheet.</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9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2"/>
          <w:szCs w:val="22"/>
          <w:color w:val="auto"/>
        </w:rPr>
        <w:t>As of December 31, 2020, the Company had an aggregate amount of $211.7 million in cash and cash equivalents, as compared to $355.6 million as of December 31, 2019. The main cash activities during the year ended December 31, 2020 were: $276.6 million net cash provided by operating activities; $256.6 million invested in property and equipment, net of proceeds received from sales of equipment; $107.1 million invested in short-term deposits, marketable securities and other assets, net; and $63.7 million debt repaid.</w:t>
      </w:r>
    </w:p>
    <w:p>
      <w:pPr>
        <w:spacing w:after="0" w:line="244" w:lineRule="exact"/>
        <w:rPr>
          <w:sz w:val="20"/>
          <w:szCs w:val="20"/>
          <w:color w:val="auto"/>
        </w:rPr>
      </w:pPr>
    </w:p>
    <w:p>
      <w:pPr>
        <w:jc w:val="both"/>
        <w:spacing w:after="0" w:line="262" w:lineRule="auto"/>
        <w:rPr>
          <w:sz w:val="20"/>
          <w:szCs w:val="20"/>
          <w:color w:val="auto"/>
        </w:rPr>
      </w:pPr>
      <w:r>
        <w:rPr>
          <w:rFonts w:ascii="Arial" w:cs="Arial" w:eastAsia="Arial" w:hAnsi="Arial"/>
          <w:sz w:val="22"/>
          <w:szCs w:val="22"/>
          <w:color w:val="auto"/>
        </w:rPr>
        <w:t>Short-term and long-term debt presented on the balance sheet as of December 31, 2020 amounted to $106.5 million and $283.8 million, respectively, and included mainly bank loans, debentures and leases. As of December 31, 2020, the aggregate principal amount of debentures was $104.0 million and its carrying amount in the balance sheet was $102.4 million, of which $40.9 million was presented as short-term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323850</wp:posOffset>
            </wp:positionV>
            <wp:extent cx="7132320" cy="342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336550</wp:posOffset>
            </wp:positionV>
            <wp:extent cx="2057400" cy="4546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057400"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22"/>
          <w:szCs w:val="22"/>
          <w:color w:val="auto"/>
        </w:rPr>
        <w:t>CONSENT OF INDEPENDENT REGISTERED PUBLIC ACCOUNTING FIRM</w:t>
      </w:r>
    </w:p>
    <w:p>
      <w:pPr>
        <w:spacing w:after="0" w:line="287" w:lineRule="exact"/>
        <w:rPr>
          <w:sz w:val="20"/>
          <w:szCs w:val="20"/>
          <w:color w:val="auto"/>
        </w:rPr>
      </w:pPr>
    </w:p>
    <w:p>
      <w:pPr>
        <w:jc w:val="both"/>
        <w:spacing w:after="0" w:line="261" w:lineRule="auto"/>
        <w:rPr>
          <w:sz w:val="20"/>
          <w:szCs w:val="20"/>
          <w:color w:val="auto"/>
        </w:rPr>
      </w:pPr>
      <w:r>
        <w:rPr>
          <w:rFonts w:ascii="Arial" w:cs="Arial" w:eastAsia="Arial" w:hAnsi="Arial"/>
          <w:sz w:val="22"/>
          <w:szCs w:val="22"/>
          <w:color w:val="auto"/>
        </w:rPr>
        <w:t>We consent to the incorporation by reference in Registration Statements Nos. 333-85090, 333-171912 and 333-187858 on Form F-3, and Nos. 33-80947, 333-06482, 333-11720, 333-83204, 333-138837, 333-147071, 333-153710, 333-166428, 333-174276, 333-178167, and 333-204173 on Form S-8, of our report dated March 3, 2021, relating to the consolidated financial statements of Tower Semiconductor Ltd. appearing in the Report on Form 6-K of Tower Semiconductor Ltd. for the year ended December 31, 2020.</w:t>
      </w: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Brightman Almagor Zohar &amp;Co.</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Brightman Almagor Zohar &amp;Co.</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Certified Public Accountants</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A Firm in the Deloitte Global Network</w:t>
      </w:r>
    </w:p>
    <w:p>
      <w:pPr>
        <w:spacing w:after="0" w:line="283" w:lineRule="exact"/>
        <w:rPr>
          <w:sz w:val="20"/>
          <w:szCs w:val="20"/>
          <w:color w:val="auto"/>
        </w:rPr>
      </w:pPr>
    </w:p>
    <w:p>
      <w:pPr>
        <w:spacing w:after="0"/>
        <w:rPr>
          <w:sz w:val="20"/>
          <w:szCs w:val="20"/>
          <w:color w:val="auto"/>
        </w:rPr>
      </w:pPr>
      <w:r>
        <w:rPr>
          <w:rFonts w:ascii="Arial" w:cs="Arial" w:eastAsia="Arial" w:hAnsi="Arial"/>
          <w:sz w:val="22"/>
          <w:szCs w:val="22"/>
          <w:color w:val="auto"/>
        </w:rPr>
        <w:t>Tel Aviv, Israel</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March 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2216150</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2310765</wp:posOffset>
            </wp:positionV>
            <wp:extent cx="7132320" cy="342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630555</wp:posOffset>
            </wp:positionH>
            <wp:positionV relativeFrom="paragraph">
              <wp:posOffset>184785</wp:posOffset>
            </wp:positionV>
            <wp:extent cx="5880735" cy="17913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880735" cy="1791335"/>
                    </a:xfrm>
                    <a:prstGeom prst="rect">
                      <a:avLst/>
                    </a:prstGeom>
                    <a:noFill/>
                  </pic:spPr>
                </pic:pic>
              </a:graphicData>
            </a:graphic>
          </wp:anchor>
        </w:drawing>
      </w:r>
    </w:p>
    <w:sectPr>
      <w:pgSz w:w="11900" w:h="16838" w:orient="portrait"/>
      <w:cols w:equalWidth="0" w:num="1">
        <w:col w:w="11240"/>
      </w:cols>
      <w:pgMar w:left="320" w:top="42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lvl w:ilvl="1">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1."/>
      <w:numFmt w:val="upperLetter"/>
      <w:start w:val="1"/>
    </w:lvl>
  </w:abstractNum>
  <w:abstractNum w:abstractNumId="3">
    <w:nsid w:val="B03E0C6"/>
    <w:multiLevelType w:val="hybridMultilevel"/>
    <w:lvl w:ilvl="0">
      <w:lvlJc w:val="left"/>
      <w:lvlText w:val="%1."/>
      <w:numFmt w:val="upperLetter"/>
      <w:start w:val="6"/>
    </w:lvl>
  </w:abstractNum>
  <w:abstractNum w:abstractNumId="4">
    <w:nsid w:val="189A769B"/>
    <w:multiLevelType w:val="hybridMultilevel"/>
    <w:lvl w:ilvl="0">
      <w:lvlJc w:val="left"/>
      <w:lvlText w:val="%1."/>
      <w:numFmt w:val="upperLetter"/>
      <w:start w:val="10"/>
    </w:lvl>
  </w:abstractNum>
  <w:abstractNum w:abstractNumId="5">
    <w:nsid w:val="54E49EB4"/>
    <w:multiLevelType w:val="hybridMultilevel"/>
    <w:lvl w:ilvl="0">
      <w:lvlJc w:val="left"/>
      <w:lvlText w:val="%1."/>
      <w:numFmt w:val="upperLetter"/>
      <w:start w:val="12"/>
    </w:lvl>
  </w:abstractNum>
  <w:abstractNum w:abstractNumId="6">
    <w:nsid w:val="71F32454"/>
    <w:multiLevelType w:val="hybridMultilevel"/>
    <w:lvl w:ilvl="0">
      <w:lvlJc w:val="left"/>
      <w:lvlText w:val="%1."/>
      <w:numFmt w:val="upperLetter"/>
      <w:start w:val="13"/>
    </w:lvl>
  </w:abstractNum>
  <w:abstractNum w:abstractNumId="7">
    <w:nsid w:val="2CA88611"/>
    <w:multiLevelType w:val="hybridMultilevel"/>
    <w:lvl w:ilvl="0">
      <w:lvlJc w:val="left"/>
      <w:lvlText w:val="%1."/>
      <w:numFmt w:val="upperLetter"/>
      <w:start w:val="14"/>
    </w:lvl>
  </w:abstractNum>
  <w:abstractNum w:abstractNumId="8">
    <w:nsid w:val="836C40E"/>
    <w:multiLevelType w:val="hybridMultilevel"/>
    <w:lvl w:ilvl="0">
      <w:lvlJc w:val="left"/>
      <w:lvlText w:val="%1."/>
      <w:numFmt w:val="upperLetter"/>
      <w:start w:val="16"/>
    </w:lvl>
  </w:abstractNum>
  <w:abstractNum w:abstractNumId="9">
    <w:nsid w:val="2901D82"/>
    <w:multiLevelType w:val="hybridMultilevel"/>
    <w:lvl w:ilvl="0">
      <w:lvlJc w:val="left"/>
      <w:lvlText w:val="%1."/>
      <w:numFmt w:val="upperLetter"/>
      <w:start w:val="18"/>
    </w:lvl>
  </w:abstractNum>
  <w:abstractNum w:abstractNumId="10">
    <w:nsid w:val="3A95F874"/>
    <w:multiLevelType w:val="hybridMultilevel"/>
    <w:lvl w:ilvl="0">
      <w:lvlJc w:val="left"/>
      <w:lvlText w:val="%1."/>
      <w:numFmt w:val="upperLetter"/>
      <w:start w:val="22"/>
    </w:lvl>
  </w:abstractNum>
  <w:abstractNum w:abstractNumId="11">
    <w:nsid w:val="8138641"/>
    <w:multiLevelType w:val="hybridMultilevel"/>
    <w:lvl w:ilvl="0">
      <w:lvlJc w:val="left"/>
      <w:lvlText w:val="%1."/>
      <w:numFmt w:val="upperLetter"/>
      <w:start w:val="23"/>
    </w:lvl>
  </w:abstractNum>
  <w:abstractNum w:abstractNumId="12">
    <w:nsid w:val="1E7FF521"/>
    <w:multiLevelType w:val="hybridMultilevel"/>
    <w:lvl w:ilvl="0">
      <w:lvlJc w:val="left"/>
      <w:lvlText w:val="%1."/>
      <w:numFmt w:val="upperLetter"/>
      <w:start w:val="25"/>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1."/>
      <w:numFmt w:val="upperLetter"/>
      <w:start w:val="2"/>
    </w:lvl>
  </w:abstractNum>
  <w:abstractNum w:abstractNumId="15">
    <w:nsid w:val="6CEAF087"/>
    <w:multiLevelType w:val="hybridMultilevel"/>
    <w:lvl w:ilvl="0">
      <w:lvlJc w:val="left"/>
      <w:lvlText w:val="%1."/>
      <w:numFmt w:val="upperLetter"/>
      <w:start w:val="3"/>
    </w:lvl>
  </w:abstractNum>
  <w:abstractNum w:abstractNumId="16">
    <w:nsid w:val="22221A70"/>
    <w:multiLevelType w:val="hybridMultilevel"/>
    <w:lvl w:ilvl="0">
      <w:lvlJc w:val="left"/>
      <w:lvlText w:val="%1."/>
      <w:numFmt w:val="upperLetter"/>
      <w:start w:val="4"/>
    </w:lvl>
  </w:abstractNum>
  <w:abstractNum w:abstractNumId="17">
    <w:nsid w:val="4516DDE9"/>
    <w:multiLevelType w:val="hybridMultilevel"/>
    <w:lvl w:ilvl="0">
      <w:lvlJc w:val="left"/>
      <w:lvlText w:val="%1."/>
      <w:numFmt w:val="upperLetter"/>
      <w:start w:val="5"/>
    </w:lvl>
  </w:abstractNum>
  <w:abstractNum w:abstractNumId="18">
    <w:nsid w:val="3006C83E"/>
    <w:multiLevelType w:val="hybridMultilevel"/>
    <w:lvl w:ilvl="0">
      <w:lvlJc w:val="left"/>
      <w:lvlText w:val="%1."/>
      <w:numFmt w:val="upperLetter"/>
      <w:start w:val="6"/>
    </w:lvl>
  </w:abstractNum>
  <w:abstractNum w:abstractNumId="19">
    <w:nsid w:val="614FD4A1"/>
    <w:multiLevelType w:val="hybridMultilevel"/>
    <w:lvl w:ilvl="0">
      <w:lvlJc w:val="left"/>
      <w:lvlText w:val="%1."/>
      <w:numFmt w:val="upperLetter"/>
      <w:start w:val="1"/>
    </w:lvl>
  </w:abstractNum>
  <w:abstractNum w:abstractNumId="20">
    <w:nsid w:val="419AC241"/>
    <w:multiLevelType w:val="hybridMultilevel"/>
    <w:lvl w:ilvl="0">
      <w:lvlJc w:val="left"/>
      <w:lvlText w:val="%1."/>
      <w:numFmt w:val="upperLetter"/>
      <w:start w:val="3"/>
    </w:lvl>
  </w:abstractNum>
  <w:abstractNum w:abstractNumId="21">
    <w:nsid w:val="5577F8E1"/>
    <w:multiLevelType w:val="hybridMultilevel"/>
    <w:lvl w:ilvl="0">
      <w:lvlJc w:val="left"/>
      <w:lvlText w:val="%1."/>
      <w:numFmt w:val="upperLetter"/>
      <w:start w:val="6"/>
    </w:lvl>
  </w:abstractNum>
  <w:abstractNum w:abstractNumId="22">
    <w:nsid w:val="440BADFC"/>
    <w:multiLevelType w:val="hybridMultilevel"/>
    <w:lvl w:ilvl="0">
      <w:lvlJc w:val="left"/>
      <w:lvlText w:val="%1."/>
      <w:numFmt w:val="upperLetter"/>
      <w:start w:val="6"/>
    </w:lvl>
  </w:abstractNum>
  <w:abstractNum w:abstractNumId="23">
    <w:nsid w:val="5072367"/>
    <w:multiLevelType w:val="hybridMultilevel"/>
    <w:lvl w:ilvl="0">
      <w:lvlJc w:val="left"/>
      <w:lvlText w:val="%1."/>
      <w:numFmt w:val="upperLetter"/>
      <w:start w:val="1"/>
    </w:lvl>
  </w:abstractNum>
  <w:abstractNum w:abstractNumId="24">
    <w:nsid w:val="3804823E"/>
    <w:multiLevelType w:val="hybridMultilevel"/>
    <w:lvl w:ilvl="0">
      <w:lvlJc w:val="left"/>
      <w:lvlText w:val="%1."/>
      <w:numFmt w:val="upperLetter"/>
      <w:start w:val="2"/>
    </w:lvl>
  </w:abstractNum>
  <w:abstractNum w:abstractNumId="25">
    <w:nsid w:val="77465F01"/>
    <w:multiLevelType w:val="hybridMultilevel"/>
    <w:lvl w:ilvl="0">
      <w:lvlJc w:val="left"/>
      <w:lvlText w:val="%1."/>
      <w:numFmt w:val="upperLetter"/>
      <w:start w:val="2"/>
    </w:lvl>
  </w:abstractNum>
  <w:abstractNum w:abstractNumId="26">
    <w:nsid w:val="7724C67E"/>
    <w:multiLevelType w:val="hybridMultilevel"/>
    <w:lvl w:ilvl="0">
      <w:lvlJc w:val="left"/>
      <w:lvlText w:val="%1."/>
      <w:numFmt w:val="upperLetter"/>
      <w:start w:val="2"/>
    </w:lvl>
  </w:abstractNum>
  <w:abstractNum w:abstractNumId="27">
    <w:nsid w:val="5C482A97"/>
    <w:multiLevelType w:val="hybridMultilevel"/>
    <w:lvl w:ilvl="0">
      <w:lvlJc w:val="left"/>
      <w:lvlText w:val="%1."/>
      <w:numFmt w:val="upperLetter"/>
      <w:start w:val="2"/>
    </w:lvl>
  </w:abstractNum>
  <w:abstractNum w:abstractNumId="28">
    <w:nsid w:val="2463B9EA"/>
    <w:multiLevelType w:val="hybridMultilevel"/>
    <w:lvl w:ilvl="0">
      <w:lvlJc w:val="left"/>
      <w:lvlText w:val="%1."/>
      <w:numFmt w:val="upperLetter"/>
      <w:start w:val="2"/>
    </w:lvl>
  </w:abstractNum>
  <w:abstractNum w:abstractNumId="29">
    <w:nsid w:val="5E884ADC"/>
    <w:multiLevelType w:val="hybridMultilevel"/>
    <w:lvl w:ilvl="0">
      <w:lvlJc w:val="left"/>
      <w:lvlText w:val="%1."/>
      <w:numFmt w:val="upperLetter"/>
      <w:start w:val="1"/>
    </w:lvl>
    <w:lvl w:ilvl="1">
      <w:lvlJc w:val="left"/>
      <w:lvlText w:val="(%2)"/>
      <w:numFmt w:val="decimal"/>
      <w:start w:val="1"/>
    </w:lvl>
  </w:abstractNum>
  <w:abstractNum w:abstractNumId="30">
    <w:nsid w:val="51EAD36B"/>
    <w:multiLevelType w:val="hybridMultilevel"/>
    <w:lvl w:ilvl="0">
      <w:lvlJc w:val="left"/>
      <w:lvlText w:val="%1."/>
      <w:numFmt w:val="upperLetter"/>
      <w:start w:val="2"/>
    </w:lvl>
  </w:abstractNum>
  <w:abstractNum w:abstractNumId="31">
    <w:nsid w:val="2D517796"/>
    <w:multiLevelType w:val="hybridMultilevel"/>
    <w:lvl w:ilvl="0">
      <w:lvlJc w:val="left"/>
      <w:lvlText w:val="%1."/>
      <w:numFmt w:val="upperLetter"/>
      <w:start w:val="5"/>
    </w:lvl>
  </w:abstractNum>
  <w:abstractNum w:abstractNumId="32">
    <w:nsid w:val="580BD78F"/>
    <w:multiLevelType w:val="hybridMultilevel"/>
    <w:lvl w:ilvl="0">
      <w:lvlJc w:val="left"/>
      <w:lvlText w:val="%1."/>
      <w:numFmt w:val="upperLetter"/>
      <w:start w:val="1"/>
    </w:lvl>
  </w:abstractNum>
  <w:abstractNum w:abstractNumId="33">
    <w:nsid w:val="153EA438"/>
    <w:multiLevelType w:val="hybridMultilevel"/>
    <w:lvl w:ilvl="0">
      <w:lvlJc w:val="left"/>
      <w:lvlText w:val="%1."/>
      <w:numFmt w:val="upperLetter"/>
      <w:start w:val="2"/>
    </w:lvl>
  </w:abstractNum>
  <w:abstractNum w:abstractNumId="34">
    <w:nsid w:val="3855585C"/>
    <w:multiLevelType w:val="hybridMultilevel"/>
    <w:lvl w:ilvl="0">
      <w:lvlJc w:val="left"/>
      <w:lvlText w:val="%1."/>
      <w:numFmt w:val="upperLetter"/>
      <w:start w:val="2"/>
    </w:lvl>
  </w:abstractNum>
  <w:abstractNum w:abstractNumId="35">
    <w:nsid w:val="70A64E2A"/>
    <w:multiLevelType w:val="hybridMultilevel"/>
    <w:lvl w:ilvl="0">
      <w:lvlJc w:val="left"/>
      <w:lvlText w:val="%1."/>
      <w:numFmt w:val="upperLetter"/>
      <w:start w:val="2"/>
    </w:lvl>
  </w:abstractNum>
  <w:abstractNum w:abstractNumId="36">
    <w:nsid w:val="6A2342EC"/>
    <w:multiLevelType w:val="hybridMultilevel"/>
    <w:lvl w:ilvl="0">
      <w:lvlJc w:val="left"/>
      <w:lvlText w:val="%1."/>
      <w:numFmt w:val="upperLetter"/>
      <w:start w:val="3"/>
    </w:lvl>
  </w:abstractNum>
  <w:abstractNum w:abstractNumId="37">
    <w:nsid w:val="2A487CB0"/>
    <w:multiLevelType w:val="hybridMultilevel"/>
    <w:lvl w:ilvl="0">
      <w:lvlJc w:val="left"/>
      <w:lvlText w:val="%1."/>
      <w:numFmt w:val="upperLetter"/>
      <w:start w:val="2"/>
    </w:lvl>
  </w:abstractNum>
  <w:abstractNum w:abstractNumId="38">
    <w:nsid w:val="1D4ED43B"/>
    <w:multiLevelType w:val="hybridMultilevel"/>
    <w:lvl w:ilvl="0">
      <w:lvlJc w:val="left"/>
      <w:lvlText w:val="%1."/>
      <w:numFmt w:val="upperLetter"/>
      <w:start w:val="3"/>
    </w:lvl>
  </w:abstractNum>
  <w:abstractNum w:abstractNumId="39">
    <w:nsid w:val="725A06FB"/>
    <w:multiLevelType w:val="hybridMultilevel"/>
    <w:lvl w:ilvl="0">
      <w:lvlJc w:val="left"/>
      <w:lvlText w:val="*"/>
      <w:numFmt w:val="bullet"/>
      <w:start w:val="1"/>
    </w:lvl>
  </w:abstractNum>
  <w:abstractNum w:abstractNumId="40">
    <w:nsid w:val="2CD89A32"/>
    <w:multiLevelType w:val="hybridMultilevel"/>
    <w:lvl w:ilvl="0">
      <w:lvlJc w:val="left"/>
      <w:lvlText w:val="%1."/>
      <w:numFmt w:val="upperLetter"/>
      <w:start w:val="1"/>
    </w:lvl>
  </w:abstractNum>
  <w:abstractNum w:abstractNumId="41">
    <w:nsid w:val="57E4CCAF"/>
    <w:multiLevelType w:val="hybridMultilevel"/>
    <w:lvl w:ilvl="0">
      <w:lvlJc w:val="left"/>
      <w:lvlText w:val="%1."/>
      <w:numFmt w:val="upperLetter"/>
      <w:start w:val="3"/>
    </w:lvl>
  </w:abstractNum>
  <w:abstractNum w:abstractNumId="42">
    <w:nsid w:val="7A6D8D3C"/>
    <w:multiLevelType w:val="hybridMultilevel"/>
    <w:lvl w:ilvl="0">
      <w:lvlJc w:val="left"/>
      <w:lvlText w:val="(*)"/>
      <w:numFmt w:val="bullet"/>
      <w:start w:val="1"/>
    </w:lvl>
  </w:abstractNum>
  <w:abstractNum w:abstractNumId="43">
    <w:nsid w:val="4B588F54"/>
    <w:multiLevelType w:val="hybridMultilevel"/>
    <w:lvl w:ilvl="0">
      <w:lvlJc w:val="left"/>
      <w:lvlText w:val="%1."/>
      <w:numFmt w:val="upperLetter"/>
      <w:start w:val="4"/>
    </w:lvl>
  </w:abstractNum>
  <w:abstractNum w:abstractNumId="44">
    <w:nsid w:val="542289EC"/>
    <w:multiLevelType w:val="hybridMultilevel"/>
    <w:lvl w:ilvl="0">
      <w:lvlJc w:val="left"/>
      <w:lvlText w:val="$"/>
      <w:numFmt w:val="bullet"/>
      <w:start w:val="1"/>
    </w:lvl>
  </w:abstractNum>
  <w:abstractNum w:abstractNumId="45">
    <w:nsid w:val="6DE91B18"/>
    <w:multiLevelType w:val="hybridMultilevel"/>
    <w:lvl w:ilvl="0">
      <w:lvlJc w:val="left"/>
      <w:lvlText w:val="$"/>
      <w:numFmt w:val="bullet"/>
      <w:start w:val="1"/>
    </w:lvl>
  </w:abstractNum>
  <w:abstractNum w:abstractNumId="46">
    <w:nsid w:val="38437FDB"/>
    <w:multiLevelType w:val="hybridMultilevel"/>
    <w:lvl w:ilvl="0">
      <w:lvlJc w:val="left"/>
      <w:lvlText w:val="%1."/>
      <w:numFmt w:val="upperLetter"/>
      <w:start w:val="6"/>
    </w:lvl>
  </w:abstractNum>
  <w:abstractNum w:abstractNumId="47">
    <w:nsid w:val="7644A45C"/>
    <w:multiLevelType w:val="hybridMultilevel"/>
    <w:lvl w:ilvl="0">
      <w:lvlJc w:val="left"/>
      <w:lvlText w:val="%1."/>
      <w:numFmt w:val="upperLetter"/>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2021-03-03T15:05:27Z</dcterms:created>
  <dcterms:modified xsi:type="dcterms:W3CDTF">2021-03-03T15:05:27Z</dcterms:modified>
</cp:coreProperties>
</file>