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7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304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620"/>
        <w:spacing w:after="0"/>
        <w:rPr>
          <w:sz w:val="20"/>
          <w:szCs w:val="20"/>
          <w:color w:val="auto"/>
        </w:rPr>
      </w:pPr>
      <w:r>
        <w:rPr>
          <w:rFonts w:ascii="Courier New" w:cs="Courier New" w:eastAsia="Courier New" w:hAnsi="Courier New"/>
          <w:sz w:val="18"/>
          <w:szCs w:val="18"/>
          <w:color w:val="auto"/>
        </w:rPr>
        <w:t>Tower Semiconductor LTD</w:t>
      </w:r>
    </w:p>
    <w:p>
      <w:pPr>
        <w:spacing w:after="0" w:line="201" w:lineRule="exact"/>
        <w:rPr>
          <w:sz w:val="24"/>
          <w:szCs w:val="24"/>
          <w:color w:val="auto"/>
        </w:rPr>
      </w:pPr>
    </w:p>
    <w:p>
      <w:pPr>
        <w:ind w:left="30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3040"/>
        <w:spacing w:after="0"/>
        <w:rPr>
          <w:sz w:val="20"/>
          <w:szCs w:val="20"/>
          <w:color w:val="auto"/>
        </w:rPr>
      </w:pPr>
      <w:r>
        <w:rPr>
          <w:rFonts w:ascii="Courier New" w:cs="Courier New" w:eastAsia="Courier New" w:hAnsi="Courier New"/>
          <w:sz w:val="18"/>
          <w:szCs w:val="18"/>
          <w:color w:val="auto"/>
        </w:rPr>
        <w:t>Ordinary Shares</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60"/>
        <w:spacing w:after="0"/>
        <w:rPr>
          <w:sz w:val="20"/>
          <w:szCs w:val="20"/>
          <w:color w:val="auto"/>
        </w:rPr>
      </w:pPr>
      <w:r>
        <w:rPr>
          <w:rFonts w:ascii="Courier New" w:cs="Courier New" w:eastAsia="Courier New" w:hAnsi="Courier New"/>
          <w:sz w:val="18"/>
          <w:szCs w:val="18"/>
          <w:color w:val="auto"/>
        </w:rPr>
        <w:t>891856908</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October 31, 2000</w:t>
      </w:r>
    </w:p>
    <w:p>
      <w:pPr>
        <w:spacing w:after="0" w:line="201" w:lineRule="exact"/>
        <w:rPr>
          <w:sz w:val="24"/>
          <w:szCs w:val="24"/>
          <w:color w:val="auto"/>
        </w:rPr>
      </w:pPr>
    </w:p>
    <w:p>
      <w:pPr>
        <w:ind w:left="94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ind w:left="200"/>
        <w:spacing w:after="0"/>
        <w:rPr>
          <w:sz w:val="20"/>
          <w:szCs w:val="20"/>
          <w:color w:val="auto"/>
        </w:rPr>
      </w:pPr>
      <w:r>
        <w:rPr>
          <w:rFonts w:ascii="Courier New" w:cs="Courier New" w:eastAsia="Courier New" w:hAnsi="Courier New"/>
          <w:sz w:val="18"/>
          <w:szCs w:val="18"/>
          <w:color w:val="auto"/>
        </w:rPr>
        <w:t>Rule 13d-1(b)</w:t>
      </w:r>
    </w:p>
    <w:p>
      <w:pPr>
        <w:ind w:left="200"/>
        <w:spacing w:after="0" w:line="237" w:lineRule="auto"/>
        <w:rPr>
          <w:sz w:val="20"/>
          <w:szCs w:val="20"/>
          <w:color w:val="auto"/>
        </w:rPr>
      </w:pPr>
      <w:r>
        <w:rPr>
          <w:rFonts w:ascii="Courier New" w:cs="Courier New" w:eastAsia="Courier New" w:hAnsi="Courier New"/>
          <w:sz w:val="18"/>
          <w:szCs w:val="18"/>
          <w:color w:val="auto"/>
        </w:rPr>
        <w:t>Rule 13d-1(c)</w:t>
      </w:r>
    </w:p>
    <w:p>
      <w:pPr>
        <w:ind w:left="200"/>
        <w:spacing w:after="0" w:line="238" w:lineRule="auto"/>
        <w:rPr>
          <w:sz w:val="20"/>
          <w:szCs w:val="20"/>
          <w:color w:val="auto"/>
        </w:rPr>
      </w:pPr>
      <w:r>
        <w:rPr>
          <w:rFonts w:ascii="Courier New" w:cs="Courier New" w:eastAsia="Courier New" w:hAnsi="Courier New"/>
          <w:sz w:val="18"/>
          <w:szCs w:val="18"/>
          <w:color w:val="auto"/>
        </w:rPr>
        <w:t>Rule 13d-1(d)</w:t>
      </w:r>
    </w:p>
    <w:p>
      <w:pPr>
        <w:spacing w:after="0" w:line="200" w:lineRule="exact"/>
        <w:rPr>
          <w:sz w:val="24"/>
          <w:szCs w:val="24"/>
          <w:color w:val="auto"/>
        </w:rPr>
      </w:pPr>
    </w:p>
    <w:p>
      <w:pPr>
        <w:spacing w:after="0" w:line="210"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520" w:hanging="420"/>
        <w:spacing w:after="0"/>
        <w:tabs>
          <w:tab w:leader="none" w:pos="5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20"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Group International, Inc.</w:t>
      </w:r>
    </w:p>
    <w:p>
      <w:pPr>
        <w:sectPr>
          <w:pgSz w:w="11900" w:h="16838" w:orient="portrait"/>
          <w:cols w:equalWidth="0" w:num="1">
            <w:col w:w="9679"/>
          </w:cols>
          <w:pgMar w:left="780" w:top="1440" w:right="1440"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8"/>
          <w:szCs w:val="18"/>
          <w:color w:val="auto"/>
        </w:rPr>
        <w:t>95-4154357</w:t>
      </w:r>
    </w:p>
    <w:p>
      <w:pPr>
        <w:spacing w:after="0" w:line="207" w:lineRule="exact"/>
        <w:rPr>
          <w:sz w:val="20"/>
          <w:szCs w:val="20"/>
          <w:color w:val="auto"/>
        </w:rPr>
      </w:pPr>
    </w:p>
    <w:p>
      <w:pPr>
        <w:ind w:left="520" w:hanging="420"/>
        <w:spacing w:after="0"/>
        <w:tabs>
          <w:tab w:leader="none" w:pos="5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w:t>
      </w:r>
    </w:p>
    <w:p>
      <w:pPr>
        <w:sectPr>
          <w:pgSz w:w="11900" w:h="16838" w:orient="portrait"/>
          <w:cols w:equalWidth="0" w:num="1">
            <w:col w:w="9679"/>
          </w:cols>
          <w:pgMar w:left="780" w:top="136" w:right="1440" w:bottom="1440" w:gutter="0" w:footer="0" w:header="0"/>
        </w:sectPr>
      </w:pPr>
    </w:p>
    <w:p>
      <w:pPr>
        <w:spacing w:after="0" w:line="2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w:t>
      </w:r>
    </w:p>
    <w:p>
      <w:pPr>
        <w:spacing w:after="0" w:line="20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w:t>
      </w:r>
    </w:p>
    <w:p>
      <w:pPr>
        <w:spacing w:after="0" w:line="200" w:lineRule="exact"/>
        <w:rPr>
          <w:sz w:val="20"/>
          <w:szCs w:val="20"/>
          <w:color w:val="auto"/>
        </w:rPr>
      </w:pPr>
    </w:p>
    <w:p>
      <w:pPr>
        <w:sectPr>
          <w:pgSz w:w="11900" w:h="16838" w:orient="portrait"/>
          <w:cols w:equalWidth="0" w:num="2">
            <w:col w:w="6340" w:space="720"/>
            <w:col w:w="2619"/>
          </w:cols>
          <w:pgMar w:left="780" w:top="136" w:right="1440" w:bottom="1440" w:gutter="0" w:footer="0" w:header="0"/>
          <w:type w:val="continuous"/>
        </w:sectPr>
      </w:pPr>
    </w:p>
    <w:p>
      <w:pPr>
        <w:spacing w:after="0" w:line="18" w:lineRule="exact"/>
        <w:rPr>
          <w:sz w:val="20"/>
          <w:szCs w:val="20"/>
          <w:color w:val="auto"/>
        </w:rPr>
      </w:pPr>
    </w:p>
    <w:p>
      <w:pPr>
        <w:ind w:left="520" w:hanging="420"/>
        <w:spacing w:after="0"/>
        <w:tabs>
          <w:tab w:leader="none" w:pos="5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right="5359" w:hanging="420"/>
        <w:spacing w:after="0" w:line="470" w:lineRule="auto"/>
        <w:tabs>
          <w:tab w:leader="none" w:pos="5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14" w:lineRule="exact"/>
        <w:rPr>
          <w:sz w:val="20"/>
          <w:szCs w:val="20"/>
          <w:color w:val="auto"/>
        </w:rPr>
      </w:pPr>
    </w:p>
    <w:p>
      <w:pPr>
        <w:ind w:left="1900" w:right="5999" w:hanging="430"/>
        <w:spacing w:after="0" w:line="470"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1,427,200</w:t>
      </w:r>
    </w:p>
    <w:p>
      <w:pPr>
        <w:spacing w:after="0" w:line="209" w:lineRule="exact"/>
        <w:rPr>
          <w:sz w:val="20"/>
          <w:szCs w:val="20"/>
          <w:color w:val="auto"/>
        </w:rPr>
      </w:pPr>
    </w:p>
    <w:p>
      <w:pPr>
        <w:ind w:left="1900" w:hanging="430"/>
        <w:spacing w:after="0"/>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10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8"/>
          <w:szCs w:val="18"/>
          <w:color w:val="auto"/>
        </w:rPr>
        <w:t>Y OWNED BY</w:t>
      </w:r>
    </w:p>
    <w:p>
      <w:pPr>
        <w:ind w:left="146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0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1,427,200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1900" w:right="5259" w:hanging="430"/>
        <w:spacing w:after="0" w:line="470" w:lineRule="auto"/>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20" w:right="2199" w:hanging="420"/>
        <w:spacing w:after="0" w:line="470" w:lineRule="auto"/>
        <w:tabs>
          <w:tab w:leader="none" w:pos="5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1,427,200 Beneficial ownership disclaimed pursuant to Rule 13d-4</w:t>
      </w:r>
    </w:p>
    <w:p>
      <w:pPr>
        <w:spacing w:after="0" w:line="214" w:lineRule="exact"/>
        <w:rPr>
          <w:sz w:val="20"/>
          <w:szCs w:val="20"/>
          <w:color w:val="auto"/>
        </w:rPr>
      </w:pPr>
    </w:p>
    <w:p>
      <w:pPr>
        <w:ind w:left="520" w:right="1999" w:hanging="420"/>
        <w:spacing w:after="0" w:line="235" w:lineRule="auto"/>
        <w:tabs>
          <w:tab w:leader="none" w:pos="5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20" w:right="4199" w:hanging="420"/>
        <w:spacing w:after="0" w:line="470" w:lineRule="auto"/>
        <w:tabs>
          <w:tab w:leader="none" w:pos="5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10.2%</w:t>
      </w:r>
    </w:p>
    <w:p>
      <w:pPr>
        <w:spacing w:after="0" w:line="214" w:lineRule="exact"/>
        <w:rPr>
          <w:rFonts w:ascii="Courier New" w:cs="Courier New" w:eastAsia="Courier New" w:hAnsi="Courier New"/>
          <w:sz w:val="18"/>
          <w:szCs w:val="18"/>
          <w:color w:val="auto"/>
        </w:rPr>
      </w:pPr>
    </w:p>
    <w:p>
      <w:pPr>
        <w:ind w:left="520" w:right="4619" w:hanging="420"/>
        <w:spacing w:after="0" w:line="470" w:lineRule="auto"/>
        <w:tabs>
          <w:tab w:leader="none" w:pos="5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ectPr>
          <w:pgSz w:w="11900" w:h="16838" w:orient="portrait"/>
          <w:cols w:equalWidth="0" w:num="1">
            <w:col w:w="9679"/>
          </w:cols>
          <w:pgMar w:left="780" w:top="136" w:right="1440" w:bottom="1440" w:gutter="0" w:footer="0" w:header="0"/>
          <w:type w:val="continuous"/>
        </w:sectPr>
      </w:pPr>
    </w:p>
    <w:bookmarkStart w:id="2" w:name="page3"/>
    <w:bookmarkEnd w:id="2"/>
    <w:p>
      <w:pPr>
        <w:spacing w:after="0" w:line="200" w:lineRule="exact"/>
        <w:rPr>
          <w:sz w:val="20"/>
          <w:szCs w:val="20"/>
          <w:color w:val="auto"/>
        </w:rPr>
      </w:pPr>
    </w:p>
    <w:p>
      <w:pPr>
        <w:spacing w:after="0" w:line="293" w:lineRule="exact"/>
        <w:rPr>
          <w:sz w:val="20"/>
          <w:szCs w:val="20"/>
          <w:color w:val="auto"/>
        </w:rPr>
      </w:pPr>
    </w:p>
    <w:p>
      <w:pPr>
        <w:ind w:left="520" w:hanging="420"/>
        <w:spacing w:after="0"/>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20"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International, Inc.</w:t>
      </w:r>
    </w:p>
    <w:p>
      <w:pPr>
        <w:spacing w:after="0" w:line="1" w:lineRule="exact"/>
        <w:rPr>
          <w:rFonts w:ascii="Courier New" w:cs="Courier New" w:eastAsia="Courier New" w:hAnsi="Courier New"/>
          <w:sz w:val="18"/>
          <w:szCs w:val="18"/>
          <w:color w:val="auto"/>
        </w:rPr>
      </w:pP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95-4154361</w:t>
      </w:r>
    </w:p>
    <w:p>
      <w:pPr>
        <w:spacing w:after="0" w:line="202" w:lineRule="exact"/>
        <w:rPr>
          <w:sz w:val="20"/>
          <w:szCs w:val="20"/>
          <w:color w:val="auto"/>
        </w:rPr>
      </w:pPr>
    </w:p>
    <w:p>
      <w:pPr>
        <w:ind w:left="520" w:hanging="420"/>
        <w:spacing w:after="0"/>
        <w:tabs>
          <w:tab w:leader="none" w:pos="5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2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0"/>
          <w:szCs w:val="20"/>
          <w:color w:val="auto"/>
        </w:rPr>
      </w:pPr>
    </w:p>
    <w:p>
      <w:pPr>
        <w:ind w:left="716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20" w:hanging="420"/>
        <w:spacing w:after="0"/>
        <w:tabs>
          <w:tab w:leader="none" w:pos="5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right="5359" w:hanging="420"/>
        <w:spacing w:after="0" w:line="470" w:lineRule="auto"/>
        <w:tabs>
          <w:tab w:leader="none" w:pos="5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14" w:lineRule="exact"/>
        <w:rPr>
          <w:sz w:val="20"/>
          <w:szCs w:val="20"/>
          <w:color w:val="auto"/>
        </w:rPr>
      </w:pPr>
    </w:p>
    <w:p>
      <w:pPr>
        <w:ind w:left="1900" w:right="5999" w:hanging="430"/>
        <w:spacing w:after="0" w:line="470" w:lineRule="auto"/>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230,300</w:t>
      </w:r>
    </w:p>
    <w:p>
      <w:pPr>
        <w:spacing w:after="0" w:line="209" w:lineRule="exact"/>
        <w:rPr>
          <w:sz w:val="20"/>
          <w:szCs w:val="20"/>
          <w:color w:val="auto"/>
        </w:rPr>
      </w:pPr>
    </w:p>
    <w:p>
      <w:pPr>
        <w:ind w:left="1900" w:hanging="430"/>
        <w:spacing w:after="0"/>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10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8"/>
          <w:szCs w:val="18"/>
          <w:color w:val="auto"/>
        </w:rPr>
        <w:t>Y OWNED BY</w:t>
      </w:r>
    </w:p>
    <w:p>
      <w:pPr>
        <w:ind w:left="146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0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1,416,200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1900" w:right="5259" w:hanging="430"/>
        <w:spacing w:after="0" w:line="470" w:lineRule="auto"/>
        <w:tabs>
          <w:tab w:leader="none" w:pos="19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20" w:right="2199" w:hanging="420"/>
        <w:spacing w:after="0" w:line="470" w:lineRule="auto"/>
        <w:tabs>
          <w:tab w:leader="none" w:pos="5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1,416,200 Beneficial ownership disclaimed pursuant to Rule 13d-4</w:t>
      </w:r>
    </w:p>
    <w:p>
      <w:pPr>
        <w:spacing w:after="0" w:line="214" w:lineRule="exact"/>
        <w:rPr>
          <w:sz w:val="20"/>
          <w:szCs w:val="20"/>
          <w:color w:val="auto"/>
        </w:rPr>
      </w:pPr>
    </w:p>
    <w:p>
      <w:pPr>
        <w:ind w:left="520" w:right="1999" w:hanging="420"/>
        <w:spacing w:after="0" w:line="235" w:lineRule="auto"/>
        <w:tabs>
          <w:tab w:leader="none" w:pos="5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20" w:right="4199" w:hanging="420"/>
        <w:spacing w:after="0" w:line="470" w:lineRule="auto"/>
        <w:tabs>
          <w:tab w:leader="none" w:pos="5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10.1%</w:t>
      </w:r>
    </w:p>
    <w:p>
      <w:pPr>
        <w:spacing w:after="0" w:line="214" w:lineRule="exact"/>
        <w:rPr>
          <w:rFonts w:ascii="Courier New" w:cs="Courier New" w:eastAsia="Courier New" w:hAnsi="Courier New"/>
          <w:sz w:val="18"/>
          <w:szCs w:val="18"/>
          <w:color w:val="auto"/>
        </w:rPr>
      </w:pPr>
    </w:p>
    <w:p>
      <w:pPr>
        <w:ind w:left="520" w:right="4619" w:hanging="420"/>
        <w:spacing w:after="0" w:line="470" w:lineRule="auto"/>
        <w:tabs>
          <w:tab w:leader="none" w:pos="5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891856908</w:t>
      </w:r>
      <w:r>
        <w:rPr>
          <w:sz w:val="20"/>
          <w:szCs w:val="20"/>
          <w:color w:val="auto"/>
        </w:rPr>
        <w:tab/>
      </w:r>
      <w:r>
        <w:rPr>
          <w:rFonts w:ascii="Courier New" w:cs="Courier New" w:eastAsia="Courier New" w:hAnsi="Courier New"/>
          <w:sz w:val="16"/>
          <w:szCs w:val="16"/>
          <w:color w:val="auto"/>
        </w:rPr>
        <w:t>Page 3 of 9</w:t>
      </w:r>
    </w:p>
    <w:p>
      <w:pPr>
        <w:sectPr>
          <w:pgSz w:w="11900" w:h="16838" w:orient="portrait"/>
          <w:cols w:equalWidth="0" w:num="1">
            <w:col w:w="9679"/>
          </w:cols>
          <w:pgMar w:left="780" w:top="1440" w:right="1440" w:bottom="970" w:gutter="0" w:footer="0" w:header="0"/>
        </w:sectPr>
      </w:pPr>
    </w:p>
    <w:bookmarkStart w:id="3" w:name="page4"/>
    <w:bookmarkEnd w:id="3"/>
    <w:p>
      <w:pPr>
        <w:ind w:left="520" w:hanging="420"/>
        <w:spacing w:after="0"/>
        <w:tabs>
          <w:tab w:leader="none" w:pos="5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20"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Emerging Markets Growth Fund, Inc.</w:t>
      </w:r>
    </w:p>
    <w:p>
      <w:pPr>
        <w:spacing w:after="0" w:line="1" w:lineRule="exact"/>
        <w:rPr>
          <w:rFonts w:ascii="Courier New" w:cs="Courier New" w:eastAsia="Courier New" w:hAnsi="Courier New"/>
          <w:sz w:val="18"/>
          <w:szCs w:val="18"/>
          <w:color w:val="auto"/>
        </w:rPr>
      </w:pP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95-4026510</w:t>
      </w:r>
    </w:p>
    <w:p>
      <w:pPr>
        <w:spacing w:after="0" w:line="202" w:lineRule="exact"/>
        <w:rPr>
          <w:sz w:val="20"/>
          <w:szCs w:val="20"/>
          <w:color w:val="auto"/>
        </w:rPr>
      </w:pPr>
    </w:p>
    <w:p>
      <w:pPr>
        <w:ind w:left="520" w:hanging="420"/>
        <w:spacing w:after="0"/>
        <w:tabs>
          <w:tab w:leader="none" w:pos="5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2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0"/>
          <w:szCs w:val="20"/>
          <w:color w:val="auto"/>
        </w:rPr>
      </w:pPr>
    </w:p>
    <w:p>
      <w:pPr>
        <w:ind w:left="716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20" w:hanging="420"/>
        <w:spacing w:after="0"/>
        <w:tabs>
          <w:tab w:leader="none" w:pos="5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right="5359" w:hanging="420"/>
        <w:spacing w:after="0" w:line="470" w:lineRule="auto"/>
        <w:tabs>
          <w:tab w:leader="none" w:pos="5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14" w:lineRule="exact"/>
        <w:rPr>
          <w:sz w:val="20"/>
          <w:szCs w:val="20"/>
          <w:color w:val="auto"/>
        </w:rPr>
      </w:pPr>
    </w:p>
    <w:p>
      <w:pPr>
        <w:ind w:left="1900" w:right="5999" w:hanging="430"/>
        <w:spacing w:after="0" w:line="470" w:lineRule="auto"/>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1,185,900</w:t>
      </w:r>
    </w:p>
    <w:p>
      <w:pPr>
        <w:spacing w:after="0" w:line="209" w:lineRule="exact"/>
        <w:rPr>
          <w:sz w:val="20"/>
          <w:szCs w:val="20"/>
          <w:color w:val="auto"/>
        </w:rPr>
      </w:pPr>
    </w:p>
    <w:p>
      <w:pPr>
        <w:ind w:left="1900" w:hanging="430"/>
        <w:spacing w:after="0"/>
        <w:tabs>
          <w:tab w:leader="none" w:pos="19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10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8"/>
          <w:szCs w:val="18"/>
          <w:color w:val="auto"/>
        </w:rPr>
        <w:t>Y OWNED BY</w:t>
      </w:r>
    </w:p>
    <w:p>
      <w:pPr>
        <w:ind w:left="146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0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NONE</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1900" w:right="5259" w:hanging="430"/>
        <w:spacing w:after="0" w:line="470" w:lineRule="auto"/>
        <w:tabs>
          <w:tab w:leader="none" w:pos="19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20" w:right="2839" w:hanging="420"/>
        <w:spacing w:after="0" w:line="470" w:lineRule="auto"/>
        <w:tabs>
          <w:tab w:leader="none" w:pos="5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1,185,900</w:t>
      </w:r>
    </w:p>
    <w:p>
      <w:pPr>
        <w:spacing w:after="0" w:line="214" w:lineRule="exact"/>
        <w:rPr>
          <w:sz w:val="20"/>
          <w:szCs w:val="20"/>
          <w:color w:val="auto"/>
        </w:rPr>
      </w:pPr>
    </w:p>
    <w:p>
      <w:pPr>
        <w:ind w:left="520" w:right="1999" w:hanging="420"/>
        <w:spacing w:after="0" w:line="235" w:lineRule="auto"/>
        <w:tabs>
          <w:tab w:leader="none" w:pos="5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20" w:right="4199" w:hanging="420"/>
        <w:spacing w:after="0" w:line="470" w:lineRule="auto"/>
        <w:tabs>
          <w:tab w:leader="none" w:pos="5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8.5%</w:t>
      </w:r>
    </w:p>
    <w:p>
      <w:pPr>
        <w:spacing w:after="0" w:line="214" w:lineRule="exact"/>
        <w:rPr>
          <w:rFonts w:ascii="Courier New" w:cs="Courier New" w:eastAsia="Courier New" w:hAnsi="Courier New"/>
          <w:sz w:val="18"/>
          <w:szCs w:val="18"/>
          <w:color w:val="auto"/>
        </w:rPr>
      </w:pPr>
    </w:p>
    <w:p>
      <w:pPr>
        <w:ind w:left="520" w:right="4619" w:hanging="420"/>
        <w:spacing w:after="0" w:line="470" w:lineRule="auto"/>
        <w:tabs>
          <w:tab w:leader="none" w:pos="5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IV</w:t>
      </w:r>
    </w:p>
    <w:p>
      <w:pPr>
        <w:sectPr>
          <w:pgSz w:w="11900" w:h="16838" w:orient="portrait"/>
          <w:cols w:equalWidth="0" w:num="1">
            <w:col w:w="9679"/>
          </w:cols>
          <w:pgMar w:left="780" w:top="339" w:right="1440" w:bottom="1440" w:gutter="0" w:footer="0" w:header="0"/>
        </w:sectPr>
      </w:pPr>
    </w:p>
    <w:bookmarkStart w:id="4" w:name="page5"/>
    <w:bookmarkEnd w:id="4"/>
    <w:p>
      <w:pPr>
        <w:jc w:val="center"/>
        <w:ind w:right="18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Schedule 13G</w:t>
      </w:r>
    </w:p>
    <w:p>
      <w:pPr>
        <w:jc w:val="center"/>
        <w:ind w:right="179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Tower Semiconductor LTD</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P.O. Box 619</w:t>
      </w:r>
    </w:p>
    <w:p>
      <w:pPr>
        <w:ind w:left="740"/>
        <w:spacing w:after="0"/>
        <w:tabs>
          <w:tab w:leader="none" w:pos="3140" w:val="left"/>
        </w:tabs>
        <w:rPr>
          <w:sz w:val="20"/>
          <w:szCs w:val="20"/>
          <w:color w:val="auto"/>
        </w:rPr>
      </w:pPr>
      <w:r>
        <w:rPr>
          <w:rFonts w:ascii="Courier New" w:cs="Courier New" w:eastAsia="Courier New" w:hAnsi="Courier New"/>
          <w:sz w:val="18"/>
          <w:szCs w:val="18"/>
          <w:color w:val="auto"/>
        </w:rPr>
        <w:t>Migdal Haemek, Israel</w:t>
      </w:r>
      <w:r>
        <w:rPr>
          <w:sz w:val="20"/>
          <w:szCs w:val="20"/>
          <w:color w:val="auto"/>
        </w:rPr>
        <w:tab/>
      </w:r>
      <w:r>
        <w:rPr>
          <w:rFonts w:ascii="Courier New" w:cs="Courier New" w:eastAsia="Courier New" w:hAnsi="Courier New"/>
          <w:sz w:val="16"/>
          <w:szCs w:val="16"/>
          <w:color w:val="auto"/>
        </w:rPr>
        <w:t>23105</w:t>
      </w:r>
    </w:p>
    <w:p>
      <w:pPr>
        <w:spacing w:after="0" w:line="200"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4" w:lineRule="exact"/>
        <w:rPr>
          <w:sz w:val="20"/>
          <w:szCs w:val="20"/>
          <w:color w:val="auto"/>
        </w:rPr>
      </w:pPr>
    </w:p>
    <w:p>
      <w:pPr>
        <w:ind w:left="740" w:right="1999"/>
        <w:spacing w:after="0" w:line="235" w:lineRule="auto"/>
        <w:rPr>
          <w:sz w:val="20"/>
          <w:szCs w:val="20"/>
          <w:color w:val="auto"/>
        </w:rPr>
      </w:pPr>
      <w:r>
        <w:rPr>
          <w:rFonts w:ascii="Courier New" w:cs="Courier New" w:eastAsia="Courier New" w:hAnsi="Courier New"/>
          <w:sz w:val="18"/>
          <w:szCs w:val="18"/>
          <w:color w:val="auto"/>
        </w:rPr>
        <w:t>Capital Group International, Inc., Capital International, Inc. and Emerging Markets Growth Fund, Inc.</w:t>
      </w:r>
    </w:p>
    <w:p>
      <w:pPr>
        <w:spacing w:after="0" w:line="203"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ind w:left="740"/>
        <w:spacing w:after="0" w:line="238" w:lineRule="auto"/>
        <w:rPr>
          <w:sz w:val="20"/>
          <w:szCs w:val="20"/>
          <w:color w:val="auto"/>
        </w:rPr>
      </w:pPr>
      <w:r>
        <w:rPr>
          <w:rFonts w:ascii="Courier New" w:cs="Courier New" w:eastAsia="Courier New" w:hAnsi="Courier New"/>
          <w:sz w:val="18"/>
          <w:szCs w:val="18"/>
          <w:color w:val="auto"/>
        </w:rPr>
        <w:t>11100 Santa Monica Blvd.</w:t>
      </w:r>
    </w:p>
    <w:p>
      <w:pPr>
        <w:ind w:left="740"/>
        <w:spacing w:after="0"/>
        <w:tabs>
          <w:tab w:leader="none" w:pos="250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90025</w:t>
      </w:r>
    </w:p>
    <w:p>
      <w:pPr>
        <w:spacing w:after="0" w:line="200" w:lineRule="exact"/>
        <w:rPr>
          <w:sz w:val="20"/>
          <w:szCs w:val="20"/>
          <w:color w:val="auto"/>
        </w:rPr>
      </w:pPr>
    </w:p>
    <w:p>
      <w:pPr>
        <w:spacing w:after="0"/>
        <w:tabs>
          <w:tab w:leader="none" w:pos="1240" w:val="left"/>
          <w:tab w:leader="none" w:pos="282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Ordinary Shares</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No.:</w:t>
      </w:r>
    </w:p>
    <w:p>
      <w:pPr>
        <w:ind w:left="740"/>
        <w:spacing w:after="0" w:line="238" w:lineRule="auto"/>
        <w:rPr>
          <w:sz w:val="20"/>
          <w:szCs w:val="20"/>
          <w:color w:val="auto"/>
        </w:rPr>
      </w:pPr>
      <w:r>
        <w:rPr>
          <w:rFonts w:ascii="Courier New" w:cs="Courier New" w:eastAsia="Courier New" w:hAnsi="Courier New"/>
          <w:sz w:val="18"/>
          <w:szCs w:val="18"/>
          <w:color w:val="auto"/>
        </w:rPr>
        <w:t>891856908</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740"/>
        <w:spacing w:after="0" w:line="238" w:lineRule="auto"/>
        <w:rPr>
          <w:sz w:val="20"/>
          <w:szCs w:val="20"/>
          <w:color w:val="auto"/>
        </w:rPr>
      </w:pPr>
      <w:r>
        <w:rPr>
          <w:rFonts w:ascii="Courier New" w:cs="Courier New" w:eastAsia="Courier New" w:hAnsi="Courier New"/>
          <w:sz w:val="18"/>
          <w:szCs w:val="18"/>
          <w:color w:val="auto"/>
        </w:rPr>
        <w:t>240.13d-2(b) or (c), check whether the person filings is a:</w:t>
      </w:r>
    </w:p>
    <w:p>
      <w:pPr>
        <w:spacing w:after="0" w:line="5" w:lineRule="exact"/>
        <w:rPr>
          <w:sz w:val="20"/>
          <w:szCs w:val="20"/>
          <w:color w:val="auto"/>
        </w:rPr>
      </w:pPr>
    </w:p>
    <w:p>
      <w:pPr>
        <w:ind w:left="1260" w:right="2199" w:hanging="528"/>
        <w:spacing w:after="0" w:line="235" w:lineRule="auto"/>
        <w:tabs>
          <w:tab w:leader="none" w:pos="136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Company registered under section 8 of the Investment Company Act of 1940 (15 U.S.C. 80a-8).</w:t>
      </w:r>
    </w:p>
    <w:p>
      <w:pPr>
        <w:spacing w:after="0" w:line="5" w:lineRule="exact"/>
        <w:rPr>
          <w:rFonts w:ascii="Courier New" w:cs="Courier New" w:eastAsia="Courier New" w:hAnsi="Courier New"/>
          <w:sz w:val="18"/>
          <w:szCs w:val="18"/>
          <w:color w:val="auto"/>
        </w:rPr>
      </w:pPr>
    </w:p>
    <w:p>
      <w:pPr>
        <w:ind w:left="1260" w:right="2519" w:hanging="528"/>
        <w:spacing w:after="0" w:line="235" w:lineRule="auto"/>
        <w:tabs>
          <w:tab w:leader="none" w:pos="147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6" w:lineRule="exact"/>
        <w:rPr>
          <w:sz w:val="20"/>
          <w:szCs w:val="20"/>
          <w:color w:val="auto"/>
        </w:rPr>
      </w:pPr>
    </w:p>
    <w:p>
      <w:pPr>
        <w:ind w:left="1260" w:right="2939" w:hanging="528"/>
        <w:spacing w:after="0" w:line="235" w:lineRule="auto"/>
        <w:tabs>
          <w:tab w:leader="none" w:pos="136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199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 to 4</w:t>
      </w:r>
    </w:p>
    <w:p>
      <w:pPr>
        <w:spacing w:after="0" w:line="201" w:lineRule="exact"/>
        <w:rPr>
          <w:sz w:val="20"/>
          <w:szCs w:val="20"/>
          <w:color w:val="auto"/>
        </w:rPr>
      </w:pPr>
    </w:p>
    <w:p>
      <w:pPr>
        <w:ind w:left="1460" w:hanging="728"/>
        <w:spacing w:after="0"/>
        <w:tabs>
          <w:tab w:leader="none" w:pos="14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60" w:hanging="728"/>
        <w:spacing w:after="0" w:line="238" w:lineRule="auto"/>
        <w:tabs>
          <w:tab w:leader="none" w:pos="14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60" w:hanging="728"/>
        <w:spacing w:after="0" w:line="238" w:lineRule="auto"/>
        <w:tabs>
          <w:tab w:leader="none" w:pos="14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60" w:hanging="728"/>
        <w:spacing w:after="0"/>
        <w:tabs>
          <w:tab w:leader="none" w:pos="14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60" w:hanging="728"/>
        <w:spacing w:after="0" w:line="238" w:lineRule="auto"/>
        <w:tabs>
          <w:tab w:leader="none" w:pos="14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60" w:hanging="728"/>
        <w:spacing w:after="0" w:line="238" w:lineRule="auto"/>
        <w:tabs>
          <w:tab w:leader="none" w:pos="14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60" w:hanging="728"/>
        <w:spacing w:after="0" w:line="238" w:lineRule="auto"/>
        <w:tabs>
          <w:tab w:leader="none" w:pos="14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ectPr>
          <w:pgSz w:w="11900" w:h="16838" w:orient="portrait"/>
          <w:cols w:equalWidth="0" w:num="1">
            <w:col w:w="9679"/>
          </w:cols>
          <w:pgMar w:left="780" w:top="919" w:right="1440" w:bottom="1440" w:gutter="0" w:footer="0" w:header="0"/>
        </w:sectPr>
      </w:pPr>
    </w:p>
    <w:bookmarkStart w:id="5" w:name="page6"/>
    <w:bookmarkEnd w:id="5"/>
    <w:p>
      <w:pPr>
        <w:spacing w:after="0" w:line="200" w:lineRule="exact"/>
        <w:rPr>
          <w:sz w:val="20"/>
          <w:szCs w:val="20"/>
          <w:color w:val="auto"/>
        </w:rPr>
      </w:pPr>
    </w:p>
    <w:p>
      <w:pPr>
        <w:spacing w:after="0" w:line="299" w:lineRule="exact"/>
        <w:rPr>
          <w:sz w:val="20"/>
          <w:szCs w:val="20"/>
          <w:color w:val="auto"/>
        </w:rPr>
      </w:pPr>
    </w:p>
    <w:p>
      <w:pPr>
        <w:ind w:left="740" w:right="1879"/>
        <w:spacing w:after="0" w:line="270" w:lineRule="auto"/>
        <w:rPr>
          <w:sz w:val="20"/>
          <w:szCs w:val="20"/>
          <w:color w:val="auto"/>
        </w:rPr>
      </w:pPr>
      <w:r>
        <w:rPr>
          <w:rFonts w:ascii="Courier New" w:cs="Courier New" w:eastAsia="Courier New" w:hAnsi="Courier New"/>
          <w:sz w:val="16"/>
          <w:szCs w:val="16"/>
          <w:color w:val="auto"/>
        </w:rPr>
        <w:t>Capital Group International, Inc.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Capital Group International, Inc. does not have investment power or voting power over any of the securities reported herein; however, Capital Group International, Inc. may be deemed to "beneficially own" such securities by virtue of Rule 13d-3 under the Act.</w:t>
      </w:r>
    </w:p>
    <w:p>
      <w:pPr>
        <w:spacing w:after="0" w:line="388"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Capital International, Inc., an investment adviser registered under Section 203 of the Investment Advisers Act of 1940 is deemed to be the beneficial owner of 1,416,200 shares or 10.1% of the 11,964,000 shares of Ordinary Shares believed to be outstanding as a result of acting as investment adviser to various investment companies and institutional accounts.</w:t>
      </w:r>
    </w:p>
    <w:p>
      <w:pPr>
        <w:spacing w:after="0" w:line="210" w:lineRule="exact"/>
        <w:rPr>
          <w:sz w:val="20"/>
          <w:szCs w:val="20"/>
          <w:color w:val="auto"/>
        </w:rPr>
      </w:pPr>
    </w:p>
    <w:p>
      <w:pPr>
        <w:ind w:left="740" w:right="1999"/>
        <w:spacing w:after="0" w:line="237" w:lineRule="auto"/>
        <w:rPr>
          <w:sz w:val="20"/>
          <w:szCs w:val="20"/>
          <w:color w:val="auto"/>
        </w:rPr>
      </w:pPr>
      <w:r>
        <w:rPr>
          <w:rFonts w:ascii="Courier New" w:cs="Courier New" w:eastAsia="Courier New" w:hAnsi="Courier New"/>
          <w:sz w:val="18"/>
          <w:szCs w:val="18"/>
          <w:color w:val="auto"/>
        </w:rPr>
        <w:t>Emerging Markets Growth Fund, Inc. , an investment company registered under the Investment Company Act of 1940, which is advised by Capital International, Inc., is the beneficial owner of 1,185,900 shares or 8.5% of the 11,964,000 shares of Ordinary Shares believed to be outstanding.</w:t>
      </w:r>
    </w:p>
    <w:p>
      <w:pPr>
        <w:spacing w:after="0" w:line="209" w:lineRule="exact"/>
        <w:rPr>
          <w:sz w:val="20"/>
          <w:szCs w:val="20"/>
          <w:color w:val="auto"/>
        </w:rPr>
      </w:pPr>
    </w:p>
    <w:p>
      <w:pPr>
        <w:ind w:left="740" w:right="1879" w:hanging="736"/>
        <w:spacing w:after="0" w:line="275" w:lineRule="auto"/>
        <w:tabs>
          <w:tab w:leader="none" w:pos="7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17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17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1040" w:right="1999"/>
        <w:spacing w:after="0" w:line="275" w:lineRule="auto"/>
        <w:rPr>
          <w:sz w:val="20"/>
          <w:szCs w:val="20"/>
          <w:color w:val="auto"/>
        </w:rPr>
      </w:pPr>
      <w:r>
        <w:rPr>
          <w:rFonts w:ascii="Courier New" w:cs="Courier New" w:eastAsia="Courier New" w:hAnsi="Courier New"/>
          <w:sz w:val="16"/>
          <w:szCs w:val="16"/>
          <w:color w:val="auto"/>
        </w:rPr>
        <w:t>Capital International Research and Management, Inc. dba Capital International, Inc. is an investment adviser registered under Section 203 of the Investment Advisers Act of 1940 and is a wholly owned subsidiary of Capital Group International, Inc.</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left="1040" w:right="1779"/>
        <w:spacing w:after="0" w:line="237" w:lineRule="auto"/>
        <w:rPr>
          <w:sz w:val="20"/>
          <w:szCs w:val="20"/>
          <w:color w:val="auto"/>
        </w:rPr>
      </w:pPr>
      <w:r>
        <w:rPr>
          <w:rFonts w:ascii="Courier New" w:cs="Courier New" w:eastAsia="Courier New" w:hAnsi="Courier New"/>
          <w:sz w:val="18"/>
          <w:szCs w:val="18"/>
          <w:color w:val="auto"/>
        </w:rPr>
        <w:t>Capital International Limited (CIL)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CIL is a wholly owned subsidiary of Capital Group International,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891856908</w:t>
      </w:r>
      <w:r>
        <w:rPr>
          <w:sz w:val="20"/>
          <w:szCs w:val="20"/>
          <w:color w:val="auto"/>
        </w:rPr>
        <w:tab/>
      </w:r>
      <w:r>
        <w:rPr>
          <w:rFonts w:ascii="Courier New" w:cs="Courier New" w:eastAsia="Courier New" w:hAnsi="Courier New"/>
          <w:sz w:val="16"/>
          <w:szCs w:val="16"/>
          <w:color w:val="auto"/>
        </w:rPr>
        <w:t>Page 6 of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1040" w:right="2419"/>
        <w:spacing w:after="0" w:line="279" w:lineRule="auto"/>
        <w:rPr>
          <w:sz w:val="20"/>
          <w:szCs w:val="20"/>
          <w:color w:val="auto"/>
        </w:rPr>
      </w:pPr>
      <w:r>
        <w:rPr>
          <w:rFonts w:ascii="Courier New" w:cs="Courier New" w:eastAsia="Courier New" w:hAnsi="Courier New"/>
          <w:sz w:val="16"/>
          <w:szCs w:val="16"/>
          <w:color w:val="auto"/>
        </w:rPr>
        <w:t>Capital International, Inc. serves as investment adviser to Emerging Markets Growth Fund, Inc., an investment company registered under the Investment Company Act of 1940.</w:t>
      </w:r>
    </w:p>
    <w:p>
      <w:pPr>
        <w:sectPr>
          <w:pgSz w:w="11900" w:h="16838" w:orient="portrait"/>
          <w:cols w:equalWidth="0" w:num="1">
            <w:col w:w="9679"/>
          </w:cols>
          <w:pgMar w:left="780" w:top="1440" w:right="1440" w:bottom="0" w:gutter="0" w:footer="0" w:header="0"/>
        </w:sectPr>
      </w:pPr>
    </w:p>
    <w:bookmarkStart w:id="6" w:name="page7"/>
    <w:bookmarkEnd w:id="6"/>
    <w:p>
      <w:pPr>
        <w:spacing w:after="0"/>
        <w:tabs>
          <w:tab w:leader="none" w:pos="920" w:val="left"/>
          <w:tab w:leader="none" w:pos="72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20" w:val="left"/>
          <w:tab w:leader="none" w:pos="440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November 9, 2000</w:t>
      </w:r>
    </w:p>
    <w:p>
      <w:pPr>
        <w:spacing w:after="0" w:line="200" w:lineRule="exact"/>
        <w:rPr>
          <w:sz w:val="20"/>
          <w:szCs w:val="20"/>
          <w:color w:val="auto"/>
        </w:rPr>
      </w:pPr>
    </w:p>
    <w:p>
      <w:pPr>
        <w:spacing w:after="0" w:line="204"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Chairman</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Capital Group International, Inc.</w:t>
      </w:r>
    </w:p>
    <w:p>
      <w:pPr>
        <w:spacing w:after="0" w:line="200" w:lineRule="exact"/>
        <w:rPr>
          <w:sz w:val="20"/>
          <w:szCs w:val="20"/>
          <w:color w:val="auto"/>
        </w:rPr>
      </w:pPr>
    </w:p>
    <w:p>
      <w:pPr>
        <w:spacing w:after="0" w:line="204"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November 9, 2000</w:t>
      </w:r>
    </w:p>
    <w:p>
      <w:pPr>
        <w:spacing w:after="0" w:line="200" w:lineRule="exact"/>
        <w:rPr>
          <w:sz w:val="20"/>
          <w:szCs w:val="20"/>
          <w:color w:val="auto"/>
        </w:rPr>
      </w:pPr>
    </w:p>
    <w:p>
      <w:pPr>
        <w:spacing w:after="0" w:line="204"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Vice Chairman</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Capital International, Inc.</w:t>
      </w:r>
    </w:p>
    <w:p>
      <w:pPr>
        <w:spacing w:after="0" w:line="200" w:lineRule="exact"/>
        <w:rPr>
          <w:sz w:val="20"/>
          <w:szCs w:val="20"/>
          <w:color w:val="auto"/>
        </w:rPr>
      </w:pPr>
    </w:p>
    <w:p>
      <w:pPr>
        <w:spacing w:after="0" w:line="204"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November 9, 2000</w:t>
      </w:r>
    </w:p>
    <w:p>
      <w:pPr>
        <w:spacing w:after="0" w:line="200" w:lineRule="exact"/>
        <w:rPr>
          <w:sz w:val="20"/>
          <w:szCs w:val="20"/>
          <w:color w:val="auto"/>
        </w:rPr>
      </w:pPr>
    </w:p>
    <w:p>
      <w:pPr>
        <w:spacing w:after="0" w:line="204"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Vice Chairman</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Emerging Markets Growth Fund,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891856908</w:t>
      </w:r>
      <w:r>
        <w:rPr>
          <w:sz w:val="20"/>
          <w:szCs w:val="20"/>
          <w:color w:val="auto"/>
        </w:rPr>
        <w:tab/>
      </w:r>
      <w:r>
        <w:rPr>
          <w:rFonts w:ascii="Courier New" w:cs="Courier New" w:eastAsia="Courier New" w:hAnsi="Courier New"/>
          <w:sz w:val="16"/>
          <w:szCs w:val="16"/>
          <w:color w:val="auto"/>
        </w:rPr>
        <w:t>Page 7 of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Michael J. Downer</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580" w:right="199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29, 1999 included as an Exhibit to Schedule 13G filed with the Securities and Exchange Commission by Capital Group International, Inc. on February 10, 2000 with respect to Acclaim Entertainment, Inc.</w:t>
      </w:r>
    </w:p>
    <w:p>
      <w:pPr>
        <w:sectPr>
          <w:pgSz w:w="11900" w:h="16838" w:orient="portrait"/>
          <w:cols w:equalWidth="0" w:num="1">
            <w:col w:w="9679"/>
          </w:cols>
          <w:pgMar w:left="780" w:top="136" w:right="1440" w:bottom="337"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891856908</w:t>
      </w:r>
      <w:r>
        <w:rPr>
          <w:sz w:val="20"/>
          <w:szCs w:val="20"/>
          <w:color w:val="auto"/>
        </w:rPr>
        <w:tab/>
      </w:r>
      <w:r>
        <w:rPr>
          <w:rFonts w:ascii="Courier New" w:cs="Courier New" w:eastAsia="Courier New" w:hAnsi="Courier New"/>
          <w:sz w:val="16"/>
          <w:szCs w:val="16"/>
          <w:color w:val="auto"/>
        </w:rPr>
        <w:t>Page 8 of 9</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Los Angeles, CA</w:t>
      </w:r>
    </w:p>
    <w:p>
      <w:pPr>
        <w:ind w:left="3040"/>
        <w:spacing w:after="0" w:line="238" w:lineRule="auto"/>
        <w:rPr>
          <w:sz w:val="20"/>
          <w:szCs w:val="20"/>
          <w:color w:val="auto"/>
        </w:rPr>
      </w:pPr>
      <w:r>
        <w:rPr>
          <w:rFonts w:ascii="Courier New" w:cs="Courier New" w:eastAsia="Courier New" w:hAnsi="Courier New"/>
          <w:sz w:val="18"/>
          <w:szCs w:val="18"/>
          <w:color w:val="auto"/>
        </w:rPr>
        <w:t>November 9, 2000</w:t>
      </w:r>
    </w:p>
    <w:p>
      <w:pPr>
        <w:spacing w:after="0" w:line="200" w:lineRule="exact"/>
        <w:rPr>
          <w:sz w:val="20"/>
          <w:szCs w:val="20"/>
          <w:color w:val="auto"/>
        </w:rPr>
      </w:pPr>
    </w:p>
    <w:p>
      <w:pPr>
        <w:spacing w:after="0" w:line="210"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Capital Group International, Inc. ("CGII"), Capital International, Inc. ("CII"), Emerging Markets Growth Fund, Inc. ("EMGF") hereby agree to file a joint statement on Schedule 13G under the Securities Exchange Act of 1934 (the "Act") in connection with their beneficial ownership of Ordinary Shares issued by Tower Semiconductor LTD.</w:t>
      </w:r>
    </w:p>
    <w:p>
      <w:pPr>
        <w:spacing w:after="0" w:line="209"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CGII, CII, EMGF state that they are each entitled to individually use Schedule 13G pursuant to Rule 13d-1(c) of the Act.</w:t>
      </w:r>
    </w:p>
    <w:p>
      <w:pPr>
        <w:spacing w:after="0" w:line="208"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CGII, CII, EMGF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CAPITAL GROUP INTERNATIONAL, INC.</w:t>
      </w:r>
    </w:p>
    <w:p>
      <w:pPr>
        <w:spacing w:after="0" w:line="201" w:lineRule="exact"/>
        <w:rPr>
          <w:sz w:val="20"/>
          <w:szCs w:val="20"/>
          <w:color w:val="auto"/>
        </w:rPr>
      </w:pPr>
    </w:p>
    <w:p>
      <w:pPr>
        <w:ind w:left="178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David I. Fisher, Chairman</w:t>
      </w:r>
    </w:p>
    <w:p>
      <w:pPr>
        <w:ind w:left="3680"/>
        <w:spacing w:after="0" w:line="238" w:lineRule="auto"/>
        <w:rPr>
          <w:sz w:val="20"/>
          <w:szCs w:val="20"/>
          <w:color w:val="auto"/>
        </w:rPr>
      </w:pPr>
      <w:r>
        <w:rPr>
          <w:rFonts w:ascii="Courier New" w:cs="Courier New" w:eastAsia="Courier New" w:hAnsi="Courier New"/>
          <w:sz w:val="18"/>
          <w:szCs w:val="18"/>
          <w:color w:val="auto"/>
        </w:rPr>
        <w:t>Capital Group International,</w:t>
      </w:r>
    </w:p>
    <w:p>
      <w:pPr>
        <w:ind w:left="368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3"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CAPITAL INTERNATIONAL, INC.</w:t>
      </w:r>
    </w:p>
    <w:p>
      <w:pPr>
        <w:sectPr>
          <w:pgSz w:w="11900" w:h="16838" w:orient="portrait"/>
          <w:cols w:equalWidth="0" w:num="1">
            <w:col w:w="9679"/>
          </w:cols>
          <w:pgMar w:left="780" w:top="1440" w:right="1440" w:bottom="0" w:gutter="0" w:footer="0" w:header="0"/>
        </w:sectPr>
      </w:pPr>
    </w:p>
    <w:bookmarkStart w:id="8" w:name="page9"/>
    <w:bookmarkEnd w:id="8"/>
    <w:p>
      <w:pPr>
        <w:ind w:left="178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David I. Fisher, Vice Chairman</w:t>
      </w:r>
    </w:p>
    <w:p>
      <w:pPr>
        <w:ind w:left="3680"/>
        <w:spacing w:after="0" w:line="238" w:lineRule="auto"/>
        <w:rPr>
          <w:sz w:val="20"/>
          <w:szCs w:val="20"/>
          <w:color w:val="auto"/>
        </w:rPr>
      </w:pPr>
      <w:r>
        <w:rPr>
          <w:rFonts w:ascii="Courier New" w:cs="Courier New" w:eastAsia="Courier New" w:hAnsi="Courier New"/>
          <w:sz w:val="18"/>
          <w:szCs w:val="18"/>
          <w:color w:val="auto"/>
        </w:rPr>
        <w:t>Capital International, Inc.</w:t>
      </w:r>
    </w:p>
    <w:p>
      <w:pPr>
        <w:spacing w:after="0" w:line="200" w:lineRule="exact"/>
        <w:rPr>
          <w:sz w:val="20"/>
          <w:szCs w:val="20"/>
          <w:color w:val="auto"/>
        </w:rPr>
      </w:pPr>
    </w:p>
    <w:p>
      <w:pPr>
        <w:spacing w:after="0" w:line="204"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EMERGING MARKETS GROWTH FUND, INC.</w:t>
      </w:r>
    </w:p>
    <w:p>
      <w:pPr>
        <w:spacing w:after="0" w:line="201" w:lineRule="exact"/>
        <w:rPr>
          <w:sz w:val="20"/>
          <w:szCs w:val="20"/>
          <w:color w:val="auto"/>
        </w:rPr>
      </w:pPr>
    </w:p>
    <w:p>
      <w:pPr>
        <w:ind w:left="178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David I. Fisher, Vice Chairman</w:t>
      </w:r>
    </w:p>
    <w:p>
      <w:pPr>
        <w:ind w:left="3680"/>
        <w:spacing w:after="0" w:line="238" w:lineRule="auto"/>
        <w:rPr>
          <w:sz w:val="20"/>
          <w:szCs w:val="20"/>
          <w:color w:val="auto"/>
        </w:rPr>
      </w:pPr>
      <w:r>
        <w:rPr>
          <w:rFonts w:ascii="Courier New" w:cs="Courier New" w:eastAsia="Courier New" w:hAnsi="Courier New"/>
          <w:sz w:val="18"/>
          <w:szCs w:val="18"/>
          <w:color w:val="auto"/>
        </w:rPr>
        <w:t>Emerging Markets Growth Fund,</w:t>
      </w:r>
    </w:p>
    <w:p>
      <w:pPr>
        <w:ind w:left="368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Michael J. Downer</w:t>
      </w:r>
    </w:p>
    <w:p>
      <w:pPr>
        <w:ind w:left="52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520" w:right="177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29, 1999 included as an Exhibit to Schedule 13G filed with the Securities and Exchange Commission by Capital Group International, Inc. on February 10, 2000 with respect to Acclaim Entertainment, Inc.</w:t>
      </w:r>
    </w:p>
    <w:sectPr>
      <w:pgSz w:w="11900" w:h="16838" w:orient="portrait"/>
      <w:cols w:equalWidth="0" w:num="1">
        <w:col w:w="9679"/>
      </w:cols>
      <w:pgMar w:left="78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bullet"/>
      <w:start w:val="1"/>
    </w:lvl>
  </w:abstractNum>
  <w:abstractNum w:abstractNumId="1">
    <w:nsid w:val="4E6AFB66"/>
    <w:multiLevelType w:val="hybridMultilevel"/>
    <w:lvl w:ilvl="0">
      <w:lvlJc w:val="left"/>
      <w:lvlText w:val="2"/>
      <w:numFmt w:val="bullet"/>
      <w:start w:val="1"/>
    </w:lvl>
  </w:abstractNum>
  <w:abstractNum w:abstractNumId="2">
    <w:nsid w:val="25E45D32"/>
    <w:multiLevelType w:val="hybridMultilevel"/>
    <w:lvl w:ilvl="0">
      <w:lvlJc w:val="left"/>
      <w:lvlText w:val="3"/>
      <w:numFmt w:val="bullet"/>
      <w:start w:val="1"/>
    </w:lvl>
  </w:abstractNum>
  <w:abstractNum w:abstractNumId="3">
    <w:nsid w:val="519B500D"/>
    <w:multiLevelType w:val="hybridMultilevel"/>
    <w:lvl w:ilvl="0">
      <w:lvlJc w:val="left"/>
      <w:lvlText w:val="4"/>
      <w:numFmt w:val="bullet"/>
      <w:start w:val="1"/>
    </w:lvl>
  </w:abstractNum>
  <w:abstractNum w:abstractNumId="4">
    <w:nsid w:val="431BD7B7"/>
    <w:multiLevelType w:val="hybridMultilevel"/>
    <w:lvl w:ilvl="0">
      <w:lvlJc w:val="left"/>
      <w:lvlText w:val="5"/>
      <w:numFmt w:val="bullet"/>
      <w:start w:val="1"/>
    </w:lvl>
  </w:abstractNum>
  <w:abstractNum w:abstractNumId="5">
    <w:nsid w:val="3F2DBA31"/>
    <w:multiLevelType w:val="hybridMultilevel"/>
    <w:lvl w:ilvl="0">
      <w:lvlJc w:val="left"/>
      <w:lvlText w:val="6"/>
      <w:numFmt w:val="bullet"/>
      <w:start w:val="1"/>
    </w:lvl>
  </w:abstractNum>
  <w:abstractNum w:abstractNumId="6">
    <w:nsid w:val="7C83E458"/>
    <w:multiLevelType w:val="hybridMultilevel"/>
    <w:lvl w:ilvl="0">
      <w:lvlJc w:val="left"/>
      <w:lvlText w:val="8"/>
      <w:numFmt w:val="bullet"/>
      <w:start w:val="1"/>
    </w:lvl>
  </w:abstractNum>
  <w:abstractNum w:abstractNumId="7">
    <w:nsid w:val="257130A3"/>
    <w:multiLevelType w:val="hybridMultilevel"/>
    <w:lvl w:ilvl="0">
      <w:lvlJc w:val="left"/>
      <w:lvlText w:val="9"/>
      <w:numFmt w:val="bullet"/>
      <w:start w:val="1"/>
    </w:lvl>
  </w:abstractNum>
  <w:abstractNum w:abstractNumId="8">
    <w:nsid w:val="62BBD95A"/>
    <w:multiLevelType w:val="hybridMultilevel"/>
    <w:lvl w:ilvl="0">
      <w:lvlJc w:val="left"/>
      <w:lvlText w:val="%1"/>
      <w:numFmt w:val="decimal"/>
      <w:start w:val="10"/>
    </w:lvl>
  </w:abstractNum>
  <w:abstractNum w:abstractNumId="9">
    <w:nsid w:val="436C6125"/>
    <w:multiLevelType w:val="hybridMultilevel"/>
    <w:lvl w:ilvl="0">
      <w:lvlJc w:val="left"/>
      <w:lvlText w:val="1"/>
      <w:numFmt w:val="bullet"/>
      <w:start w:val="1"/>
    </w:lvl>
  </w:abstractNum>
  <w:abstractNum w:abstractNumId="10">
    <w:nsid w:val="628C895D"/>
    <w:multiLevelType w:val="hybridMultilevel"/>
    <w:lvl w:ilvl="0">
      <w:lvlJc w:val="left"/>
      <w:lvlText w:val="2"/>
      <w:numFmt w:val="bullet"/>
      <w:start w:val="1"/>
    </w:lvl>
  </w:abstractNum>
  <w:abstractNum w:abstractNumId="11">
    <w:nsid w:val="333AB105"/>
    <w:multiLevelType w:val="hybridMultilevel"/>
    <w:lvl w:ilvl="0">
      <w:lvlJc w:val="left"/>
      <w:lvlText w:val="3"/>
      <w:numFmt w:val="bullet"/>
      <w:start w:val="1"/>
    </w:lvl>
  </w:abstractNum>
  <w:abstractNum w:abstractNumId="12">
    <w:nsid w:val="721DA317"/>
    <w:multiLevelType w:val="hybridMultilevel"/>
    <w:lvl w:ilvl="0">
      <w:lvlJc w:val="left"/>
      <w:lvlText w:val="4"/>
      <w:numFmt w:val="bullet"/>
      <w:start w:val="1"/>
    </w:lvl>
  </w:abstractNum>
  <w:abstractNum w:abstractNumId="13">
    <w:nsid w:val="2443A858"/>
    <w:multiLevelType w:val="hybridMultilevel"/>
    <w:lvl w:ilvl="0">
      <w:lvlJc w:val="left"/>
      <w:lvlText w:val="5"/>
      <w:numFmt w:val="bullet"/>
      <w:start w:val="1"/>
    </w:lvl>
  </w:abstractNum>
  <w:abstractNum w:abstractNumId="14">
    <w:nsid w:val="2D1D5AE9"/>
    <w:multiLevelType w:val="hybridMultilevel"/>
    <w:lvl w:ilvl="0">
      <w:lvlJc w:val="left"/>
      <w:lvlText w:val="6"/>
      <w:numFmt w:val="bullet"/>
      <w:start w:val="1"/>
    </w:lvl>
  </w:abstractNum>
  <w:abstractNum w:abstractNumId="15">
    <w:nsid w:val="6763845E"/>
    <w:multiLevelType w:val="hybridMultilevel"/>
    <w:lvl w:ilvl="0">
      <w:lvlJc w:val="left"/>
      <w:lvlText w:val="8"/>
      <w:numFmt w:val="bullet"/>
      <w:start w:val="1"/>
    </w:lvl>
  </w:abstractNum>
  <w:abstractNum w:abstractNumId="16">
    <w:nsid w:val="75A2A8D4"/>
    <w:multiLevelType w:val="hybridMultilevel"/>
    <w:lvl w:ilvl="0">
      <w:lvlJc w:val="left"/>
      <w:lvlText w:val="9"/>
      <w:numFmt w:val="bullet"/>
      <w:start w:val="1"/>
    </w:lvl>
  </w:abstractNum>
  <w:abstractNum w:abstractNumId="17">
    <w:nsid w:val="8EDBDAB"/>
    <w:multiLevelType w:val="hybridMultilevel"/>
    <w:lvl w:ilvl="0">
      <w:lvlJc w:val="left"/>
      <w:lvlText w:val="%1"/>
      <w:numFmt w:val="decimal"/>
      <w:start w:val="10"/>
    </w:lvl>
  </w:abstractNum>
  <w:abstractNum w:abstractNumId="18">
    <w:nsid w:val="79838CB2"/>
    <w:multiLevelType w:val="hybridMultilevel"/>
    <w:lvl w:ilvl="0">
      <w:lvlJc w:val="left"/>
      <w:lvlText w:val="1"/>
      <w:numFmt w:val="bullet"/>
      <w:start w:val="1"/>
    </w:lvl>
  </w:abstractNum>
  <w:abstractNum w:abstractNumId="19">
    <w:nsid w:val="4353D0CD"/>
    <w:multiLevelType w:val="hybridMultilevel"/>
    <w:lvl w:ilvl="0">
      <w:lvlJc w:val="left"/>
      <w:lvlText w:val="2"/>
      <w:numFmt w:val="bullet"/>
      <w:start w:val="1"/>
    </w:lvl>
  </w:abstractNum>
  <w:abstractNum w:abstractNumId="20">
    <w:nsid w:val="B03E0C6"/>
    <w:multiLevelType w:val="hybridMultilevel"/>
    <w:lvl w:ilvl="0">
      <w:lvlJc w:val="left"/>
      <w:lvlText w:val="3"/>
      <w:numFmt w:val="bullet"/>
      <w:start w:val="1"/>
    </w:lvl>
  </w:abstractNum>
  <w:abstractNum w:abstractNumId="21">
    <w:nsid w:val="189A769B"/>
    <w:multiLevelType w:val="hybridMultilevel"/>
    <w:lvl w:ilvl="0">
      <w:lvlJc w:val="left"/>
      <w:lvlText w:val="4"/>
      <w:numFmt w:val="bullet"/>
      <w:start w:val="1"/>
    </w:lvl>
  </w:abstractNum>
  <w:abstractNum w:abstractNumId="22">
    <w:nsid w:val="54E49EB4"/>
    <w:multiLevelType w:val="hybridMultilevel"/>
    <w:lvl w:ilvl="0">
      <w:lvlJc w:val="left"/>
      <w:lvlText w:val="5"/>
      <w:numFmt w:val="bullet"/>
      <w:start w:val="1"/>
    </w:lvl>
  </w:abstractNum>
  <w:abstractNum w:abstractNumId="23">
    <w:nsid w:val="71F32454"/>
    <w:multiLevelType w:val="hybridMultilevel"/>
    <w:lvl w:ilvl="0">
      <w:lvlJc w:val="left"/>
      <w:lvlText w:val="6"/>
      <w:numFmt w:val="bullet"/>
      <w:start w:val="1"/>
    </w:lvl>
  </w:abstractNum>
  <w:abstractNum w:abstractNumId="24">
    <w:nsid w:val="2CA88611"/>
    <w:multiLevelType w:val="hybridMultilevel"/>
    <w:lvl w:ilvl="0">
      <w:lvlJc w:val="left"/>
      <w:lvlText w:val="8"/>
      <w:numFmt w:val="bullet"/>
      <w:start w:val="1"/>
    </w:lvl>
  </w:abstractNum>
  <w:abstractNum w:abstractNumId="25">
    <w:nsid w:val="836C40E"/>
    <w:multiLevelType w:val="hybridMultilevel"/>
    <w:lvl w:ilvl="0">
      <w:lvlJc w:val="left"/>
      <w:lvlText w:val="9"/>
      <w:numFmt w:val="bullet"/>
      <w:start w:val="1"/>
    </w:lvl>
  </w:abstractNum>
  <w:abstractNum w:abstractNumId="26">
    <w:nsid w:val="2901D82"/>
    <w:multiLevelType w:val="hybridMultilevel"/>
    <w:lvl w:ilvl="0">
      <w:lvlJc w:val="left"/>
      <w:lvlText w:val="%1"/>
      <w:numFmt w:val="decimal"/>
      <w:start w:val="10"/>
    </w:lvl>
  </w:abstractNum>
  <w:abstractNum w:abstractNumId="27">
    <w:nsid w:val="3A95F874"/>
    <w:multiLevelType w:val="hybridMultilevel"/>
    <w:lvl w:ilvl="0">
      <w:lvlJc w:val="left"/>
      <w:lvlText w:val="(%1)"/>
      <w:numFmt w:val="lowerLetter"/>
      <w:start w:val="4"/>
    </w:lvl>
  </w:abstractNum>
  <w:abstractNum w:abstractNumId="28">
    <w:nsid w:val="8138641"/>
    <w:multiLevelType w:val="hybridMultilevel"/>
    <w:lvl w:ilvl="0">
      <w:lvlJc w:val="left"/>
      <w:lvlText w:val="(%1)"/>
      <w:numFmt w:val="lowerLetter"/>
      <w:start w:val="7"/>
    </w:lvl>
  </w:abstractNum>
  <w:abstractNum w:abstractNumId="29">
    <w:nsid w:val="1E7FF521"/>
    <w:multiLevelType w:val="hybridMultilevel"/>
    <w:lvl w:ilvl="0">
      <w:lvlJc w:val="left"/>
      <w:lvlText w:val="(%1)"/>
      <w:numFmt w:val="lowerLetter"/>
      <w:start w:val="1"/>
    </w:lvl>
  </w:abstractNum>
  <w:abstractNum w:abstractNumId="30">
    <w:nsid w:val="7C3DBD3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2019-12-14T04:24:10Z</dcterms:created>
  <dcterms:modified xsi:type="dcterms:W3CDTF">2019-12-14T04:24:10Z</dcterms:modified>
</cp:coreProperties>
</file>