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April 2023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April 20, 2023, the Registrant Announced First Quarter 2023 Earnings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April 20, 2023</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10553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05535" cy="643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First Quarter 2023 Earnings Release Date</w:t>
      </w:r>
    </w:p>
    <w:p>
      <w:pPr>
        <w:spacing w:after="0" w:line="287"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MIGDAL HAEMEK, Israel – April 20, 2023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will issue its first quarter 2023 earnings on Monday, May 15, 2023.</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22"/>
          <w:szCs w:val="22"/>
          <w:color w:val="auto"/>
        </w:rPr>
        <w:t>In light of the previously announced transaction with Intel, Tower will not provide guidance for the second-quarter 2023 and will not host an earnings 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Microelectronics. For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2023-04-20T06:06:48Z</dcterms:created>
  <dcterms:modified xsi:type="dcterms:W3CDTF">2023-04-20T06:06:48Z</dcterms:modified>
</cp:coreProperties>
</file>