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59"/>
        <w:spacing w:after="0"/>
        <w:rPr>
          <w:sz w:val="20"/>
          <w:szCs w:val="20"/>
          <w:color w:val="auto"/>
        </w:rPr>
      </w:pPr>
      <w:r>
        <w:rPr>
          <w:rFonts w:ascii="Courier New" w:cs="Courier New" w:eastAsia="Courier New" w:hAnsi="Courier New"/>
          <w:sz w:val="17"/>
          <w:szCs w:val="17"/>
          <w:color w:val="auto"/>
        </w:rPr>
        <w:t>FORM 6-K</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7"/>
          <w:szCs w:val="17"/>
          <w:color w:val="auto"/>
        </w:rPr>
        <w:t>Washington, D.C. 20549</w:t>
      </w:r>
    </w:p>
    <w:p>
      <w:pPr>
        <w:spacing w:after="0" w:line="396"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For the month of February 2004</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TOWER SEMICONDUCTOR LTD.</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(Translation of registrant's name into English)</w:t>
      </w:r>
    </w:p>
    <w:p>
      <w:pPr>
        <w:spacing w:after="0" w:line="200"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RAMAT GAVRIEL INDUSTRIAL PARK</w:t>
      </w:r>
    </w:p>
    <w:p>
      <w:pPr>
        <w:spacing w:after="0" w:line="4" w:lineRule="exact"/>
        <w:rPr>
          <w:sz w:val="24"/>
          <w:szCs w:val="24"/>
          <w:color w:val="auto"/>
        </w:rPr>
      </w:pPr>
    </w:p>
    <w:p>
      <w:pPr>
        <w:ind w:left="2040"/>
        <w:spacing w:after="0"/>
        <w:rPr>
          <w:sz w:val="20"/>
          <w:szCs w:val="20"/>
          <w:color w:val="auto"/>
        </w:rPr>
      </w:pPr>
      <w:r>
        <w:rPr>
          <w:rFonts w:ascii="Courier New" w:cs="Courier New" w:eastAsia="Courier New" w:hAnsi="Courier New"/>
          <w:sz w:val="17"/>
          <w:szCs w:val="17"/>
          <w:color w:val="auto"/>
        </w:rPr>
        <w:t>P.O. BOX 619, MIGDAL HAEMEK, ISRAEL 23105</w:t>
      </w:r>
    </w:p>
    <w:p>
      <w:pPr>
        <w:spacing w:after="0" w:line="4" w:lineRule="exact"/>
        <w:rPr>
          <w:sz w:val="24"/>
          <w:szCs w:val="24"/>
          <w:color w:val="auto"/>
        </w:rPr>
      </w:pPr>
    </w:p>
    <w:p>
      <w:pPr>
        <w:ind w:left="2040"/>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397" w:lineRule="exact"/>
        <w:rPr>
          <w:sz w:val="24"/>
          <w:szCs w:val="24"/>
          <w:color w:val="auto"/>
        </w:rPr>
      </w:pPr>
    </w:p>
    <w:p>
      <w:pPr>
        <w:ind w:right="2459" w:firstLine="510"/>
        <w:spacing w:after="0" w:line="243" w:lineRule="auto"/>
        <w:rPr>
          <w:sz w:val="20"/>
          <w:szCs w:val="20"/>
          <w:color w:val="auto"/>
        </w:rPr>
      </w:pPr>
      <w:r>
        <w:rPr>
          <w:rFonts w:ascii="Courier New" w:cs="Courier New" w:eastAsia="Courier New" w:hAnsi="Courier New"/>
          <w:sz w:val="17"/>
          <w:szCs w:val="17"/>
          <w:color w:val="auto"/>
        </w:rPr>
        <w:t>Indicate by check mark whether the registrant files or will file annual reports under cover Form 20-F or Form 40-F.</w:t>
      </w:r>
    </w:p>
    <w:p>
      <w:pPr>
        <w:spacing w:after="0" w:line="198" w:lineRule="exact"/>
        <w:rPr>
          <w:sz w:val="24"/>
          <w:szCs w:val="24"/>
          <w:color w:val="auto"/>
        </w:rPr>
      </w:pPr>
    </w:p>
    <w:p>
      <w:pPr>
        <w:ind w:left="2560"/>
        <w:spacing w:after="0"/>
        <w:tabs>
          <w:tab w:leader="none" w:pos="4380" w:val="left"/>
        </w:tabs>
        <w:rPr>
          <w:sz w:val="20"/>
          <w:szCs w:val="20"/>
          <w:color w:val="auto"/>
        </w:rPr>
      </w:pPr>
      <w:r>
        <w:rPr>
          <w:rFonts w:ascii="Courier New" w:cs="Courier New" w:eastAsia="Courier New" w:hAnsi="Courier New"/>
          <w:sz w:val="17"/>
          <w:szCs w:val="17"/>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397" w:lineRule="exact"/>
        <w:rPr>
          <w:sz w:val="24"/>
          <w:szCs w:val="24"/>
          <w:color w:val="auto"/>
        </w:rPr>
      </w:pPr>
    </w:p>
    <w:p>
      <w:pPr>
        <w:ind w:right="2059" w:firstLine="510"/>
        <w:spacing w:after="0" w:line="266"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7" w:lineRule="exact"/>
        <w:rPr>
          <w:sz w:val="24"/>
          <w:szCs w:val="24"/>
          <w:color w:val="auto"/>
        </w:rPr>
      </w:pPr>
    </w:p>
    <w:p>
      <w:pPr>
        <w:ind w:left="3160"/>
        <w:spacing w:after="0"/>
        <w:tabs>
          <w:tab w:leader="none" w:pos="4380" w:val="left"/>
        </w:tabs>
        <w:rPr>
          <w:sz w:val="20"/>
          <w:szCs w:val="20"/>
          <w:color w:val="auto"/>
        </w:rPr>
      </w:pPr>
      <w:r>
        <w:rPr>
          <w:rFonts w:ascii="Courier New" w:cs="Courier New" w:eastAsia="Courier New" w:hAnsi="Courier New"/>
          <w:sz w:val="17"/>
          <w:szCs w:val="17"/>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On February 2, 2004, the Registrant announced its financial results for the fourth quarter and year ended December 31, 2003. Attached hereto is the press release announcing the results.</w:t>
      </w:r>
    </w:p>
    <w:p>
      <w:pPr>
        <w:spacing w:after="0" w:line="200" w:lineRule="exact"/>
        <w:rPr>
          <w:sz w:val="24"/>
          <w:szCs w:val="24"/>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This Form 6-K is being filed and incorporated by reference in all effective registration statements filed by the Registrant under the Securities Act of 1933.</w:t>
      </w:r>
    </w:p>
    <w:p>
      <w:pPr>
        <w:sectPr>
          <w:pgSz w:w="11900" w:h="16838" w:orient="portrait"/>
          <w:cols w:equalWidth="0" w:num="1">
            <w:col w:w="10219"/>
          </w:cols>
          <w:pgMar w:left="240" w:top="245" w:right="1440" w:bottom="1440" w:gutter="0" w:footer="0" w:header="0"/>
        </w:sectPr>
      </w:pPr>
    </w:p>
    <w:bookmarkStart w:id="1" w:name="page2"/>
    <w:bookmarkEnd w:id="1"/>
    <w:p>
      <w:pPr>
        <w:jc w:val="center"/>
        <w:ind w:right="2039"/>
        <w:spacing w:after="0"/>
        <w:rPr>
          <w:sz w:val="20"/>
          <w:szCs w:val="20"/>
          <w:color w:val="auto"/>
        </w:rPr>
      </w:pPr>
      <w:r>
        <w:rPr>
          <w:rFonts w:ascii="Courier New" w:cs="Courier New" w:eastAsia="Courier New" w:hAnsi="Courier New"/>
          <w:sz w:val="17"/>
          <w:szCs w:val="17"/>
          <w:color w:val="auto"/>
        </w:rPr>
        <w:t>SIGNATURES</w:t>
      </w:r>
    </w:p>
    <w:p>
      <w:pPr>
        <w:spacing w:after="0" w:line="201" w:lineRule="exact"/>
        <w:rPr>
          <w:sz w:val="20"/>
          <w:szCs w:val="20"/>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395"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7"/>
          <w:szCs w:val="17"/>
          <w:color w:val="auto"/>
        </w:rPr>
        <w:t>TOWER SEMICONDUCTOR LTD.</w:t>
      </w:r>
    </w:p>
    <w:p>
      <w:pPr>
        <w:sectPr>
          <w:pgSz w:w="11900" w:h="16838" w:orient="portrait"/>
          <w:cols w:equalWidth="0" w:num="1">
            <w:col w:w="10219"/>
          </w:cols>
          <w:pgMar w:left="240" w:top="899"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2,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Tamar Cohen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Tamar Cohen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Secretary and General</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Counsel</w:t>
      </w:r>
    </w:p>
    <w:p>
      <w:pPr>
        <w:sectPr>
          <w:pgSz w:w="11900" w:h="16838" w:orient="portrait"/>
          <w:cols w:equalWidth="0" w:num="3">
            <w:col w:w="520" w:space="200"/>
            <w:col w:w="2640" w:space="720"/>
            <w:col w:w="6139"/>
          </w:cols>
          <w:pgMar w:left="240" w:top="899" w:right="1440" w:bottom="1440" w:gutter="0" w:footer="0" w:header="0"/>
          <w:type w:val="continuous"/>
        </w:sectPr>
      </w:pPr>
    </w:p>
    <w:bookmarkStart w:id="2" w:name="page3"/>
    <w:bookmarkEnd w:id="2"/>
    <w:p>
      <w:pPr>
        <w:spacing w:after="0"/>
        <w:tabs>
          <w:tab w:leader="none" w:pos="1820" w:val="left"/>
        </w:tabs>
        <w:rPr>
          <w:sz w:val="20"/>
          <w:szCs w:val="20"/>
          <w:color w:val="auto"/>
        </w:rPr>
      </w:pPr>
      <w:r>
        <w:rPr>
          <w:rFonts w:ascii="Courier New" w:cs="Courier New" w:eastAsia="Courier New" w:hAnsi="Courier New"/>
          <w:sz w:val="17"/>
          <w:szCs w:val="17"/>
          <w:color w:val="auto"/>
        </w:rPr>
        <w:t>EXHIBIT 99.1</w:t>
      </w:r>
      <w:r>
        <w:rPr>
          <w:sz w:val="20"/>
          <w:szCs w:val="20"/>
          <w:color w:val="auto"/>
        </w:rPr>
        <w:tab/>
      </w:r>
      <w:r>
        <w:rPr>
          <w:rFonts w:ascii="Courier New" w:cs="Courier New" w:eastAsia="Courier New" w:hAnsi="Courier New"/>
          <w:sz w:val="16"/>
          <w:szCs w:val="16"/>
          <w:color w:val="auto"/>
        </w:rPr>
        <w:t>PRESS RELEASE ISSUED ON FEBRUARY 2, 2004</w:t>
      </w:r>
    </w:p>
    <w:p>
      <w:pPr>
        <w:sectPr>
          <w:pgSz w:w="11900" w:h="16838" w:orient="portrait"/>
          <w:cols w:equalWidth="0" w:num="1">
            <w:col w:w="10219"/>
          </w:cols>
          <w:pgMar w:left="240" w:top="899" w:right="1440" w:bottom="1440" w:gutter="0" w:footer="0" w:header="0"/>
        </w:sectPr>
      </w:pPr>
    </w:p>
    <w:bookmarkStart w:id="3" w:name="page4"/>
    <w:bookmarkEnd w:id="3"/>
    <w:p>
      <w:pPr>
        <w:jc w:val="center"/>
        <w:ind w:right="2059"/>
        <w:spacing w:after="0"/>
        <w:rPr>
          <w:sz w:val="20"/>
          <w:szCs w:val="20"/>
          <w:color w:val="auto"/>
        </w:rPr>
      </w:pPr>
      <w:r>
        <w:rPr>
          <w:rFonts w:ascii="Courier New" w:cs="Courier New" w:eastAsia="Courier New" w:hAnsi="Courier New"/>
          <w:sz w:val="17"/>
          <w:szCs w:val="17"/>
          <w:color w:val="auto"/>
        </w:rPr>
        <w:t>TOWER SEMICONDUCTOR LTD. ANNOUNCES</w:t>
      </w:r>
    </w:p>
    <w:p>
      <w:pPr>
        <w:spacing w:after="0" w:line="200"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FOURTH QUARTER AND YEAR-END 2003 RESULTS</w:t>
      </w:r>
    </w:p>
    <w:p>
      <w:pPr>
        <w:spacing w:after="0" w:line="201"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MIGDAL HAEMEK, Israel - February 2, 2004. Tower Semiconductor Ltd. (NASDAQ: TSEM; TASE: TSEM) today announced results for the fourth quarter and 12 months ended December 31, 2003.</w:t>
      </w:r>
    </w:p>
    <w:p>
      <w:pPr>
        <w:spacing w:after="0" w:line="200"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Revenues for the fourth quarter of 2003 were $19.8 million, an increase of 23 percent over revenues of $16.1 million in the prior quarter. In the fourth quarter of 2002, the company reported revenues of $15.6 million, including $4.0 million from a technology-related agreement.</w:t>
      </w:r>
    </w:p>
    <w:p>
      <w:pPr>
        <w:spacing w:after="0" w:line="198"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Total fourth quarter loss was $ 46.0 million, or $0.91 per share, compared with a loss of $37.1 million, or $0.77 per share, for the third quarter of 2003 and a loss of $13.6 million, or $0.33 per share, in the fourth quarter of 2002. The increased loss in the fourth and third quarters of 2003, as compared to the respective period of 2002, results mainly from the commencement of Fab 2 depreciation and amortization expenses, which were $20.0 million and $17.3 million for the fourth and third quarters of 2003, respectively.</w:t>
      </w:r>
    </w:p>
    <w:p>
      <w:pPr>
        <w:spacing w:after="0" w:line="199" w:lineRule="exact"/>
        <w:rPr>
          <w:sz w:val="20"/>
          <w:szCs w:val="20"/>
          <w:color w:val="auto"/>
        </w:rPr>
      </w:pPr>
    </w:p>
    <w:p>
      <w:pPr>
        <w:jc w:val="both"/>
        <w:ind w:right="2159"/>
        <w:spacing w:after="0" w:line="243" w:lineRule="auto"/>
        <w:rPr>
          <w:sz w:val="20"/>
          <w:szCs w:val="20"/>
          <w:color w:val="auto"/>
        </w:rPr>
      </w:pPr>
      <w:r>
        <w:rPr>
          <w:rFonts w:ascii="Courier New" w:cs="Courier New" w:eastAsia="Courier New" w:hAnsi="Courier New"/>
          <w:sz w:val="17"/>
          <w:szCs w:val="17"/>
          <w:color w:val="auto"/>
        </w:rPr>
        <w:t>Revenues for the 12 months ended December 31, 2003 were $61.4 million, compared with revenues of $51.8 million for the 12 months ended December 31, 2002, which included $8.1 million from a technology-related agreement.</w:t>
      </w:r>
    </w:p>
    <w:p>
      <w:pPr>
        <w:spacing w:after="0" w:line="200" w:lineRule="exact"/>
        <w:rPr>
          <w:sz w:val="20"/>
          <w:szCs w:val="20"/>
          <w:color w:val="auto"/>
        </w:rPr>
      </w:pPr>
    </w:p>
    <w:p>
      <w:pPr>
        <w:ind w:right="2059"/>
        <w:spacing w:after="0" w:line="263" w:lineRule="auto"/>
        <w:rPr>
          <w:sz w:val="20"/>
          <w:szCs w:val="20"/>
          <w:color w:val="auto"/>
        </w:rPr>
      </w:pPr>
      <w:r>
        <w:rPr>
          <w:rFonts w:ascii="Courier New" w:cs="Courier New" w:eastAsia="Courier New" w:hAnsi="Courier New"/>
          <w:sz w:val="16"/>
          <w:szCs w:val="16"/>
          <w:color w:val="auto"/>
        </w:rPr>
        <w:t>The company reported a loss of $114.3 million, or $2.40 per share, for the 12 months ended December 31, 2003, compared with a loss of $51.4 million, or $1.63 per share in the 12 months ended December 31, 2002. The increased loss resulted primarily from the commencement of Fab 2 depreciation and amortization expenses, which totaled $37.3 million for the 12 months ended December 31, 2003.</w:t>
      </w:r>
    </w:p>
    <w:p>
      <w:pPr>
        <w:spacing w:after="0" w:line="184"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The company expects Q-1 2004 consolidated revenues to be in the range of $23 million and $25 million. Depreciation expenses for that period are expected to be in the range of $26 million and $28 million.</w:t>
      </w:r>
    </w:p>
    <w:p>
      <w:pPr>
        <w:spacing w:after="0" w:line="200"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"Strong demand from our Fab 2 existing and new customers enables us to continue to focus on our ramp execution," said Carmel Vernia, Tower's chairman and chief executive officer. "By December 31, 2003, Fab 2 had installed equipment capacity of 8,500 wafer starts per month using 0.18-micron process technology. We currently expect to have installed equipment capacity of between 13,000 and 15,000 wafers per month by the end of 2004."</w:t>
      </w:r>
    </w:p>
    <w:p>
      <w:pPr>
        <w:sectPr>
          <w:pgSz w:w="11900" w:h="16838" w:orient="portrait"/>
          <w:cols w:equalWidth="0" w:num="1">
            <w:col w:w="10219"/>
          </w:cols>
          <w:pgMar w:left="240" w:top="50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3"/>
        </w:trPr>
        <w:tc>
          <w:tcPr>
            <w:tcW w:w="1080" w:type="dxa"/>
            <w:vAlign w:val="bottom"/>
            <w:gridSpan w:val="2"/>
          </w:tcPr>
          <w:p>
            <w:pPr>
              <w:spacing w:after="0"/>
              <w:rPr>
                <w:sz w:val="20"/>
                <w:szCs w:val="20"/>
                <w:color w:val="auto"/>
              </w:rPr>
            </w:pPr>
            <w:r>
              <w:rPr>
                <w:rFonts w:ascii="Courier New" w:cs="Courier New" w:eastAsia="Courier New" w:hAnsi="Courier New"/>
                <w:sz w:val="17"/>
                <w:szCs w:val="17"/>
                <w:color w:val="auto"/>
              </w:rPr>
              <w:t>"Our Fab 2</w:t>
            </w:r>
          </w:p>
        </w:tc>
        <w:tc>
          <w:tcPr>
            <w:tcW w:w="1020" w:type="dxa"/>
            <w:vAlign w:val="bottom"/>
          </w:tcPr>
          <w:p>
            <w:pPr>
              <w:ind w:left="40"/>
              <w:spacing w:after="0"/>
              <w:rPr>
                <w:sz w:val="20"/>
                <w:szCs w:val="20"/>
                <w:color w:val="auto"/>
              </w:rPr>
            </w:pPr>
            <w:r>
              <w:rPr>
                <w:rFonts w:ascii="Courier New" w:cs="Courier New" w:eastAsia="Courier New" w:hAnsi="Courier New"/>
                <w:sz w:val="17"/>
                <w:szCs w:val="17"/>
                <w:color w:val="auto"/>
              </w:rPr>
              <w:t>financing</w:t>
            </w:r>
          </w:p>
        </w:tc>
        <w:tc>
          <w:tcPr>
            <w:tcW w:w="1740" w:type="dxa"/>
            <w:vAlign w:val="bottom"/>
          </w:tcPr>
          <w:p>
            <w:pPr>
              <w:ind w:left="40"/>
              <w:spacing w:after="0"/>
              <w:rPr>
                <w:sz w:val="20"/>
                <w:szCs w:val="20"/>
                <w:color w:val="auto"/>
              </w:rPr>
            </w:pPr>
            <w:r>
              <w:rPr>
                <w:rFonts w:ascii="Courier New" w:cs="Courier New" w:eastAsia="Courier New" w:hAnsi="Courier New"/>
                <w:sz w:val="17"/>
                <w:szCs w:val="17"/>
                <w:color w:val="auto"/>
              </w:rPr>
              <w:t>package with our</w:t>
            </w:r>
          </w:p>
        </w:tc>
        <w:tc>
          <w:tcPr>
            <w:tcW w:w="43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banks and major investors was completed,</w:t>
            </w:r>
          </w:p>
        </w:tc>
      </w:tr>
      <w:tr>
        <w:trPr>
          <w:trHeight w:val="196"/>
        </w:trPr>
        <w:tc>
          <w:tcPr>
            <w:tcW w:w="260" w:type="dxa"/>
            <w:vAlign w:val="bottom"/>
          </w:tcPr>
          <w:p>
            <w:pPr>
              <w:spacing w:after="0"/>
              <w:rPr>
                <w:sz w:val="20"/>
                <w:szCs w:val="20"/>
                <w:color w:val="auto"/>
              </w:rPr>
            </w:pPr>
            <w:r>
              <w:rPr>
                <w:rFonts w:ascii="Courier New" w:cs="Courier New" w:eastAsia="Courier New" w:hAnsi="Courier New"/>
                <w:sz w:val="17"/>
                <w:szCs w:val="17"/>
                <w:color w:val="auto"/>
              </w:rPr>
              <w:t>as</w:t>
            </w:r>
          </w:p>
        </w:tc>
        <w:tc>
          <w:tcPr>
            <w:tcW w:w="820" w:type="dxa"/>
            <w:vAlign w:val="bottom"/>
          </w:tcPr>
          <w:p>
            <w:pPr>
              <w:ind w:left="60"/>
              <w:spacing w:after="0"/>
              <w:rPr>
                <w:sz w:val="20"/>
                <w:szCs w:val="20"/>
                <w:color w:val="auto"/>
              </w:rPr>
            </w:pPr>
            <w:r>
              <w:rPr>
                <w:rFonts w:ascii="Courier New" w:cs="Courier New" w:eastAsia="Courier New" w:hAnsi="Courier New"/>
                <w:sz w:val="17"/>
                <w:szCs w:val="17"/>
                <w:color w:val="auto"/>
              </w:rPr>
              <w:t>well as</w:t>
            </w:r>
          </w:p>
        </w:tc>
        <w:tc>
          <w:tcPr>
            <w:tcW w:w="398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our underwritten equity offering of 11</w:t>
            </w:r>
          </w:p>
        </w:tc>
        <w:tc>
          <w:tcPr>
            <w:tcW w:w="3100" w:type="dxa"/>
            <w:vAlign w:val="bottom"/>
          </w:tcPr>
          <w:p>
            <w:pPr>
              <w:ind w:left="40"/>
              <w:spacing w:after="0"/>
              <w:rPr>
                <w:sz w:val="20"/>
                <w:szCs w:val="20"/>
                <w:color w:val="auto"/>
              </w:rPr>
            </w:pPr>
            <w:r>
              <w:rPr>
                <w:rFonts w:ascii="Courier New" w:cs="Courier New" w:eastAsia="Courier New" w:hAnsi="Courier New"/>
                <w:sz w:val="17"/>
                <w:szCs w:val="17"/>
                <w:color w:val="auto"/>
                <w:w w:val="99"/>
              </w:rPr>
              <w:t>million of our ordinary shares</w:t>
            </w:r>
          </w:p>
        </w:tc>
      </w:tr>
      <w:tr>
        <w:trPr>
          <w:trHeight w:val="196"/>
        </w:trPr>
        <w:tc>
          <w:tcPr>
            <w:tcW w:w="260" w:type="dxa"/>
            <w:vAlign w:val="bottom"/>
          </w:tcPr>
          <w:p>
            <w:pPr>
              <w:spacing w:after="0"/>
              <w:rPr>
                <w:sz w:val="20"/>
                <w:szCs w:val="20"/>
                <w:color w:val="auto"/>
              </w:rPr>
            </w:pPr>
            <w:r>
              <w:rPr>
                <w:rFonts w:ascii="Courier New" w:cs="Courier New" w:eastAsia="Courier New" w:hAnsi="Courier New"/>
                <w:sz w:val="17"/>
                <w:szCs w:val="17"/>
                <w:color w:val="auto"/>
              </w:rPr>
              <w:t>at</w:t>
            </w:r>
          </w:p>
        </w:tc>
        <w:tc>
          <w:tcPr>
            <w:tcW w:w="820" w:type="dxa"/>
            <w:vAlign w:val="bottom"/>
          </w:tcPr>
          <w:p>
            <w:pPr>
              <w:ind w:left="60"/>
              <w:spacing w:after="0"/>
              <w:rPr>
                <w:sz w:val="20"/>
                <w:szCs w:val="20"/>
                <w:color w:val="auto"/>
              </w:rPr>
            </w:pPr>
            <w:r>
              <w:rPr>
                <w:rFonts w:ascii="Courier New" w:cs="Courier New" w:eastAsia="Courier New" w:hAnsi="Courier New"/>
                <w:sz w:val="17"/>
                <w:szCs w:val="17"/>
                <w:color w:val="auto"/>
              </w:rPr>
              <w:t>a price</w:t>
            </w:r>
          </w:p>
        </w:tc>
        <w:tc>
          <w:tcPr>
            <w:tcW w:w="27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to the public of $7.00 per</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share. With</w:t>
            </w:r>
          </w:p>
        </w:tc>
        <w:tc>
          <w:tcPr>
            <w:tcW w:w="3100" w:type="dxa"/>
            <w:vAlign w:val="bottom"/>
          </w:tcPr>
          <w:p>
            <w:pPr>
              <w:ind w:left="40"/>
              <w:spacing w:after="0"/>
              <w:rPr>
                <w:sz w:val="20"/>
                <w:szCs w:val="20"/>
                <w:color w:val="auto"/>
              </w:rPr>
            </w:pPr>
            <w:r>
              <w:rPr>
                <w:rFonts w:ascii="Courier New" w:cs="Courier New" w:eastAsia="Courier New" w:hAnsi="Courier New"/>
                <w:sz w:val="17"/>
                <w:szCs w:val="17"/>
                <w:color w:val="auto"/>
              </w:rPr>
              <w:t>these financing deals behind</w:t>
            </w:r>
          </w:p>
        </w:tc>
      </w:tr>
      <w:tr>
        <w:trPr>
          <w:trHeight w:val="196"/>
        </w:trPr>
        <w:tc>
          <w:tcPr>
            <w:tcW w:w="1080" w:type="dxa"/>
            <w:vAlign w:val="bottom"/>
            <w:gridSpan w:val="2"/>
          </w:tcPr>
          <w:p>
            <w:pPr>
              <w:spacing w:after="0"/>
              <w:rPr>
                <w:sz w:val="20"/>
                <w:szCs w:val="20"/>
                <w:color w:val="auto"/>
              </w:rPr>
            </w:pPr>
            <w:r>
              <w:rPr>
                <w:rFonts w:ascii="Courier New" w:cs="Courier New" w:eastAsia="Courier New" w:hAnsi="Courier New"/>
                <w:sz w:val="17"/>
                <w:szCs w:val="17"/>
                <w:color w:val="auto"/>
              </w:rPr>
              <w:t>us, we can</w:t>
            </w:r>
          </w:p>
        </w:tc>
        <w:tc>
          <w:tcPr>
            <w:tcW w:w="1020" w:type="dxa"/>
            <w:vAlign w:val="bottom"/>
          </w:tcPr>
          <w:p>
            <w:pPr>
              <w:ind w:left="40"/>
              <w:spacing w:after="0"/>
              <w:rPr>
                <w:sz w:val="20"/>
                <w:szCs w:val="20"/>
                <w:color w:val="auto"/>
              </w:rPr>
            </w:pPr>
            <w:r>
              <w:rPr>
                <w:rFonts w:ascii="Courier New" w:cs="Courier New" w:eastAsia="Courier New" w:hAnsi="Courier New"/>
                <w:sz w:val="17"/>
                <w:szCs w:val="17"/>
                <w:color w:val="auto"/>
              </w:rPr>
              <w:t>now focus</w:t>
            </w:r>
          </w:p>
        </w:tc>
        <w:tc>
          <w:tcPr>
            <w:tcW w:w="29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on our business operations,"</w:t>
            </w:r>
          </w:p>
        </w:tc>
        <w:tc>
          <w:tcPr>
            <w:tcW w:w="3100" w:type="dxa"/>
            <w:vAlign w:val="bottom"/>
          </w:tcPr>
          <w:p>
            <w:pPr>
              <w:ind w:left="40"/>
              <w:spacing w:after="0"/>
              <w:rPr>
                <w:sz w:val="20"/>
                <w:szCs w:val="20"/>
                <w:color w:val="auto"/>
              </w:rPr>
            </w:pPr>
            <w:r>
              <w:rPr>
                <w:rFonts w:ascii="Courier New" w:cs="Courier New" w:eastAsia="Courier New" w:hAnsi="Courier New"/>
                <w:sz w:val="17"/>
                <w:szCs w:val="17"/>
                <w:color w:val="auto"/>
              </w:rPr>
              <w:t>continued Vernia.</w:t>
            </w:r>
          </w:p>
        </w:tc>
      </w:tr>
    </w:tbl>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"In addition, Fab 1 had positive cash flow from operations for the seventh consecutive quarter. The memorandum of understanding recently signed with Siliconix calls for placing orders valued at approximately $200 million for the purchase of products to be manufactured in Fab 1 over a seven to ten years period."</w:t>
      </w:r>
    </w:p>
    <w:p>
      <w:pPr>
        <w:spacing w:after="0" w:line="198"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During January the company's share count increased mainly as a result of the follow-on public offering and issuance of 2.3 million shares to its strategic partners in connection with the final payment of Fab 2's fifth milestone, at $7 per share. The number of Tower's outstanding shares as of February 2, 2004 is 65,137,883.</w:t>
      </w:r>
    </w:p>
    <w:p>
      <w:pPr>
        <w:spacing w:after="0" w:line="198"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Tower will host a conference call to discuss these results on Monday, February 2, 2004 at 11:00 a.m. Eastern time / 18:00 Israel time. To participate, call 1-800-915-4836 (U.S. toll-free number) or 1-973-317-5319 (international) and mention ID code: TOWER. Callers in Israel are invited to call local 03-925-5910. The conference call also will be webcast live at www.companyboardroom.com and at www.towersemi.com and will be available thereafter on both Web sites for replay for 90 days, starting at 2:00 p.m. Eastern time on the day of the call.</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ABOUT TOWER SEMICONDUCTOR LTD.</w:t>
      </w:r>
    </w:p>
    <w:p>
      <w:pPr>
        <w:spacing w:after="0" w:line="5"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Tower Semiconductor Ltd. is a pure-play independent wafer foundry established in 1993. The company manufactures integrated circuits with geometries ranging from 1.0 to 0.18 microns; it also provides complementary manufacturing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16,000 150mm wafers per month. Fab 2 features 0.18-micron and below process technologies, including foundry-standard technology, and will offer full production capacity of 33,000 200mm wafers per month. The Tower Web site is located at www.towersemi.com.</w:t>
      </w:r>
    </w:p>
    <w:p>
      <w:pPr>
        <w:sectPr>
          <w:pgSz w:w="11900" w:h="16838" w:orient="portrait"/>
          <w:cols w:equalWidth="0" w:num="1">
            <w:col w:w="10219"/>
          </w:cols>
          <w:pgMar w:left="240" w:top="89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SAFE HARBOR</w:t>
      </w:r>
    </w:p>
    <w:p>
      <w:pPr>
        <w:spacing w:after="0" w:line="201" w:lineRule="exact"/>
        <w:rPr>
          <w:sz w:val="20"/>
          <w:szCs w:val="20"/>
          <w:color w:val="auto"/>
        </w:rPr>
      </w:pPr>
    </w:p>
    <w:p>
      <w:pPr>
        <w:ind w:right="2059" w:firstLine="510"/>
        <w:spacing w:after="0" w:line="259"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COMPLETE THE FAB 2 PROJECT,</w:t>
      </w:r>
    </w:p>
    <w:p>
      <w:pPr>
        <w:spacing w:after="0" w:line="4" w:lineRule="exact"/>
        <w:rPr>
          <w:sz w:val="20"/>
          <w:szCs w:val="20"/>
          <w:color w:val="auto"/>
        </w:rPr>
      </w:pPr>
    </w:p>
    <w:p>
      <w:pPr>
        <w:ind w:right="2059" w:firstLine="5"/>
        <w:spacing w:after="0" w:line="244" w:lineRule="auto"/>
        <w:tabs>
          <w:tab w:leader="none" w:pos="612"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CYCLICAL NATURE OF THE SEMICONDUCTOR INDUSTRY AND THE RESULTING PERIODIC OVERCAPACITY, (IV) OPERATING OUR FACILITIES AT SATISFACTORY UTILIZATION RATES, (V) OUR ABILITY TO CAPITALIZE ON INCREASES IN DEMAND FOR FOUNDRY SERVICES, (VI) MEETING THE CONDITIONS TO RECEIVE ISRAELI GOVERNMENT GRANTS AND TAX BENEFITS APPROVED FOR FAB 2 AND OBTAINING THE APPROVAL OF THE ISRAELI INVESTMENT CENTER TO EXTEND THE FIVE-YEAR INVESTMENT PERIOD UNDER OUR FAB 2 APPROVED ENTERPRISE PROGRAM AND OF AMENDMENTS TO OUR MODIFIED BUSINESS PLAN, (VII) ATTRACTING ADDITIONAL CUSTOMERS, (VIII) NOT RECEIVING ORDERS FROM OUR WAFER PARTNERS AND TECHNOLOGY PROVIDERS, (IX) FAILING TO MAINTAIN AND DEVELOP OUR TECHNOLOGY PROCESSES AND SERVICES, (X) COMPETING EFFECTIVELY, (XI) OUR LARGE AMOUNT OF DEBT AND OUR SATISFYING THE COVENANTS SET FORTH IN OUR AMENDED FACILITY AGREEMENT, AND (XII) ACHIEVING ACCEPTABLE DEVICE YIELDS, PRODUCT PERFORMANCE AND DELIVERY TIMES (XIII) THE COMPLETION OF THE DOCUMENTATION FOR THE SILICONIX AGREEMENT. A MORE COMPLETE DISCUSSION OF RISKS AND UNCERTAINTIES THAT MAY AFFECT THE ACCURACY OF FORWARD-LOOKING STATEMENTS INCLUDED IN THIS PRESS RELEASE OR WHICH MAY OTHERWISE AFFECT OUR BUSINESS IS INCLUDED UNDER THE HEADING "RISK FACTORS" IN OUR MOST RECENT ANNUAL REPORT ON FORM 20-F AND IN OUR FORM F-3, AS AMENDED, AS WERE FILED WITH THE SECURITIES AND EXCHANGE COMMISSION AND THE ISRAEL SECURITIES AUTHORITY.</w:t>
      </w:r>
    </w:p>
    <w:p>
      <w:pPr>
        <w:spacing w:after="0" w:line="203" w:lineRule="exact"/>
        <w:rPr>
          <w:rFonts w:ascii="Courier New" w:cs="Courier New" w:eastAsia="Courier New" w:hAnsi="Courier New"/>
          <w:sz w:val="17"/>
          <w:szCs w:val="17"/>
          <w:color w:val="auto"/>
        </w:rPr>
      </w:pPr>
    </w:p>
    <w:p>
      <w:pPr>
        <w:ind w:left="4080" w:hanging="198"/>
        <w:spacing w:after="0"/>
        <w:tabs>
          <w:tab w:leader="none" w:pos="408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 w:type="dxa"/>
            <w:vAlign w:val="bottom"/>
          </w:tcPr>
          <w:p>
            <w:pPr>
              <w:spacing w:after="0"/>
              <w:rPr>
                <w:sz w:val="20"/>
                <w:szCs w:val="20"/>
                <w:color w:val="auto"/>
              </w:rPr>
            </w:pPr>
            <w:r>
              <w:rPr>
                <w:rFonts w:ascii="Courier New" w:cs="Courier New" w:eastAsia="Courier New" w:hAnsi="Courier New"/>
                <w:sz w:val="17"/>
                <w:szCs w:val="17"/>
                <w:color w:val="auto"/>
              </w:rPr>
              <w:t>PR</w:t>
            </w:r>
          </w:p>
        </w:tc>
        <w:tc>
          <w:tcPr>
            <w:tcW w:w="25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Agency Contact</w:t>
            </w:r>
          </w:p>
        </w:tc>
        <w:tc>
          <w:tcPr>
            <w:tcW w:w="3960" w:type="dxa"/>
            <w:vAlign w:val="bottom"/>
          </w:tcPr>
          <w:p>
            <w:pPr>
              <w:ind w:left="560"/>
              <w:spacing w:after="0"/>
              <w:rPr>
                <w:sz w:val="20"/>
                <w:szCs w:val="20"/>
                <w:color w:val="auto"/>
              </w:rPr>
            </w:pPr>
            <w:r>
              <w:rPr>
                <w:rFonts w:ascii="Courier New" w:cs="Courier New" w:eastAsia="Courier New" w:hAnsi="Courier New"/>
                <w:sz w:val="17"/>
                <w:szCs w:val="17"/>
                <w:color w:val="auto"/>
              </w:rPr>
              <w:t>Investor Relations Contact</w:t>
            </w:r>
          </w:p>
        </w:tc>
        <w:tc>
          <w:tcPr>
            <w:tcW w:w="3120" w:type="dxa"/>
            <w:vAlign w:val="bottom"/>
          </w:tcPr>
          <w:p>
            <w:pPr>
              <w:ind w:left="780"/>
              <w:spacing w:after="0"/>
              <w:rPr>
                <w:sz w:val="20"/>
                <w:szCs w:val="20"/>
                <w:color w:val="auto"/>
              </w:rPr>
            </w:pPr>
            <w:r>
              <w:rPr>
                <w:rFonts w:ascii="Courier New" w:cs="Courier New" w:eastAsia="Courier New" w:hAnsi="Courier New"/>
                <w:sz w:val="17"/>
                <w:szCs w:val="17"/>
                <w:color w:val="auto"/>
              </w:rPr>
              <w:t>Corporate Contact</w:t>
            </w:r>
          </w:p>
        </w:tc>
      </w:tr>
      <w:tr>
        <w:trPr>
          <w:trHeight w:val="196"/>
        </w:trPr>
        <w:tc>
          <w:tcPr>
            <w:tcW w:w="1280" w:type="dxa"/>
            <w:vAlign w:val="bottom"/>
            <w:gridSpan w:val="2"/>
          </w:tcPr>
          <w:p>
            <w:pPr>
              <w:spacing w:after="0"/>
              <w:rPr>
                <w:sz w:val="20"/>
                <w:szCs w:val="20"/>
                <w:color w:val="auto"/>
              </w:rPr>
            </w:pPr>
            <w:r>
              <w:rPr>
                <w:rFonts w:ascii="Courier New" w:cs="Courier New" w:eastAsia="Courier New" w:hAnsi="Courier New"/>
                <w:sz w:val="17"/>
                <w:szCs w:val="17"/>
                <w:color w:val="auto"/>
              </w:rPr>
              <w:t>Julie Lass</w:t>
            </w:r>
          </w:p>
        </w:tc>
        <w:tc>
          <w:tcPr>
            <w:tcW w:w="1540" w:type="dxa"/>
            <w:vAlign w:val="bottom"/>
          </w:tcPr>
          <w:p>
            <w:pPr>
              <w:spacing w:after="0"/>
              <w:rPr>
                <w:sz w:val="17"/>
                <w:szCs w:val="17"/>
                <w:color w:val="auto"/>
              </w:rPr>
            </w:pPr>
          </w:p>
        </w:tc>
        <w:tc>
          <w:tcPr>
            <w:tcW w:w="3960" w:type="dxa"/>
            <w:vAlign w:val="bottom"/>
          </w:tcPr>
          <w:p>
            <w:pPr>
              <w:ind w:left="560"/>
              <w:spacing w:after="0"/>
              <w:rPr>
                <w:sz w:val="20"/>
                <w:szCs w:val="20"/>
                <w:color w:val="auto"/>
              </w:rPr>
            </w:pPr>
            <w:r>
              <w:rPr>
                <w:rFonts w:ascii="Courier New" w:cs="Courier New" w:eastAsia="Courier New" w:hAnsi="Courier New"/>
                <w:sz w:val="17"/>
                <w:szCs w:val="17"/>
                <w:color w:val="auto"/>
              </w:rPr>
              <w:t>Sheldon Lutch</w:t>
            </w:r>
          </w:p>
        </w:tc>
        <w:tc>
          <w:tcPr>
            <w:tcW w:w="3120" w:type="dxa"/>
            <w:vAlign w:val="bottom"/>
          </w:tcPr>
          <w:p>
            <w:pPr>
              <w:ind w:left="780"/>
              <w:spacing w:after="0"/>
              <w:rPr>
                <w:sz w:val="20"/>
                <w:szCs w:val="20"/>
                <w:color w:val="auto"/>
              </w:rPr>
            </w:pPr>
            <w:r>
              <w:rPr>
                <w:rFonts w:ascii="Courier New" w:cs="Courier New" w:eastAsia="Courier New" w:hAnsi="Courier New"/>
                <w:sz w:val="17"/>
                <w:szCs w:val="17"/>
                <w:color w:val="auto"/>
              </w:rPr>
              <w:t>Michael Axelrod</w:t>
            </w:r>
          </w:p>
        </w:tc>
      </w:tr>
      <w:tr>
        <w:trPr>
          <w:trHeight w:val="196"/>
        </w:trPr>
        <w:tc>
          <w:tcPr>
            <w:tcW w:w="1280" w:type="dxa"/>
            <w:vAlign w:val="bottom"/>
            <w:gridSpan w:val="2"/>
          </w:tcPr>
          <w:p>
            <w:pPr>
              <w:spacing w:after="0"/>
              <w:rPr>
                <w:sz w:val="20"/>
                <w:szCs w:val="20"/>
                <w:color w:val="auto"/>
              </w:rPr>
            </w:pPr>
            <w:r>
              <w:rPr>
                <w:rFonts w:ascii="Courier New" w:cs="Courier New" w:eastAsia="Courier New" w:hAnsi="Courier New"/>
                <w:sz w:val="17"/>
                <w:szCs w:val="17"/>
                <w:color w:val="auto"/>
              </w:rPr>
              <w:t>Loomis Group</w:t>
            </w:r>
          </w:p>
        </w:tc>
        <w:tc>
          <w:tcPr>
            <w:tcW w:w="1540" w:type="dxa"/>
            <w:vAlign w:val="bottom"/>
          </w:tcPr>
          <w:p>
            <w:pPr>
              <w:spacing w:after="0"/>
              <w:rPr>
                <w:sz w:val="17"/>
                <w:szCs w:val="17"/>
                <w:color w:val="auto"/>
              </w:rPr>
            </w:pPr>
          </w:p>
        </w:tc>
        <w:tc>
          <w:tcPr>
            <w:tcW w:w="3960" w:type="dxa"/>
            <w:vAlign w:val="bottom"/>
          </w:tcPr>
          <w:p>
            <w:pPr>
              <w:ind w:left="560"/>
              <w:spacing w:after="0"/>
              <w:rPr>
                <w:sz w:val="20"/>
                <w:szCs w:val="20"/>
                <w:color w:val="auto"/>
              </w:rPr>
            </w:pPr>
            <w:r>
              <w:rPr>
                <w:rFonts w:ascii="Courier New" w:cs="Courier New" w:eastAsia="Courier New" w:hAnsi="Courier New"/>
                <w:sz w:val="17"/>
                <w:szCs w:val="17"/>
                <w:color w:val="auto"/>
              </w:rPr>
              <w:t>Fusion IR &amp; Communications</w:t>
            </w:r>
          </w:p>
        </w:tc>
        <w:tc>
          <w:tcPr>
            <w:tcW w:w="3120" w:type="dxa"/>
            <w:vAlign w:val="bottom"/>
          </w:tcPr>
          <w:p>
            <w:pPr>
              <w:ind w:left="780"/>
              <w:spacing w:after="0"/>
              <w:rPr>
                <w:sz w:val="20"/>
                <w:szCs w:val="20"/>
                <w:color w:val="auto"/>
              </w:rPr>
            </w:pPr>
            <w:r>
              <w:rPr>
                <w:rFonts w:ascii="Courier New" w:cs="Courier New" w:eastAsia="Courier New" w:hAnsi="Courier New"/>
                <w:sz w:val="17"/>
                <w:szCs w:val="17"/>
                <w:color w:val="auto"/>
                <w:w w:val="98"/>
              </w:rPr>
              <w:t>Tower Semiconductor USA</w:t>
            </w:r>
          </w:p>
        </w:tc>
      </w:tr>
      <w:tr>
        <w:trPr>
          <w:trHeight w:val="196"/>
        </w:trPr>
        <w:tc>
          <w:tcPr>
            <w:tcW w:w="260" w:type="dxa"/>
            <w:vAlign w:val="bottom"/>
          </w:tcPr>
          <w:p>
            <w:pPr>
              <w:spacing w:after="0"/>
              <w:rPr>
                <w:sz w:val="20"/>
                <w:szCs w:val="20"/>
                <w:color w:val="auto"/>
              </w:rPr>
            </w:pPr>
            <w:r>
              <w:rPr>
                <w:rFonts w:ascii="Courier New" w:cs="Courier New" w:eastAsia="Courier New" w:hAnsi="Courier New"/>
                <w:sz w:val="17"/>
                <w:szCs w:val="17"/>
                <w:color w:val="auto"/>
              </w:rPr>
              <w:t>+1</w:t>
            </w:r>
          </w:p>
        </w:tc>
        <w:tc>
          <w:tcPr>
            <w:tcW w:w="1020" w:type="dxa"/>
            <w:vAlign w:val="bottom"/>
          </w:tcPr>
          <w:p>
            <w:pPr>
              <w:ind w:left="60"/>
              <w:spacing w:after="0"/>
              <w:rPr>
                <w:sz w:val="20"/>
                <w:szCs w:val="20"/>
                <w:color w:val="auto"/>
              </w:rPr>
            </w:pPr>
            <w:r>
              <w:rPr>
                <w:rFonts w:ascii="Courier New" w:cs="Courier New" w:eastAsia="Courier New" w:hAnsi="Courier New"/>
                <w:sz w:val="17"/>
                <w:szCs w:val="17"/>
                <w:color w:val="auto"/>
              </w:rPr>
              <w:t>(713) 526</w:t>
            </w:r>
          </w:p>
        </w:tc>
        <w:tc>
          <w:tcPr>
            <w:tcW w:w="1540" w:type="dxa"/>
            <w:vAlign w:val="bottom"/>
          </w:tcPr>
          <w:p>
            <w:pPr>
              <w:jc w:val="right"/>
              <w:ind w:right="995"/>
              <w:spacing w:after="0"/>
              <w:rPr>
                <w:sz w:val="20"/>
                <w:szCs w:val="20"/>
                <w:color w:val="auto"/>
              </w:rPr>
            </w:pPr>
            <w:r>
              <w:rPr>
                <w:rFonts w:ascii="Courier New" w:cs="Courier New" w:eastAsia="Courier New" w:hAnsi="Courier New"/>
                <w:sz w:val="17"/>
                <w:szCs w:val="17"/>
                <w:color w:val="auto"/>
              </w:rPr>
              <w:t>3737</w:t>
            </w:r>
          </w:p>
        </w:tc>
        <w:tc>
          <w:tcPr>
            <w:tcW w:w="3960" w:type="dxa"/>
            <w:vAlign w:val="bottom"/>
          </w:tcPr>
          <w:p>
            <w:pPr>
              <w:ind w:left="560"/>
              <w:spacing w:after="0"/>
              <w:rPr>
                <w:sz w:val="20"/>
                <w:szCs w:val="20"/>
                <w:color w:val="auto"/>
              </w:rPr>
            </w:pPr>
            <w:r>
              <w:rPr>
                <w:rFonts w:ascii="Courier New" w:cs="Courier New" w:eastAsia="Courier New" w:hAnsi="Courier New"/>
                <w:sz w:val="17"/>
                <w:szCs w:val="17"/>
                <w:color w:val="auto"/>
              </w:rPr>
              <w:t>+1 (212) 268 1816</w:t>
            </w:r>
          </w:p>
        </w:tc>
        <w:tc>
          <w:tcPr>
            <w:tcW w:w="3120" w:type="dxa"/>
            <w:vAlign w:val="bottom"/>
          </w:tcPr>
          <w:p>
            <w:pPr>
              <w:ind w:left="780"/>
              <w:spacing w:after="0"/>
              <w:rPr>
                <w:sz w:val="20"/>
                <w:szCs w:val="20"/>
                <w:color w:val="auto"/>
              </w:rPr>
            </w:pPr>
            <w:r>
              <w:rPr>
                <w:rFonts w:ascii="Courier New" w:cs="Courier New" w:eastAsia="Courier New" w:hAnsi="Courier New"/>
                <w:sz w:val="17"/>
                <w:szCs w:val="17"/>
                <w:color w:val="auto"/>
              </w:rPr>
              <w:t>+1 (408) 330 6871</w:t>
            </w:r>
          </w:p>
        </w:tc>
      </w:tr>
      <w:tr>
        <w:trPr>
          <w:trHeight w:val="196"/>
        </w:trPr>
        <w:tc>
          <w:tcPr>
            <w:tcW w:w="282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lassj@loomisgroup.com</w:t>
            </w:r>
          </w:p>
        </w:tc>
        <w:tc>
          <w:tcPr>
            <w:tcW w:w="3960" w:type="dxa"/>
            <w:vAlign w:val="bottom"/>
          </w:tcPr>
          <w:p>
            <w:pPr>
              <w:ind w:left="560"/>
              <w:spacing w:after="0"/>
              <w:rPr>
                <w:sz w:val="20"/>
                <w:szCs w:val="20"/>
                <w:color w:val="auto"/>
              </w:rPr>
            </w:pPr>
            <w:r>
              <w:rPr>
                <w:rFonts w:ascii="Courier New" w:cs="Courier New" w:eastAsia="Courier New" w:hAnsi="Courier New"/>
                <w:sz w:val="17"/>
                <w:szCs w:val="17"/>
                <w:color w:val="auto"/>
              </w:rPr>
              <w:t>sheldon@fusionir.com</w:t>
            </w:r>
          </w:p>
        </w:tc>
        <w:tc>
          <w:tcPr>
            <w:tcW w:w="3120" w:type="dxa"/>
            <w:vAlign w:val="bottom"/>
          </w:tcPr>
          <w:p>
            <w:pPr>
              <w:ind w:left="780"/>
              <w:spacing w:after="0"/>
              <w:rPr>
                <w:sz w:val="20"/>
                <w:szCs w:val="20"/>
                <w:color w:val="auto"/>
              </w:rPr>
            </w:pPr>
            <w:r>
              <w:rPr>
                <w:rFonts w:ascii="Courier New" w:cs="Courier New" w:eastAsia="Courier New" w:hAnsi="Courier New"/>
                <w:sz w:val="17"/>
                <w:szCs w:val="17"/>
                <w:color w:val="auto"/>
              </w:rPr>
              <w:t>pr@towersemi.com</w:t>
            </w:r>
          </w:p>
        </w:tc>
      </w:tr>
    </w:tbl>
    <w:p>
      <w:pPr>
        <w:sectPr>
          <w:pgSz w:w="11900" w:h="16838" w:orient="portrait"/>
          <w:cols w:equalWidth="0" w:num="1">
            <w:col w:w="10219"/>
          </w:cols>
          <w:pgMar w:left="240" w:top="899" w:right="1440" w:bottom="1440" w:gutter="0" w:footer="0" w:header="0"/>
        </w:sectPr>
      </w:pPr>
    </w:p>
    <w:bookmarkStart w:id="6" w:name="page7"/>
    <w:bookmarkEnd w:id="6"/>
    <w:p>
      <w:pPr>
        <w:jc w:val="center"/>
        <w:ind w:right="2740"/>
        <w:spacing w:after="0"/>
        <w:rPr>
          <w:sz w:val="20"/>
          <w:szCs w:val="20"/>
          <w:color w:val="auto"/>
        </w:rPr>
      </w:pPr>
      <w:r>
        <w:rPr>
          <w:rFonts w:ascii="Courier New" w:cs="Courier New" w:eastAsia="Courier New" w:hAnsi="Courier New"/>
          <w:sz w:val="17"/>
          <w:szCs w:val="17"/>
          <w:color w:val="auto"/>
        </w:rPr>
        <w:t>TOWER SEMICONDUCTOR LTD. AND SUBSIDIARY</w:t>
      </w:r>
    </w:p>
    <w:p>
      <w:pPr>
        <w:spacing w:after="0" w:line="4"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7"/>
          <w:szCs w:val="17"/>
          <w:color w:val="auto"/>
        </w:rPr>
        <w:t>CONSOLIDATED BALANCE SHEETS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60" w:type="dxa"/>
            <w:vAlign w:val="bottom"/>
          </w:tcPr>
          <w:p>
            <w:pPr>
              <w:ind w:left="1020"/>
              <w:spacing w:after="0"/>
              <w:rPr>
                <w:sz w:val="20"/>
                <w:szCs w:val="20"/>
                <w:color w:val="auto"/>
              </w:rPr>
            </w:pPr>
            <w:r>
              <w:rPr>
                <w:rFonts w:ascii="Courier New" w:cs="Courier New" w:eastAsia="Courier New" w:hAnsi="Courier New"/>
                <w:sz w:val="17"/>
                <w:szCs w:val="17"/>
                <w:color w:val="auto"/>
              </w:rPr>
              <w:t>(DOLLARS IN THOUSANDS, EXCEPT SHARE DATA AND PER SHARE DATA)</w:t>
            </w:r>
          </w:p>
        </w:tc>
        <w:tc>
          <w:tcPr>
            <w:tcW w:w="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785"/>
        </w:trPr>
        <w:tc>
          <w:tcPr>
            <w:tcW w:w="7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60" w:type="dxa"/>
            <w:vAlign w:val="bottom"/>
            <w:gridSpan w:val="3"/>
          </w:tcPr>
          <w:p>
            <w:pPr>
              <w:jc w:val="right"/>
              <w:ind w:right="735"/>
              <w:spacing w:after="0"/>
              <w:rPr>
                <w:sz w:val="20"/>
                <w:szCs w:val="20"/>
                <w:color w:val="auto"/>
              </w:rPr>
            </w:pPr>
            <w:r>
              <w:rPr>
                <w:rFonts w:ascii="Courier New" w:cs="Courier New" w:eastAsia="Courier New" w:hAnsi="Courier New"/>
                <w:sz w:val="17"/>
                <w:szCs w:val="17"/>
                <w:color w:val="auto"/>
              </w:rPr>
              <w:t>As of December 31,</w:t>
            </w:r>
          </w:p>
        </w:tc>
      </w:tr>
      <w:tr>
        <w:trPr>
          <w:trHeight w:val="196"/>
        </w:trPr>
        <w:tc>
          <w:tcPr>
            <w:tcW w:w="7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60" w:type="dxa"/>
            <w:vAlign w:val="bottom"/>
            <w:gridSpan w:val="3"/>
          </w:tcPr>
          <w:p>
            <w:pPr>
              <w:jc w:val="right"/>
              <w:ind w:right="735"/>
              <w:spacing w:after="0"/>
              <w:rPr>
                <w:sz w:val="20"/>
                <w:szCs w:val="20"/>
                <w:color w:val="auto"/>
              </w:rPr>
            </w:pPr>
            <w:r>
              <w:rPr>
                <w:rFonts w:ascii="Courier New" w:cs="Courier New" w:eastAsia="Courier New" w:hAnsi="Courier New"/>
                <w:sz w:val="17"/>
                <w:szCs w:val="17"/>
                <w:color w:val="auto"/>
              </w:rPr>
              <w:t>------------------</w:t>
            </w:r>
          </w:p>
        </w:tc>
      </w:tr>
      <w:tr>
        <w:trPr>
          <w:trHeight w:val="196"/>
        </w:trPr>
        <w:tc>
          <w:tcPr>
            <w:tcW w:w="7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2003</w:t>
            </w:r>
          </w:p>
        </w:tc>
        <w:tc>
          <w:tcPr>
            <w:tcW w:w="620" w:type="dxa"/>
            <w:vAlign w:val="bottom"/>
          </w:tcPr>
          <w:p>
            <w:pPr>
              <w:spacing w:after="0"/>
              <w:rPr>
                <w:sz w:val="17"/>
                <w:szCs w:val="17"/>
                <w:color w:val="auto"/>
              </w:rPr>
            </w:pPr>
          </w:p>
        </w:tc>
        <w:tc>
          <w:tcPr>
            <w:tcW w:w="11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2002</w:t>
            </w:r>
          </w:p>
        </w:tc>
      </w:tr>
      <w:tr>
        <w:trPr>
          <w:trHeight w:val="196"/>
        </w:trPr>
        <w:tc>
          <w:tcPr>
            <w:tcW w:w="7360" w:type="dxa"/>
            <w:vAlign w:val="bottom"/>
          </w:tcPr>
          <w:p>
            <w:pPr>
              <w:spacing w:after="0"/>
              <w:rPr>
                <w:sz w:val="17"/>
                <w:szCs w:val="17"/>
                <w:color w:val="auto"/>
              </w:rPr>
            </w:pPr>
          </w:p>
        </w:tc>
        <w:tc>
          <w:tcPr>
            <w:tcW w:w="192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7360" w:type="dxa"/>
            <w:vAlign w:val="bottom"/>
          </w:tcPr>
          <w:p>
            <w:pPr>
              <w:spacing w:after="0"/>
              <w:rPr>
                <w:sz w:val="20"/>
                <w:szCs w:val="20"/>
                <w:color w:val="auto"/>
              </w:rPr>
            </w:pPr>
            <w:r>
              <w:rPr>
                <w:rFonts w:ascii="Courier New" w:cs="Courier New" w:eastAsia="Courier New" w:hAnsi="Courier New"/>
                <w:sz w:val="17"/>
                <w:szCs w:val="17"/>
                <w:color w:val="auto"/>
              </w:rPr>
              <w:t>A S S E T S</w:t>
            </w: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2"/>
        </w:trPr>
        <w:tc>
          <w:tcPr>
            <w:tcW w:w="7360" w:type="dxa"/>
            <w:vAlign w:val="bottom"/>
          </w:tcPr>
          <w:p>
            <w:pPr>
              <w:ind w:left="420"/>
              <w:spacing w:after="0"/>
              <w:rPr>
                <w:sz w:val="20"/>
                <w:szCs w:val="20"/>
                <w:color w:val="auto"/>
              </w:rPr>
            </w:pPr>
            <w:r>
              <w:rPr>
                <w:rFonts w:ascii="Courier New" w:cs="Courier New" w:eastAsia="Courier New" w:hAnsi="Courier New"/>
                <w:sz w:val="17"/>
                <w:szCs w:val="17"/>
                <w:color w:val="auto"/>
              </w:rPr>
              <w:t>CURRENT ASSETS</w:t>
            </w: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6"/>
        </w:trPr>
        <w:tc>
          <w:tcPr>
            <w:tcW w:w="7360" w:type="dxa"/>
            <w:vAlign w:val="bottom"/>
          </w:tcPr>
          <w:p>
            <w:pPr>
              <w:ind w:left="720"/>
              <w:spacing w:after="0"/>
              <w:rPr>
                <w:sz w:val="20"/>
                <w:szCs w:val="20"/>
                <w:color w:val="auto"/>
              </w:rPr>
            </w:pPr>
            <w:r>
              <w:rPr>
                <w:rFonts w:ascii="Courier New" w:cs="Courier New" w:eastAsia="Courier New" w:hAnsi="Courier New"/>
                <w:sz w:val="17"/>
                <w:szCs w:val="17"/>
                <w:color w:val="auto"/>
              </w:rPr>
              <w:t>CASH AND CASH EQUIVALENTS</w:t>
            </w:r>
          </w:p>
        </w:tc>
        <w:tc>
          <w:tcPr>
            <w:tcW w:w="5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12,448</w:t>
            </w:r>
          </w:p>
        </w:tc>
        <w:tc>
          <w:tcPr>
            <w:tcW w:w="6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7,857</w:t>
            </w:r>
          </w:p>
        </w:tc>
      </w:tr>
      <w:tr>
        <w:trPr>
          <w:trHeight w:val="196"/>
        </w:trPr>
        <w:tc>
          <w:tcPr>
            <w:tcW w:w="7360" w:type="dxa"/>
            <w:vAlign w:val="bottom"/>
          </w:tcPr>
          <w:p>
            <w:pPr>
              <w:ind w:left="720"/>
              <w:spacing w:after="0"/>
              <w:rPr>
                <w:sz w:val="20"/>
                <w:szCs w:val="20"/>
                <w:color w:val="auto"/>
              </w:rPr>
            </w:pPr>
            <w:r>
              <w:rPr>
                <w:rFonts w:ascii="Courier New" w:cs="Courier New" w:eastAsia="Courier New" w:hAnsi="Courier New"/>
                <w:sz w:val="17"/>
                <w:szCs w:val="17"/>
                <w:color w:val="auto"/>
              </w:rPr>
              <w:t>SHORT-TERM INTEREST-BEARING DEPOSITS</w:t>
            </w:r>
          </w:p>
        </w:tc>
        <w:tc>
          <w:tcPr>
            <w:tcW w:w="50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10,500</w:t>
            </w:r>
          </w:p>
        </w:tc>
      </w:tr>
      <w:tr>
        <w:trPr>
          <w:trHeight w:val="196"/>
        </w:trPr>
        <w:tc>
          <w:tcPr>
            <w:tcW w:w="7360" w:type="dxa"/>
            <w:vAlign w:val="bottom"/>
          </w:tcPr>
          <w:p>
            <w:pPr>
              <w:ind w:left="720"/>
              <w:spacing w:after="0"/>
              <w:rPr>
                <w:sz w:val="20"/>
                <w:szCs w:val="20"/>
                <w:color w:val="auto"/>
              </w:rPr>
            </w:pPr>
            <w:r>
              <w:rPr>
                <w:rFonts w:ascii="Courier New" w:cs="Courier New" w:eastAsia="Courier New" w:hAnsi="Courier New"/>
                <w:sz w:val="17"/>
                <w:szCs w:val="17"/>
                <w:color w:val="auto"/>
              </w:rPr>
              <w:t>CASH AND SHORT-TERM INTEREST-BEARING DEPOSITS</w:t>
            </w: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7360" w:type="dxa"/>
            <w:vAlign w:val="bottom"/>
          </w:tcPr>
          <w:p>
            <w:pPr>
              <w:ind w:left="1020"/>
              <w:spacing w:after="0"/>
              <w:rPr>
                <w:sz w:val="20"/>
                <w:szCs w:val="20"/>
                <w:color w:val="auto"/>
              </w:rPr>
            </w:pPr>
            <w:r>
              <w:rPr>
                <w:rFonts w:ascii="Courier New" w:cs="Courier New" w:eastAsia="Courier New" w:hAnsi="Courier New"/>
                <w:sz w:val="17"/>
                <w:szCs w:val="17"/>
                <w:color w:val="auto"/>
              </w:rPr>
              <w:t>DESIGNATED FOR INVESTMENTS RELATING TO FAB 2</w:t>
            </w:r>
          </w:p>
        </w:tc>
        <w:tc>
          <w:tcPr>
            <w:tcW w:w="50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44,042</w:t>
            </w:r>
          </w:p>
        </w:tc>
        <w:tc>
          <w:tcPr>
            <w:tcW w:w="6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51,338</w:t>
            </w:r>
          </w:p>
        </w:tc>
      </w:tr>
      <w:tr>
        <w:trPr>
          <w:trHeight w:val="196"/>
        </w:trPr>
        <w:tc>
          <w:tcPr>
            <w:tcW w:w="7360" w:type="dxa"/>
            <w:vAlign w:val="bottom"/>
          </w:tcPr>
          <w:p>
            <w:pPr>
              <w:ind w:left="720"/>
              <w:spacing w:after="0"/>
              <w:rPr>
                <w:sz w:val="20"/>
                <w:szCs w:val="20"/>
                <w:color w:val="auto"/>
              </w:rPr>
            </w:pPr>
            <w:r>
              <w:rPr>
                <w:rFonts w:ascii="Courier New" w:cs="Courier New" w:eastAsia="Courier New" w:hAnsi="Courier New"/>
                <w:sz w:val="17"/>
                <w:szCs w:val="17"/>
                <w:color w:val="auto"/>
              </w:rPr>
              <w:t>TRADE ACCOUNTS RECEIVABLE (NET OF ALLOWANCE FOR</w:t>
            </w: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7360" w:type="dxa"/>
            <w:vAlign w:val="bottom"/>
          </w:tcPr>
          <w:p>
            <w:pPr>
              <w:ind w:left="1020"/>
              <w:spacing w:after="0"/>
              <w:rPr>
                <w:sz w:val="20"/>
                <w:szCs w:val="20"/>
                <w:color w:val="auto"/>
              </w:rPr>
            </w:pPr>
            <w:r>
              <w:rPr>
                <w:rFonts w:ascii="Courier New" w:cs="Courier New" w:eastAsia="Courier New" w:hAnsi="Courier New"/>
                <w:sz w:val="17"/>
                <w:szCs w:val="17"/>
                <w:color w:val="auto"/>
              </w:rPr>
              <w:t>DOUBTFUL ACCOUNTS OF $0 AND $155, RESPECTIVELY)</w:t>
            </w:r>
          </w:p>
        </w:tc>
        <w:tc>
          <w:tcPr>
            <w:tcW w:w="50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11,631</w:t>
            </w:r>
          </w:p>
        </w:tc>
        <w:tc>
          <w:tcPr>
            <w:tcW w:w="6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7,456</w:t>
            </w:r>
          </w:p>
        </w:tc>
      </w:tr>
      <w:tr>
        <w:trPr>
          <w:trHeight w:val="196"/>
        </w:trPr>
        <w:tc>
          <w:tcPr>
            <w:tcW w:w="7360" w:type="dxa"/>
            <w:vAlign w:val="bottom"/>
          </w:tcPr>
          <w:p>
            <w:pPr>
              <w:ind w:left="720"/>
              <w:spacing w:after="0"/>
              <w:rPr>
                <w:sz w:val="20"/>
                <w:szCs w:val="20"/>
                <w:color w:val="auto"/>
              </w:rPr>
            </w:pPr>
            <w:r>
              <w:rPr>
                <w:rFonts w:ascii="Courier New" w:cs="Courier New" w:eastAsia="Courier New" w:hAnsi="Courier New"/>
                <w:sz w:val="17"/>
                <w:szCs w:val="17"/>
                <w:color w:val="auto"/>
              </w:rPr>
              <w:t>OTHER RECEIVABLES</w:t>
            </w:r>
          </w:p>
        </w:tc>
        <w:tc>
          <w:tcPr>
            <w:tcW w:w="50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11,073</w:t>
            </w:r>
          </w:p>
        </w:tc>
        <w:tc>
          <w:tcPr>
            <w:tcW w:w="6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21,322</w:t>
            </w:r>
          </w:p>
        </w:tc>
      </w:tr>
      <w:tr>
        <w:trPr>
          <w:trHeight w:val="196"/>
        </w:trPr>
        <w:tc>
          <w:tcPr>
            <w:tcW w:w="7360" w:type="dxa"/>
            <w:vAlign w:val="bottom"/>
          </w:tcPr>
          <w:p>
            <w:pPr>
              <w:ind w:left="720"/>
              <w:spacing w:after="0"/>
              <w:rPr>
                <w:sz w:val="20"/>
                <w:szCs w:val="20"/>
                <w:color w:val="auto"/>
              </w:rPr>
            </w:pPr>
            <w:r>
              <w:rPr>
                <w:rFonts w:ascii="Courier New" w:cs="Courier New" w:eastAsia="Courier New" w:hAnsi="Courier New"/>
                <w:sz w:val="17"/>
                <w:szCs w:val="17"/>
                <w:color w:val="auto"/>
              </w:rPr>
              <w:t>INVENTORIES</w:t>
            </w:r>
          </w:p>
        </w:tc>
        <w:tc>
          <w:tcPr>
            <w:tcW w:w="50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19,382</w:t>
            </w:r>
          </w:p>
        </w:tc>
        <w:tc>
          <w:tcPr>
            <w:tcW w:w="6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10,201</w:t>
            </w:r>
          </w:p>
        </w:tc>
      </w:tr>
      <w:tr>
        <w:trPr>
          <w:trHeight w:val="196"/>
        </w:trPr>
        <w:tc>
          <w:tcPr>
            <w:tcW w:w="7360" w:type="dxa"/>
            <w:vAlign w:val="bottom"/>
          </w:tcPr>
          <w:p>
            <w:pPr>
              <w:ind w:left="720"/>
              <w:spacing w:after="0"/>
              <w:rPr>
                <w:sz w:val="20"/>
                <w:szCs w:val="20"/>
                <w:color w:val="auto"/>
              </w:rPr>
            </w:pPr>
            <w:r>
              <w:rPr>
                <w:rFonts w:ascii="Courier New" w:cs="Courier New" w:eastAsia="Courier New" w:hAnsi="Courier New"/>
                <w:sz w:val="17"/>
                <w:szCs w:val="17"/>
                <w:color w:val="auto"/>
              </w:rPr>
              <w:t>OTHER CURRENT ASSETS</w:t>
            </w:r>
          </w:p>
        </w:tc>
        <w:tc>
          <w:tcPr>
            <w:tcW w:w="50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1,729</w:t>
            </w:r>
          </w:p>
        </w:tc>
        <w:tc>
          <w:tcPr>
            <w:tcW w:w="6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1,407</w:t>
            </w:r>
          </w:p>
        </w:tc>
      </w:tr>
      <w:tr>
        <w:trPr>
          <w:trHeight w:val="196"/>
        </w:trPr>
        <w:tc>
          <w:tcPr>
            <w:tcW w:w="7360" w:type="dxa"/>
            <w:vAlign w:val="bottom"/>
          </w:tcPr>
          <w:p>
            <w:pPr>
              <w:spacing w:after="0"/>
              <w:rPr>
                <w:sz w:val="17"/>
                <w:szCs w:val="17"/>
                <w:color w:val="auto"/>
              </w:rPr>
            </w:pPr>
          </w:p>
        </w:tc>
        <w:tc>
          <w:tcPr>
            <w:tcW w:w="192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360" w:type="dxa"/>
            <w:vAlign w:val="bottom"/>
          </w:tcPr>
          <w:p>
            <w:pPr>
              <w:ind w:left="1440"/>
              <w:spacing w:after="0"/>
              <w:rPr>
                <w:sz w:val="20"/>
                <w:szCs w:val="20"/>
                <w:color w:val="auto"/>
              </w:rPr>
            </w:pPr>
            <w:r>
              <w:rPr>
                <w:rFonts w:ascii="Courier New" w:cs="Courier New" w:eastAsia="Courier New" w:hAnsi="Courier New"/>
                <w:sz w:val="17"/>
                <w:szCs w:val="17"/>
                <w:color w:val="auto"/>
              </w:rPr>
              <w:t>TOTAL CURRENT ASSETS</w:t>
            </w:r>
          </w:p>
        </w:tc>
        <w:tc>
          <w:tcPr>
            <w:tcW w:w="50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100,305</w:t>
            </w:r>
          </w:p>
        </w:tc>
        <w:tc>
          <w:tcPr>
            <w:tcW w:w="6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110,081</w:t>
            </w:r>
          </w:p>
        </w:tc>
      </w:tr>
      <w:tr>
        <w:trPr>
          <w:trHeight w:val="196"/>
        </w:trPr>
        <w:tc>
          <w:tcPr>
            <w:tcW w:w="7360" w:type="dxa"/>
            <w:vAlign w:val="bottom"/>
          </w:tcPr>
          <w:p>
            <w:pPr>
              <w:spacing w:after="0"/>
              <w:rPr>
                <w:sz w:val="17"/>
                <w:szCs w:val="17"/>
                <w:color w:val="auto"/>
              </w:rPr>
            </w:pPr>
          </w:p>
        </w:tc>
        <w:tc>
          <w:tcPr>
            <w:tcW w:w="192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360" w:type="dxa"/>
            <w:vAlign w:val="bottom"/>
          </w:tcPr>
          <w:p>
            <w:pPr>
              <w:ind w:left="420"/>
              <w:spacing w:after="0"/>
              <w:rPr>
                <w:sz w:val="20"/>
                <w:szCs w:val="20"/>
                <w:color w:val="auto"/>
              </w:rPr>
            </w:pPr>
            <w:r>
              <w:rPr>
                <w:rFonts w:ascii="Courier New" w:cs="Courier New" w:eastAsia="Courier New" w:hAnsi="Courier New"/>
                <w:sz w:val="17"/>
                <w:szCs w:val="17"/>
                <w:color w:val="auto"/>
              </w:rPr>
              <w:t>LONG-TERM INVESTMENTS</w:t>
            </w: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7360" w:type="dxa"/>
            <w:vAlign w:val="bottom"/>
          </w:tcPr>
          <w:p>
            <w:pPr>
              <w:ind w:left="720"/>
              <w:spacing w:after="0"/>
              <w:rPr>
                <w:sz w:val="20"/>
                <w:szCs w:val="20"/>
                <w:color w:val="auto"/>
              </w:rPr>
            </w:pPr>
            <w:r>
              <w:rPr>
                <w:rFonts w:ascii="Courier New" w:cs="Courier New" w:eastAsia="Courier New" w:hAnsi="Courier New"/>
                <w:sz w:val="17"/>
                <w:szCs w:val="17"/>
                <w:color w:val="auto"/>
              </w:rPr>
              <w:t>LONG-TERM INTEREST-BEARING DEPOSITS</w:t>
            </w: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7360" w:type="dxa"/>
            <w:vAlign w:val="bottom"/>
          </w:tcPr>
          <w:p>
            <w:pPr>
              <w:ind w:left="1020"/>
              <w:spacing w:after="0"/>
              <w:rPr>
                <w:sz w:val="20"/>
                <w:szCs w:val="20"/>
                <w:color w:val="auto"/>
              </w:rPr>
            </w:pPr>
            <w:r>
              <w:rPr>
                <w:rFonts w:ascii="Courier New" w:cs="Courier New" w:eastAsia="Courier New" w:hAnsi="Courier New"/>
                <w:sz w:val="17"/>
                <w:szCs w:val="17"/>
                <w:color w:val="auto"/>
              </w:rPr>
              <w:t>DESIGNATED FOR INVESTMENTS RELATING TO FAB 2</w:t>
            </w:r>
          </w:p>
        </w:tc>
        <w:tc>
          <w:tcPr>
            <w:tcW w:w="50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4,848</w:t>
            </w:r>
          </w:p>
        </w:tc>
        <w:tc>
          <w:tcPr>
            <w:tcW w:w="6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11,893</w:t>
            </w:r>
          </w:p>
        </w:tc>
      </w:tr>
      <w:tr>
        <w:trPr>
          <w:trHeight w:val="196"/>
        </w:trPr>
        <w:tc>
          <w:tcPr>
            <w:tcW w:w="7360" w:type="dxa"/>
            <w:vAlign w:val="bottom"/>
          </w:tcPr>
          <w:p>
            <w:pPr>
              <w:ind w:left="720"/>
              <w:spacing w:after="0"/>
              <w:rPr>
                <w:sz w:val="20"/>
                <w:szCs w:val="20"/>
                <w:color w:val="auto"/>
              </w:rPr>
            </w:pPr>
            <w:r>
              <w:rPr>
                <w:rFonts w:ascii="Courier New" w:cs="Courier New" w:eastAsia="Courier New" w:hAnsi="Courier New"/>
                <w:sz w:val="17"/>
                <w:szCs w:val="17"/>
                <w:color w:val="auto"/>
              </w:rPr>
              <w:t>OTHER LONG-TERM INVESTMENT</w:t>
            </w:r>
          </w:p>
        </w:tc>
        <w:tc>
          <w:tcPr>
            <w:tcW w:w="50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6,000</w:t>
            </w:r>
          </w:p>
        </w:tc>
        <w:tc>
          <w:tcPr>
            <w:tcW w:w="6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6,000</w:t>
            </w:r>
          </w:p>
        </w:tc>
      </w:tr>
      <w:tr>
        <w:trPr>
          <w:trHeight w:val="196"/>
        </w:trPr>
        <w:tc>
          <w:tcPr>
            <w:tcW w:w="7360" w:type="dxa"/>
            <w:vAlign w:val="bottom"/>
          </w:tcPr>
          <w:p>
            <w:pPr>
              <w:spacing w:after="0"/>
              <w:rPr>
                <w:sz w:val="17"/>
                <w:szCs w:val="17"/>
                <w:color w:val="auto"/>
              </w:rPr>
            </w:pPr>
          </w:p>
        </w:tc>
        <w:tc>
          <w:tcPr>
            <w:tcW w:w="192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10,848</w:t>
            </w:r>
          </w:p>
        </w:tc>
        <w:tc>
          <w:tcPr>
            <w:tcW w:w="6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17,893</w:t>
            </w:r>
          </w:p>
        </w:tc>
      </w:tr>
      <w:tr>
        <w:trPr>
          <w:trHeight w:val="196"/>
        </w:trPr>
        <w:tc>
          <w:tcPr>
            <w:tcW w:w="7360" w:type="dxa"/>
            <w:vAlign w:val="bottom"/>
          </w:tcPr>
          <w:p>
            <w:pPr>
              <w:spacing w:after="0"/>
              <w:rPr>
                <w:sz w:val="17"/>
                <w:szCs w:val="17"/>
                <w:color w:val="auto"/>
              </w:rPr>
            </w:pPr>
          </w:p>
        </w:tc>
        <w:tc>
          <w:tcPr>
            <w:tcW w:w="192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360" w:type="dxa"/>
            <w:vAlign w:val="bottom"/>
          </w:tcPr>
          <w:p>
            <w:pPr>
              <w:ind w:left="420"/>
              <w:spacing w:after="0"/>
              <w:rPr>
                <w:sz w:val="20"/>
                <w:szCs w:val="20"/>
                <w:color w:val="auto"/>
              </w:rPr>
            </w:pPr>
            <w:r>
              <w:rPr>
                <w:rFonts w:ascii="Courier New" w:cs="Courier New" w:eastAsia="Courier New" w:hAnsi="Courier New"/>
                <w:sz w:val="17"/>
                <w:szCs w:val="17"/>
                <w:color w:val="auto"/>
              </w:rPr>
              <w:t>PROPERTY AND EQUIPMENT, NET</w:t>
            </w:r>
          </w:p>
        </w:tc>
        <w:tc>
          <w:tcPr>
            <w:tcW w:w="50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568,412</w:t>
            </w:r>
          </w:p>
        </w:tc>
        <w:tc>
          <w:tcPr>
            <w:tcW w:w="6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493,074</w:t>
            </w:r>
          </w:p>
        </w:tc>
      </w:tr>
      <w:tr>
        <w:trPr>
          <w:trHeight w:val="196"/>
        </w:trPr>
        <w:tc>
          <w:tcPr>
            <w:tcW w:w="7360" w:type="dxa"/>
            <w:vAlign w:val="bottom"/>
          </w:tcPr>
          <w:p>
            <w:pPr>
              <w:spacing w:after="0"/>
              <w:rPr>
                <w:sz w:val="17"/>
                <w:szCs w:val="17"/>
                <w:color w:val="auto"/>
              </w:rPr>
            </w:pPr>
          </w:p>
        </w:tc>
        <w:tc>
          <w:tcPr>
            <w:tcW w:w="192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360" w:type="dxa"/>
            <w:vAlign w:val="bottom"/>
          </w:tcPr>
          <w:p>
            <w:pPr>
              <w:ind w:left="420"/>
              <w:spacing w:after="0"/>
              <w:rPr>
                <w:sz w:val="20"/>
                <w:szCs w:val="20"/>
                <w:color w:val="auto"/>
              </w:rPr>
            </w:pPr>
            <w:r>
              <w:rPr>
                <w:rFonts w:ascii="Courier New" w:cs="Courier New" w:eastAsia="Courier New" w:hAnsi="Courier New"/>
                <w:sz w:val="17"/>
                <w:szCs w:val="17"/>
                <w:color w:val="auto"/>
              </w:rPr>
              <w:t>OTHER ASSETS, NET</w:t>
            </w:r>
          </w:p>
        </w:tc>
        <w:tc>
          <w:tcPr>
            <w:tcW w:w="50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108,770</w:t>
            </w:r>
          </w:p>
        </w:tc>
        <w:tc>
          <w:tcPr>
            <w:tcW w:w="6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95,213</w:t>
            </w:r>
          </w:p>
        </w:tc>
      </w:tr>
      <w:tr>
        <w:trPr>
          <w:trHeight w:val="196"/>
        </w:trPr>
        <w:tc>
          <w:tcPr>
            <w:tcW w:w="7360" w:type="dxa"/>
            <w:vAlign w:val="bottom"/>
          </w:tcPr>
          <w:p>
            <w:pPr>
              <w:spacing w:after="0"/>
              <w:rPr>
                <w:sz w:val="17"/>
                <w:szCs w:val="17"/>
                <w:color w:val="auto"/>
              </w:rPr>
            </w:pPr>
          </w:p>
        </w:tc>
        <w:tc>
          <w:tcPr>
            <w:tcW w:w="192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360" w:type="dxa"/>
            <w:vAlign w:val="bottom"/>
          </w:tcPr>
          <w:p>
            <w:pPr>
              <w:ind w:left="1440"/>
              <w:spacing w:after="0"/>
              <w:rPr>
                <w:sz w:val="20"/>
                <w:szCs w:val="20"/>
                <w:color w:val="auto"/>
              </w:rPr>
            </w:pPr>
            <w:r>
              <w:rPr>
                <w:rFonts w:ascii="Courier New" w:cs="Courier New" w:eastAsia="Courier New" w:hAnsi="Courier New"/>
                <w:sz w:val="17"/>
                <w:szCs w:val="17"/>
                <w:color w:val="auto"/>
              </w:rPr>
              <w:t>TOTAL ASSETS</w:t>
            </w:r>
          </w:p>
        </w:tc>
        <w:tc>
          <w:tcPr>
            <w:tcW w:w="5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788,335</w:t>
            </w:r>
          </w:p>
        </w:tc>
        <w:tc>
          <w:tcPr>
            <w:tcW w:w="6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716,261</w:t>
            </w:r>
          </w:p>
        </w:tc>
      </w:tr>
      <w:tr>
        <w:trPr>
          <w:trHeight w:val="196"/>
        </w:trPr>
        <w:tc>
          <w:tcPr>
            <w:tcW w:w="7360" w:type="dxa"/>
            <w:vAlign w:val="bottom"/>
          </w:tcPr>
          <w:p>
            <w:pPr>
              <w:spacing w:after="0"/>
              <w:rPr>
                <w:sz w:val="17"/>
                <w:szCs w:val="17"/>
                <w:color w:val="auto"/>
              </w:rPr>
            </w:pPr>
          </w:p>
        </w:tc>
        <w:tc>
          <w:tcPr>
            <w:tcW w:w="192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589"/>
        </w:trPr>
        <w:tc>
          <w:tcPr>
            <w:tcW w:w="7360" w:type="dxa"/>
            <w:vAlign w:val="bottom"/>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2"/>
        </w:trPr>
        <w:tc>
          <w:tcPr>
            <w:tcW w:w="7360" w:type="dxa"/>
            <w:vAlign w:val="bottom"/>
          </w:tcPr>
          <w:p>
            <w:pPr>
              <w:ind w:left="420"/>
              <w:spacing w:after="0"/>
              <w:rPr>
                <w:sz w:val="20"/>
                <w:szCs w:val="20"/>
                <w:color w:val="auto"/>
              </w:rPr>
            </w:pPr>
            <w:r>
              <w:rPr>
                <w:rFonts w:ascii="Courier New" w:cs="Courier New" w:eastAsia="Courier New" w:hAnsi="Courier New"/>
                <w:sz w:val="17"/>
                <w:szCs w:val="17"/>
                <w:color w:val="auto"/>
              </w:rPr>
              <w:t>CURRENT LIABILITIES</w:t>
            </w: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6"/>
        </w:trPr>
        <w:tc>
          <w:tcPr>
            <w:tcW w:w="7360" w:type="dxa"/>
            <w:vAlign w:val="bottom"/>
          </w:tcPr>
          <w:p>
            <w:pPr>
              <w:ind w:left="720"/>
              <w:spacing w:after="0"/>
              <w:rPr>
                <w:sz w:val="20"/>
                <w:szCs w:val="20"/>
                <w:color w:val="auto"/>
              </w:rPr>
            </w:pPr>
            <w:r>
              <w:rPr>
                <w:rFonts w:ascii="Courier New" w:cs="Courier New" w:eastAsia="Courier New" w:hAnsi="Courier New"/>
                <w:sz w:val="17"/>
                <w:szCs w:val="17"/>
                <w:color w:val="auto"/>
              </w:rPr>
              <w:t>SHORT-TERM DEBT</w:t>
            </w:r>
          </w:p>
        </w:tc>
        <w:tc>
          <w:tcPr>
            <w:tcW w:w="5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4,000</w:t>
            </w:r>
          </w:p>
        </w:tc>
      </w:tr>
      <w:tr>
        <w:trPr>
          <w:trHeight w:val="196"/>
        </w:trPr>
        <w:tc>
          <w:tcPr>
            <w:tcW w:w="7360" w:type="dxa"/>
            <w:vAlign w:val="bottom"/>
          </w:tcPr>
          <w:p>
            <w:pPr>
              <w:ind w:left="720"/>
              <w:spacing w:after="0"/>
              <w:rPr>
                <w:sz w:val="20"/>
                <w:szCs w:val="20"/>
                <w:color w:val="auto"/>
              </w:rPr>
            </w:pPr>
            <w:r>
              <w:rPr>
                <w:rFonts w:ascii="Courier New" w:cs="Courier New" w:eastAsia="Courier New" w:hAnsi="Courier New"/>
                <w:sz w:val="17"/>
                <w:szCs w:val="17"/>
                <w:color w:val="auto"/>
              </w:rPr>
              <w:t>TRADE ACCOUNTS PAYABLE</w:t>
            </w:r>
          </w:p>
        </w:tc>
        <w:tc>
          <w:tcPr>
            <w:tcW w:w="50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40,249</w:t>
            </w:r>
          </w:p>
        </w:tc>
        <w:tc>
          <w:tcPr>
            <w:tcW w:w="6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76,083</w:t>
            </w:r>
          </w:p>
        </w:tc>
      </w:tr>
      <w:tr>
        <w:trPr>
          <w:trHeight w:val="196"/>
        </w:trPr>
        <w:tc>
          <w:tcPr>
            <w:tcW w:w="7360" w:type="dxa"/>
            <w:vAlign w:val="bottom"/>
          </w:tcPr>
          <w:p>
            <w:pPr>
              <w:ind w:left="720"/>
              <w:spacing w:after="0"/>
              <w:rPr>
                <w:sz w:val="20"/>
                <w:szCs w:val="20"/>
                <w:color w:val="auto"/>
              </w:rPr>
            </w:pPr>
            <w:r>
              <w:rPr>
                <w:rFonts w:ascii="Courier New" w:cs="Courier New" w:eastAsia="Courier New" w:hAnsi="Courier New"/>
                <w:sz w:val="17"/>
                <w:szCs w:val="17"/>
                <w:color w:val="auto"/>
              </w:rPr>
              <w:t>OTHER CURRENT LIABILITIES</w:t>
            </w:r>
          </w:p>
        </w:tc>
        <w:tc>
          <w:tcPr>
            <w:tcW w:w="50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9,564</w:t>
            </w:r>
          </w:p>
        </w:tc>
        <w:tc>
          <w:tcPr>
            <w:tcW w:w="6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8,071</w:t>
            </w:r>
          </w:p>
        </w:tc>
      </w:tr>
      <w:tr>
        <w:trPr>
          <w:trHeight w:val="196"/>
        </w:trPr>
        <w:tc>
          <w:tcPr>
            <w:tcW w:w="7360" w:type="dxa"/>
            <w:vAlign w:val="bottom"/>
          </w:tcPr>
          <w:p>
            <w:pPr>
              <w:spacing w:after="0"/>
              <w:rPr>
                <w:sz w:val="17"/>
                <w:szCs w:val="17"/>
                <w:color w:val="auto"/>
              </w:rPr>
            </w:pPr>
          </w:p>
        </w:tc>
        <w:tc>
          <w:tcPr>
            <w:tcW w:w="192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360" w:type="dxa"/>
            <w:vAlign w:val="bottom"/>
          </w:tcPr>
          <w:p>
            <w:pPr>
              <w:ind w:left="1440"/>
              <w:spacing w:after="0"/>
              <w:rPr>
                <w:sz w:val="20"/>
                <w:szCs w:val="20"/>
                <w:color w:val="auto"/>
              </w:rPr>
            </w:pPr>
            <w:r>
              <w:rPr>
                <w:rFonts w:ascii="Courier New" w:cs="Courier New" w:eastAsia="Courier New" w:hAnsi="Courier New"/>
                <w:sz w:val="17"/>
                <w:szCs w:val="17"/>
                <w:color w:val="auto"/>
              </w:rPr>
              <w:t>TOTAL CURRENT LIABILITIES</w:t>
            </w:r>
          </w:p>
        </w:tc>
        <w:tc>
          <w:tcPr>
            <w:tcW w:w="50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49,813</w:t>
            </w:r>
          </w:p>
        </w:tc>
        <w:tc>
          <w:tcPr>
            <w:tcW w:w="6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88,154</w:t>
            </w:r>
          </w:p>
        </w:tc>
      </w:tr>
      <w:tr>
        <w:trPr>
          <w:trHeight w:val="392"/>
        </w:trPr>
        <w:tc>
          <w:tcPr>
            <w:tcW w:w="7360" w:type="dxa"/>
            <w:vAlign w:val="bottom"/>
          </w:tcPr>
          <w:p>
            <w:pPr>
              <w:ind w:left="420"/>
              <w:spacing w:after="0"/>
              <w:rPr>
                <w:sz w:val="20"/>
                <w:szCs w:val="20"/>
                <w:color w:val="auto"/>
              </w:rPr>
            </w:pPr>
            <w:r>
              <w:rPr>
                <w:rFonts w:ascii="Courier New" w:cs="Courier New" w:eastAsia="Courier New" w:hAnsi="Courier New"/>
                <w:sz w:val="17"/>
                <w:szCs w:val="17"/>
                <w:color w:val="auto"/>
              </w:rPr>
              <w:t>LONG-TERM DEBT</w:t>
            </w:r>
          </w:p>
        </w:tc>
        <w:tc>
          <w:tcPr>
            <w:tcW w:w="500" w:type="dxa"/>
            <w:vAlign w:val="bottom"/>
          </w:tcPr>
          <w:p>
            <w:pPr>
              <w:spacing w:after="0"/>
              <w:rPr>
                <w:sz w:val="24"/>
                <w:szCs w:val="24"/>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431,000</w:t>
            </w:r>
          </w:p>
        </w:tc>
        <w:tc>
          <w:tcPr>
            <w:tcW w:w="620" w:type="dxa"/>
            <w:vAlign w:val="bottom"/>
          </w:tcPr>
          <w:p>
            <w:pPr>
              <w:spacing w:after="0"/>
              <w:rPr>
                <w:sz w:val="24"/>
                <w:szCs w:val="24"/>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253,000</w:t>
            </w:r>
          </w:p>
        </w:tc>
      </w:tr>
      <w:tr>
        <w:trPr>
          <w:trHeight w:val="392"/>
        </w:trPr>
        <w:tc>
          <w:tcPr>
            <w:tcW w:w="7360" w:type="dxa"/>
            <w:vAlign w:val="bottom"/>
          </w:tcPr>
          <w:p>
            <w:pPr>
              <w:ind w:left="420"/>
              <w:spacing w:after="0"/>
              <w:rPr>
                <w:sz w:val="20"/>
                <w:szCs w:val="20"/>
                <w:color w:val="auto"/>
              </w:rPr>
            </w:pPr>
            <w:r>
              <w:rPr>
                <w:rFonts w:ascii="Courier New" w:cs="Courier New" w:eastAsia="Courier New" w:hAnsi="Courier New"/>
                <w:sz w:val="17"/>
                <w:szCs w:val="17"/>
                <w:color w:val="auto"/>
              </w:rPr>
              <w:t>CONVERTIBLE DEBENTURES</w:t>
            </w:r>
          </w:p>
        </w:tc>
        <w:tc>
          <w:tcPr>
            <w:tcW w:w="500" w:type="dxa"/>
            <w:vAlign w:val="bottom"/>
          </w:tcPr>
          <w:p>
            <w:pPr>
              <w:spacing w:after="0"/>
              <w:rPr>
                <w:sz w:val="24"/>
                <w:szCs w:val="24"/>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25,783</w:t>
            </w:r>
          </w:p>
        </w:tc>
        <w:tc>
          <w:tcPr>
            <w:tcW w:w="620" w:type="dxa"/>
            <w:vAlign w:val="bottom"/>
          </w:tcPr>
          <w:p>
            <w:pPr>
              <w:spacing w:after="0"/>
              <w:rPr>
                <w:sz w:val="24"/>
                <w:szCs w:val="24"/>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24,121</w:t>
            </w:r>
          </w:p>
        </w:tc>
      </w:tr>
      <w:tr>
        <w:trPr>
          <w:trHeight w:val="392"/>
        </w:trPr>
        <w:tc>
          <w:tcPr>
            <w:tcW w:w="7360" w:type="dxa"/>
            <w:vAlign w:val="bottom"/>
          </w:tcPr>
          <w:p>
            <w:pPr>
              <w:ind w:left="420"/>
              <w:spacing w:after="0"/>
              <w:rPr>
                <w:sz w:val="20"/>
                <w:szCs w:val="20"/>
                <w:color w:val="auto"/>
              </w:rPr>
            </w:pPr>
            <w:r>
              <w:rPr>
                <w:rFonts w:ascii="Courier New" w:cs="Courier New" w:eastAsia="Courier New" w:hAnsi="Courier New"/>
                <w:sz w:val="17"/>
                <w:szCs w:val="17"/>
                <w:color w:val="auto"/>
              </w:rPr>
              <w:t>OTHER LONG-TERM LIABILITIES</w:t>
            </w:r>
          </w:p>
        </w:tc>
        <w:tc>
          <w:tcPr>
            <w:tcW w:w="500" w:type="dxa"/>
            <w:vAlign w:val="bottom"/>
          </w:tcPr>
          <w:p>
            <w:pPr>
              <w:spacing w:after="0"/>
              <w:rPr>
                <w:sz w:val="24"/>
                <w:szCs w:val="24"/>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5,935</w:t>
            </w:r>
          </w:p>
        </w:tc>
        <w:tc>
          <w:tcPr>
            <w:tcW w:w="620" w:type="dxa"/>
            <w:vAlign w:val="bottom"/>
          </w:tcPr>
          <w:p>
            <w:pPr>
              <w:spacing w:after="0"/>
              <w:rPr>
                <w:sz w:val="24"/>
                <w:szCs w:val="24"/>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5,406</w:t>
            </w:r>
          </w:p>
        </w:tc>
      </w:tr>
      <w:tr>
        <w:trPr>
          <w:trHeight w:val="392"/>
        </w:trPr>
        <w:tc>
          <w:tcPr>
            <w:tcW w:w="7360" w:type="dxa"/>
            <w:vAlign w:val="bottom"/>
          </w:tcPr>
          <w:p>
            <w:pPr>
              <w:ind w:left="420"/>
              <w:spacing w:after="0"/>
              <w:rPr>
                <w:sz w:val="20"/>
                <w:szCs w:val="20"/>
                <w:color w:val="auto"/>
              </w:rPr>
            </w:pPr>
            <w:r>
              <w:rPr>
                <w:rFonts w:ascii="Courier New" w:cs="Courier New" w:eastAsia="Courier New" w:hAnsi="Courier New"/>
                <w:sz w:val="17"/>
                <w:szCs w:val="17"/>
                <w:color w:val="auto"/>
              </w:rPr>
              <w:t>LONG-TERM LIABILITY IN RESPECT</w:t>
            </w: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6"/>
        </w:trPr>
        <w:tc>
          <w:tcPr>
            <w:tcW w:w="7360" w:type="dxa"/>
            <w:vAlign w:val="bottom"/>
          </w:tcPr>
          <w:p>
            <w:pPr>
              <w:ind w:left="820"/>
              <w:spacing w:after="0"/>
              <w:rPr>
                <w:sz w:val="20"/>
                <w:szCs w:val="20"/>
                <w:color w:val="auto"/>
              </w:rPr>
            </w:pPr>
            <w:r>
              <w:rPr>
                <w:rFonts w:ascii="Courier New" w:cs="Courier New" w:eastAsia="Courier New" w:hAnsi="Courier New"/>
                <w:sz w:val="17"/>
                <w:szCs w:val="17"/>
                <w:color w:val="auto"/>
              </w:rPr>
              <w:t>OF CUSTOMERS' ADVANCES</w:t>
            </w:r>
          </w:p>
        </w:tc>
        <w:tc>
          <w:tcPr>
            <w:tcW w:w="50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46,347</w:t>
            </w:r>
          </w:p>
        </w:tc>
        <w:tc>
          <w:tcPr>
            <w:tcW w:w="6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47,246</w:t>
            </w:r>
          </w:p>
        </w:tc>
      </w:tr>
      <w:tr>
        <w:trPr>
          <w:trHeight w:val="196"/>
        </w:trPr>
        <w:tc>
          <w:tcPr>
            <w:tcW w:w="7360" w:type="dxa"/>
            <w:vAlign w:val="bottom"/>
          </w:tcPr>
          <w:p>
            <w:pPr>
              <w:spacing w:after="0"/>
              <w:rPr>
                <w:sz w:val="17"/>
                <w:szCs w:val="17"/>
                <w:color w:val="auto"/>
              </w:rPr>
            </w:pPr>
          </w:p>
        </w:tc>
        <w:tc>
          <w:tcPr>
            <w:tcW w:w="192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360" w:type="dxa"/>
            <w:vAlign w:val="bottom"/>
          </w:tcPr>
          <w:p>
            <w:pPr>
              <w:ind w:left="1440"/>
              <w:spacing w:after="0"/>
              <w:rPr>
                <w:sz w:val="20"/>
                <w:szCs w:val="20"/>
                <w:color w:val="auto"/>
              </w:rPr>
            </w:pPr>
            <w:r>
              <w:rPr>
                <w:rFonts w:ascii="Courier New" w:cs="Courier New" w:eastAsia="Courier New" w:hAnsi="Courier New"/>
                <w:sz w:val="17"/>
                <w:szCs w:val="17"/>
                <w:color w:val="auto"/>
              </w:rPr>
              <w:t>TOTAL LIABILITIES</w:t>
            </w:r>
          </w:p>
        </w:tc>
        <w:tc>
          <w:tcPr>
            <w:tcW w:w="50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558,878</w:t>
            </w:r>
          </w:p>
        </w:tc>
        <w:tc>
          <w:tcPr>
            <w:tcW w:w="6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417,927</w:t>
            </w:r>
          </w:p>
        </w:tc>
      </w:tr>
      <w:tr>
        <w:trPr>
          <w:trHeight w:val="196"/>
        </w:trPr>
        <w:tc>
          <w:tcPr>
            <w:tcW w:w="7360" w:type="dxa"/>
            <w:vAlign w:val="bottom"/>
          </w:tcPr>
          <w:p>
            <w:pPr>
              <w:spacing w:after="0"/>
              <w:rPr>
                <w:sz w:val="17"/>
                <w:szCs w:val="17"/>
                <w:color w:val="auto"/>
              </w:rPr>
            </w:pPr>
          </w:p>
        </w:tc>
        <w:tc>
          <w:tcPr>
            <w:tcW w:w="192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360" w:type="dxa"/>
            <w:vAlign w:val="bottom"/>
          </w:tcPr>
          <w:p>
            <w:pPr>
              <w:ind w:left="420"/>
              <w:spacing w:after="0"/>
              <w:rPr>
                <w:sz w:val="20"/>
                <w:szCs w:val="20"/>
                <w:color w:val="auto"/>
              </w:rPr>
            </w:pPr>
            <w:r>
              <w:rPr>
                <w:rFonts w:ascii="Courier New" w:cs="Courier New" w:eastAsia="Courier New" w:hAnsi="Courier New"/>
                <w:sz w:val="17"/>
                <w:szCs w:val="17"/>
                <w:color w:val="auto"/>
              </w:rPr>
              <w:t>SHAREHOLDERS' EQUITY</w:t>
            </w: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7360" w:type="dxa"/>
            <w:vAlign w:val="bottom"/>
          </w:tcPr>
          <w:p>
            <w:pPr>
              <w:ind w:left="720"/>
              <w:spacing w:after="0"/>
              <w:rPr>
                <w:sz w:val="20"/>
                <w:szCs w:val="20"/>
                <w:color w:val="auto"/>
              </w:rPr>
            </w:pPr>
            <w:r>
              <w:rPr>
                <w:rFonts w:ascii="Courier New" w:cs="Courier New" w:eastAsia="Courier New" w:hAnsi="Courier New"/>
                <w:sz w:val="17"/>
                <w:szCs w:val="17"/>
                <w:color w:val="auto"/>
              </w:rPr>
              <w:t>ORDINARY SHARES</w:t>
            </w:r>
          </w:p>
        </w:tc>
        <w:tc>
          <w:tcPr>
            <w:tcW w:w="50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13,150</w:t>
            </w:r>
          </w:p>
        </w:tc>
        <w:tc>
          <w:tcPr>
            <w:tcW w:w="6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11,294</w:t>
            </w:r>
          </w:p>
        </w:tc>
      </w:tr>
      <w:tr>
        <w:trPr>
          <w:trHeight w:val="196"/>
        </w:trPr>
        <w:tc>
          <w:tcPr>
            <w:tcW w:w="7360" w:type="dxa"/>
            <w:vAlign w:val="bottom"/>
          </w:tcPr>
          <w:p>
            <w:pPr>
              <w:ind w:left="720"/>
              <w:spacing w:after="0"/>
              <w:rPr>
                <w:sz w:val="20"/>
                <w:szCs w:val="20"/>
                <w:color w:val="auto"/>
              </w:rPr>
            </w:pPr>
            <w:r>
              <w:rPr>
                <w:rFonts w:ascii="Courier New" w:cs="Courier New" w:eastAsia="Courier New" w:hAnsi="Courier New"/>
                <w:sz w:val="17"/>
                <w:szCs w:val="17"/>
                <w:color w:val="auto"/>
              </w:rPr>
              <w:t>ADDITIONAL PAID-IN CAPITAL</w:t>
            </w:r>
          </w:p>
        </w:tc>
        <w:tc>
          <w:tcPr>
            <w:tcW w:w="50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427,881</w:t>
            </w:r>
          </w:p>
        </w:tc>
        <w:tc>
          <w:tcPr>
            <w:tcW w:w="6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400,808</w:t>
            </w:r>
          </w:p>
        </w:tc>
      </w:tr>
      <w:tr>
        <w:trPr>
          <w:trHeight w:val="196"/>
        </w:trPr>
        <w:tc>
          <w:tcPr>
            <w:tcW w:w="7360" w:type="dxa"/>
            <w:vAlign w:val="bottom"/>
          </w:tcPr>
          <w:p>
            <w:pPr>
              <w:ind w:left="720"/>
              <w:spacing w:after="0"/>
              <w:rPr>
                <w:sz w:val="20"/>
                <w:szCs w:val="20"/>
                <w:color w:val="auto"/>
              </w:rPr>
            </w:pPr>
            <w:r>
              <w:rPr>
                <w:rFonts w:ascii="Courier New" w:cs="Courier New" w:eastAsia="Courier New" w:hAnsi="Courier New"/>
                <w:sz w:val="17"/>
                <w:szCs w:val="17"/>
                <w:color w:val="auto"/>
              </w:rPr>
              <w:t>PROCEEDS ON ACCOUNT OF SHARE CAPITAL</w:t>
            </w:r>
          </w:p>
        </w:tc>
        <w:tc>
          <w:tcPr>
            <w:tcW w:w="50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16,428</w:t>
            </w:r>
          </w:p>
        </w:tc>
        <w:tc>
          <w:tcPr>
            <w:tcW w:w="6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360" w:type="dxa"/>
            <w:vAlign w:val="bottom"/>
          </w:tcPr>
          <w:p>
            <w:pPr>
              <w:ind w:left="720"/>
              <w:spacing w:after="0"/>
              <w:rPr>
                <w:sz w:val="20"/>
                <w:szCs w:val="20"/>
                <w:color w:val="auto"/>
              </w:rPr>
            </w:pPr>
            <w:r>
              <w:rPr>
                <w:rFonts w:ascii="Courier New" w:cs="Courier New" w:eastAsia="Courier New" w:hAnsi="Courier New"/>
                <w:sz w:val="17"/>
                <w:szCs w:val="17"/>
                <w:color w:val="auto"/>
              </w:rPr>
              <w:t>SHAREHOLDER RECEIVABLES AND UNEARNED COMPENSATION</w:t>
            </w:r>
          </w:p>
        </w:tc>
        <w:tc>
          <w:tcPr>
            <w:tcW w:w="500" w:type="dxa"/>
            <w:vAlign w:val="bottom"/>
          </w:tcPr>
          <w:p>
            <w:pPr>
              <w:spacing w:after="0"/>
              <w:rPr>
                <w:sz w:val="17"/>
                <w:szCs w:val="17"/>
                <w:color w:val="auto"/>
              </w:rPr>
            </w:pP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(26)</w:t>
            </w:r>
          </w:p>
        </w:tc>
        <w:tc>
          <w:tcPr>
            <w:tcW w:w="6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(53)</w:t>
            </w:r>
          </w:p>
        </w:tc>
      </w:tr>
      <w:tr>
        <w:trPr>
          <w:trHeight w:val="196"/>
        </w:trPr>
        <w:tc>
          <w:tcPr>
            <w:tcW w:w="7360" w:type="dxa"/>
            <w:vAlign w:val="bottom"/>
          </w:tcPr>
          <w:p>
            <w:pPr>
              <w:ind w:left="720"/>
              <w:spacing w:after="0"/>
              <w:rPr>
                <w:sz w:val="20"/>
                <w:szCs w:val="20"/>
                <w:color w:val="auto"/>
              </w:rPr>
            </w:pPr>
            <w:r>
              <w:rPr>
                <w:rFonts w:ascii="Courier New" w:cs="Courier New" w:eastAsia="Courier New" w:hAnsi="Courier New"/>
                <w:sz w:val="17"/>
                <w:szCs w:val="17"/>
                <w:color w:val="auto"/>
              </w:rPr>
              <w:t>ACCUMULATED DEFICIT</w:t>
            </w:r>
          </w:p>
        </w:tc>
        <w:tc>
          <w:tcPr>
            <w:tcW w:w="500" w:type="dxa"/>
            <w:vAlign w:val="bottom"/>
          </w:tcPr>
          <w:p>
            <w:pPr>
              <w:spacing w:after="0"/>
              <w:rPr>
                <w:sz w:val="17"/>
                <w:szCs w:val="17"/>
                <w:color w:val="auto"/>
              </w:rPr>
            </w:pP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(218,904)</w:t>
            </w:r>
          </w:p>
        </w:tc>
        <w:tc>
          <w:tcPr>
            <w:tcW w:w="6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(104,643)</w:t>
            </w:r>
          </w:p>
        </w:tc>
      </w:tr>
      <w:tr>
        <w:trPr>
          <w:trHeight w:val="196"/>
        </w:trPr>
        <w:tc>
          <w:tcPr>
            <w:tcW w:w="7360" w:type="dxa"/>
            <w:vAlign w:val="bottom"/>
          </w:tcPr>
          <w:p>
            <w:pPr>
              <w:spacing w:after="0"/>
              <w:rPr>
                <w:sz w:val="17"/>
                <w:szCs w:val="17"/>
                <w:color w:val="auto"/>
              </w:rPr>
            </w:pPr>
          </w:p>
        </w:tc>
        <w:tc>
          <w:tcPr>
            <w:tcW w:w="192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238,529</w:t>
            </w:r>
          </w:p>
        </w:tc>
        <w:tc>
          <w:tcPr>
            <w:tcW w:w="6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307,406</w:t>
            </w:r>
          </w:p>
        </w:tc>
      </w:tr>
      <w:tr>
        <w:trPr>
          <w:trHeight w:val="196"/>
        </w:trPr>
        <w:tc>
          <w:tcPr>
            <w:tcW w:w="7360" w:type="dxa"/>
            <w:vAlign w:val="bottom"/>
          </w:tcPr>
          <w:p>
            <w:pPr>
              <w:ind w:left="720"/>
              <w:spacing w:after="0"/>
              <w:rPr>
                <w:sz w:val="20"/>
                <w:szCs w:val="20"/>
                <w:color w:val="auto"/>
              </w:rPr>
            </w:pPr>
            <w:r>
              <w:rPr>
                <w:rFonts w:ascii="Courier New" w:cs="Courier New" w:eastAsia="Courier New" w:hAnsi="Courier New"/>
                <w:sz w:val="17"/>
                <w:szCs w:val="17"/>
                <w:color w:val="auto"/>
              </w:rPr>
              <w:t>TREASURY STOCK, AT COST - 1,300,000 SHARES</w:t>
            </w:r>
          </w:p>
        </w:tc>
        <w:tc>
          <w:tcPr>
            <w:tcW w:w="500" w:type="dxa"/>
            <w:vAlign w:val="bottom"/>
          </w:tcPr>
          <w:p>
            <w:pPr>
              <w:spacing w:after="0"/>
              <w:rPr>
                <w:sz w:val="17"/>
                <w:szCs w:val="17"/>
                <w:color w:val="auto"/>
              </w:rPr>
            </w:pP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(9,072)</w:t>
            </w:r>
          </w:p>
        </w:tc>
        <w:tc>
          <w:tcPr>
            <w:tcW w:w="6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(9,072)</w:t>
            </w:r>
          </w:p>
        </w:tc>
      </w:tr>
      <w:tr>
        <w:trPr>
          <w:trHeight w:val="196"/>
        </w:trPr>
        <w:tc>
          <w:tcPr>
            <w:tcW w:w="7360" w:type="dxa"/>
            <w:vAlign w:val="bottom"/>
          </w:tcPr>
          <w:p>
            <w:pPr>
              <w:spacing w:after="0"/>
              <w:rPr>
                <w:sz w:val="17"/>
                <w:szCs w:val="17"/>
                <w:color w:val="auto"/>
              </w:rPr>
            </w:pPr>
          </w:p>
        </w:tc>
        <w:tc>
          <w:tcPr>
            <w:tcW w:w="192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360" w:type="dxa"/>
            <w:vAlign w:val="bottom"/>
          </w:tcPr>
          <w:p>
            <w:pPr>
              <w:ind w:left="1440"/>
              <w:spacing w:after="0"/>
              <w:rPr>
                <w:sz w:val="20"/>
                <w:szCs w:val="20"/>
                <w:color w:val="auto"/>
              </w:rPr>
            </w:pPr>
            <w:r>
              <w:rPr>
                <w:rFonts w:ascii="Courier New" w:cs="Courier New" w:eastAsia="Courier New" w:hAnsi="Courier New"/>
                <w:sz w:val="17"/>
                <w:szCs w:val="17"/>
                <w:color w:val="auto"/>
              </w:rPr>
              <w:t>TOTAL SHAREHOLDERS' EQUITY</w:t>
            </w:r>
          </w:p>
        </w:tc>
        <w:tc>
          <w:tcPr>
            <w:tcW w:w="500" w:type="dxa"/>
            <w:vAlign w:val="bottom"/>
          </w:tcPr>
          <w:p>
            <w:pPr>
              <w:spacing w:after="0"/>
              <w:rPr>
                <w:sz w:val="17"/>
                <w:szCs w:val="17"/>
                <w:color w:val="auto"/>
              </w:rPr>
            </w:pP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229,457</w:t>
            </w:r>
          </w:p>
        </w:tc>
        <w:tc>
          <w:tcPr>
            <w:tcW w:w="620" w:type="dxa"/>
            <w:vAlign w:val="bottom"/>
          </w:tcPr>
          <w:p>
            <w:pPr>
              <w:spacing w:after="0"/>
              <w:rPr>
                <w:sz w:val="17"/>
                <w:szCs w:val="17"/>
                <w:color w:val="auto"/>
              </w:rPr>
            </w:pP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298,334</w:t>
            </w:r>
          </w:p>
        </w:tc>
      </w:tr>
      <w:tr>
        <w:trPr>
          <w:trHeight w:val="196"/>
        </w:trPr>
        <w:tc>
          <w:tcPr>
            <w:tcW w:w="7360" w:type="dxa"/>
            <w:vAlign w:val="bottom"/>
          </w:tcPr>
          <w:p>
            <w:pPr>
              <w:spacing w:after="0"/>
              <w:rPr>
                <w:sz w:val="17"/>
                <w:szCs w:val="17"/>
                <w:color w:val="auto"/>
              </w:rPr>
            </w:pPr>
          </w:p>
        </w:tc>
        <w:tc>
          <w:tcPr>
            <w:tcW w:w="192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7360" w:type="dxa"/>
            <w:vAlign w:val="bottom"/>
          </w:tcPr>
          <w:p>
            <w:pPr>
              <w:ind w:left="1440"/>
              <w:spacing w:after="0"/>
              <w:rPr>
                <w:sz w:val="20"/>
                <w:szCs w:val="20"/>
                <w:color w:val="auto"/>
              </w:rPr>
            </w:pPr>
            <w:r>
              <w:rPr>
                <w:rFonts w:ascii="Courier New" w:cs="Courier New" w:eastAsia="Courier New" w:hAnsi="Courier New"/>
                <w:sz w:val="17"/>
                <w:szCs w:val="17"/>
                <w:color w:val="auto"/>
              </w:rPr>
              <w:t>TOTAL LIABILITIES AND SHAREHOLDERS' EQUITY</w:t>
            </w:r>
          </w:p>
        </w:tc>
        <w:tc>
          <w:tcPr>
            <w:tcW w:w="5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788,335</w:t>
            </w:r>
          </w:p>
        </w:tc>
        <w:tc>
          <w:tcPr>
            <w:tcW w:w="6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716,261</w:t>
            </w:r>
          </w:p>
        </w:tc>
      </w:tr>
      <w:tr>
        <w:trPr>
          <w:trHeight w:val="196"/>
        </w:trPr>
        <w:tc>
          <w:tcPr>
            <w:tcW w:w="7360" w:type="dxa"/>
            <w:vAlign w:val="bottom"/>
          </w:tcPr>
          <w:p>
            <w:pPr>
              <w:spacing w:after="0"/>
              <w:rPr>
                <w:sz w:val="17"/>
                <w:szCs w:val="17"/>
                <w:color w:val="auto"/>
              </w:rPr>
            </w:pPr>
          </w:p>
        </w:tc>
        <w:tc>
          <w:tcPr>
            <w:tcW w:w="192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020"/>
          </w:cols>
          <w:pgMar w:left="240" w:top="703" w:right="639" w:bottom="859" w:gutter="0" w:footer="0" w:header="0"/>
        </w:sectPr>
      </w:pPr>
    </w:p>
    <w:bookmarkStart w:id="7" w:name="page8"/>
    <w:bookmarkEnd w:id="7"/>
    <w:p>
      <w:pPr>
        <w:jc w:val="center"/>
        <w:ind w:right="3240"/>
        <w:spacing w:after="0"/>
        <w:rPr>
          <w:sz w:val="20"/>
          <w:szCs w:val="20"/>
          <w:color w:val="auto"/>
        </w:rPr>
      </w:pPr>
      <w:r>
        <w:rPr>
          <w:rFonts w:ascii="Courier New" w:cs="Courier New" w:eastAsia="Courier New" w:hAnsi="Courier New"/>
          <w:sz w:val="17"/>
          <w:szCs w:val="17"/>
          <w:color w:val="auto"/>
        </w:rPr>
        <w:t>TOWER SEMICONDUCTOR LTD. AND SUBSIDIARY</w:t>
      </w:r>
    </w:p>
    <w:p>
      <w:pPr>
        <w:spacing w:after="0" w:line="4"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7"/>
          <w:szCs w:val="17"/>
          <w:color w:val="auto"/>
        </w:rPr>
        <w:t>CONSOLIDATED STATEMENTS OF OPERATIONS</w:t>
      </w:r>
    </w:p>
    <w:p>
      <w:pPr>
        <w:spacing w:after="0" w:line="4"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7"/>
          <w:szCs w:val="17"/>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20" w:type="dxa"/>
            <w:vAlign w:val="bottom"/>
          </w:tcPr>
          <w:p>
            <w:pPr>
              <w:ind w:left="400"/>
              <w:spacing w:after="0"/>
              <w:rPr>
                <w:sz w:val="20"/>
                <w:szCs w:val="20"/>
                <w:color w:val="auto"/>
              </w:rPr>
            </w:pPr>
            <w:r>
              <w:rPr>
                <w:rFonts w:ascii="Courier New" w:cs="Courier New" w:eastAsia="Courier New" w:hAnsi="Courier New"/>
                <w:sz w:val="17"/>
                <w:szCs w:val="17"/>
                <w:color w:val="auto"/>
                <w:w w:val="97"/>
              </w:rPr>
              <w:t>YEAR ENDED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40" w:type="dxa"/>
            <w:vAlign w:val="bottom"/>
            <w:gridSpan w:val="3"/>
          </w:tcPr>
          <w:p>
            <w:pPr>
              <w:jc w:val="right"/>
              <w:ind w:right="215"/>
              <w:spacing w:after="0"/>
              <w:rPr>
                <w:sz w:val="20"/>
                <w:szCs w:val="20"/>
                <w:color w:val="auto"/>
              </w:rPr>
            </w:pPr>
            <w:r>
              <w:rPr>
                <w:rFonts w:ascii="Courier New" w:cs="Courier New" w:eastAsia="Courier New" w:hAnsi="Courier New"/>
                <w:sz w:val="17"/>
                <w:szCs w:val="17"/>
                <w:color w:val="auto"/>
              </w:rPr>
              <w:t>THREE MONTHS ENDED</w:t>
            </w:r>
          </w:p>
        </w:tc>
      </w:tr>
      <w:tr>
        <w:trPr>
          <w:trHeight w:val="196"/>
        </w:trPr>
        <w:tc>
          <w:tcPr>
            <w:tcW w:w="4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DECEMBER 31,</w:t>
            </w: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40" w:type="dxa"/>
            <w:vAlign w:val="bottom"/>
            <w:gridSpan w:val="3"/>
          </w:tcPr>
          <w:p>
            <w:pPr>
              <w:jc w:val="right"/>
              <w:ind w:right="415"/>
              <w:spacing w:after="0"/>
              <w:rPr>
                <w:sz w:val="20"/>
                <w:szCs w:val="20"/>
                <w:color w:val="auto"/>
              </w:rPr>
            </w:pPr>
            <w:r>
              <w:rPr>
                <w:rFonts w:ascii="Courier New" w:cs="Courier New" w:eastAsia="Courier New" w:hAnsi="Courier New"/>
                <w:sz w:val="17"/>
                <w:szCs w:val="17"/>
                <w:color w:val="auto"/>
              </w:rPr>
              <w:t>DECEMBER 31,</w:t>
            </w:r>
          </w:p>
        </w:tc>
      </w:tr>
      <w:tr>
        <w:trPr>
          <w:trHeight w:val="196"/>
        </w:trPr>
        <w:tc>
          <w:tcPr>
            <w:tcW w:w="4960" w:type="dxa"/>
            <w:vAlign w:val="bottom"/>
          </w:tcPr>
          <w:p>
            <w:pPr>
              <w:spacing w:after="0"/>
              <w:rPr>
                <w:sz w:val="17"/>
                <w:szCs w:val="17"/>
                <w:color w:val="auto"/>
              </w:rPr>
            </w:pPr>
          </w:p>
        </w:tc>
        <w:tc>
          <w:tcPr>
            <w:tcW w:w="2280" w:type="dxa"/>
            <w:vAlign w:val="bottom"/>
            <w:gridSpan w:val="2"/>
          </w:tcPr>
          <w:p>
            <w:pPr>
              <w:ind w:left="560"/>
              <w:spacing w:after="0"/>
              <w:rPr>
                <w:sz w:val="20"/>
                <w:szCs w:val="20"/>
                <w:color w:val="auto"/>
              </w:rPr>
            </w:pPr>
            <w:r>
              <w:rPr>
                <w:rFonts w:ascii="Courier New" w:cs="Courier New" w:eastAsia="Courier New" w:hAnsi="Courier New"/>
                <w:sz w:val="14"/>
                <w:szCs w:val="14"/>
                <w:color w:val="auto"/>
                <w:w w:val="74"/>
              </w:rPr>
              <w:t>---------------------------</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tcPr>
          <w:p>
            <w:pPr>
              <w:jc w:val="right"/>
              <w:ind w:right="815"/>
              <w:spacing w:after="0"/>
              <w:rPr>
                <w:sz w:val="20"/>
                <w:szCs w:val="20"/>
                <w:color w:val="auto"/>
              </w:rPr>
            </w:pPr>
            <w:r>
              <w:rPr>
                <w:rFonts w:ascii="Courier New" w:cs="Courier New" w:eastAsia="Courier New" w:hAnsi="Courier New"/>
                <w:sz w:val="17"/>
                <w:szCs w:val="17"/>
                <w:color w:val="auto"/>
              </w:rPr>
              <w:t>2003</w:t>
            </w:r>
          </w:p>
        </w:tc>
        <w:tc>
          <w:tcPr>
            <w:tcW w:w="260" w:type="dxa"/>
            <w:vAlign w:val="bottom"/>
          </w:tcPr>
          <w:p>
            <w:pPr>
              <w:spacing w:after="0"/>
              <w:rPr>
                <w:sz w:val="17"/>
                <w:szCs w:val="17"/>
                <w:color w:val="auto"/>
              </w:rPr>
            </w:pPr>
          </w:p>
        </w:tc>
        <w:tc>
          <w:tcPr>
            <w:tcW w:w="108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2002</w:t>
            </w:r>
          </w:p>
        </w:tc>
        <w:tc>
          <w:tcPr>
            <w:tcW w:w="400" w:type="dxa"/>
            <w:vAlign w:val="bottom"/>
          </w:tcPr>
          <w:p>
            <w:pPr>
              <w:spacing w:after="0"/>
              <w:rPr>
                <w:sz w:val="17"/>
                <w:szCs w:val="17"/>
                <w:color w:val="auto"/>
              </w:rPr>
            </w:pPr>
          </w:p>
        </w:tc>
        <w:tc>
          <w:tcPr>
            <w:tcW w:w="11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2003</w:t>
            </w:r>
          </w:p>
        </w:tc>
        <w:tc>
          <w:tcPr>
            <w:tcW w:w="460" w:type="dxa"/>
            <w:vAlign w:val="bottom"/>
          </w:tcPr>
          <w:p>
            <w:pPr>
              <w:spacing w:after="0"/>
              <w:rPr>
                <w:sz w:val="17"/>
                <w:szCs w:val="17"/>
                <w:color w:val="auto"/>
              </w:rPr>
            </w:pPr>
          </w:p>
        </w:tc>
        <w:tc>
          <w:tcPr>
            <w:tcW w:w="9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2002</w:t>
            </w:r>
          </w:p>
        </w:tc>
      </w:tr>
      <w:tr>
        <w:trPr>
          <w:trHeight w:val="196"/>
        </w:trPr>
        <w:tc>
          <w:tcPr>
            <w:tcW w:w="4960" w:type="dxa"/>
            <w:vAlign w:val="bottom"/>
          </w:tcPr>
          <w:p>
            <w:pPr>
              <w:spacing w:after="0"/>
              <w:rPr>
                <w:sz w:val="17"/>
                <w:szCs w:val="17"/>
                <w:color w:val="auto"/>
              </w:rPr>
            </w:pPr>
          </w:p>
        </w:tc>
        <w:tc>
          <w:tcPr>
            <w:tcW w:w="2280" w:type="dxa"/>
            <w:vAlign w:val="bottom"/>
            <w:gridSpan w:val="2"/>
          </w:tcPr>
          <w:p>
            <w:pPr>
              <w:jc w:val="right"/>
              <w:ind w:right="51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w w:val="97"/>
              </w:rPr>
              <w:t>----------</w:t>
            </w:r>
          </w:p>
        </w:tc>
        <w:tc>
          <w:tcPr>
            <w:tcW w:w="158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960" w:type="dxa"/>
            <w:vAlign w:val="bottom"/>
          </w:tcPr>
          <w:p>
            <w:pPr>
              <w:spacing w:after="0"/>
              <w:rPr>
                <w:sz w:val="20"/>
                <w:szCs w:val="20"/>
                <w:color w:val="auto"/>
              </w:rPr>
            </w:pPr>
            <w:r>
              <w:rPr>
                <w:rFonts w:ascii="Courier New" w:cs="Courier New" w:eastAsia="Courier New" w:hAnsi="Courier New"/>
                <w:sz w:val="17"/>
                <w:szCs w:val="17"/>
                <w:color w:val="auto"/>
              </w:rPr>
              <w:t>SALES</w:t>
            </w:r>
          </w:p>
        </w:tc>
        <w:tc>
          <w:tcPr>
            <w:tcW w:w="860" w:type="dxa"/>
            <w:vAlign w:val="bottom"/>
          </w:tcPr>
          <w:p>
            <w:pPr>
              <w:ind w:left="56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61,368</w:t>
            </w:r>
          </w:p>
        </w:tc>
        <w:tc>
          <w:tcPr>
            <w:tcW w:w="2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w:t>
            </w:r>
          </w:p>
        </w:tc>
        <w:tc>
          <w:tcPr>
            <w:tcW w:w="10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51,801</w:t>
            </w:r>
          </w:p>
        </w:tc>
        <w:tc>
          <w:tcPr>
            <w:tcW w:w="4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19,823</w:t>
            </w:r>
          </w:p>
        </w:tc>
        <w:tc>
          <w:tcPr>
            <w:tcW w:w="4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15,572</w:t>
            </w:r>
          </w:p>
        </w:tc>
      </w:tr>
      <w:tr>
        <w:trPr>
          <w:trHeight w:val="392"/>
        </w:trPr>
        <w:tc>
          <w:tcPr>
            <w:tcW w:w="4960" w:type="dxa"/>
            <w:vAlign w:val="bottom"/>
          </w:tcPr>
          <w:p>
            <w:pPr>
              <w:spacing w:after="0"/>
              <w:rPr>
                <w:sz w:val="20"/>
                <w:szCs w:val="20"/>
                <w:color w:val="auto"/>
              </w:rPr>
            </w:pPr>
            <w:r>
              <w:rPr>
                <w:rFonts w:ascii="Courier New" w:cs="Courier New" w:eastAsia="Courier New" w:hAnsi="Courier New"/>
                <w:sz w:val="17"/>
                <w:szCs w:val="17"/>
                <w:color w:val="auto"/>
              </w:rPr>
              <w:t>COST OF SALES</w:t>
            </w:r>
          </w:p>
        </w:tc>
        <w:tc>
          <w:tcPr>
            <w:tcW w:w="860" w:type="dxa"/>
            <w:vAlign w:val="bottom"/>
          </w:tcPr>
          <w:p>
            <w:pPr>
              <w:spacing w:after="0"/>
              <w:rPr>
                <w:sz w:val="24"/>
                <w:szCs w:val="24"/>
                <w:color w:val="auto"/>
              </w:rPr>
            </w:pPr>
          </w:p>
        </w:tc>
        <w:tc>
          <w:tcPr>
            <w:tcW w:w="14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122,395</w:t>
            </w:r>
          </w:p>
        </w:tc>
        <w:tc>
          <w:tcPr>
            <w:tcW w:w="260" w:type="dxa"/>
            <w:vAlign w:val="bottom"/>
          </w:tcPr>
          <w:p>
            <w:pPr>
              <w:spacing w:after="0"/>
              <w:rPr>
                <w:sz w:val="24"/>
                <w:szCs w:val="24"/>
                <w:color w:val="auto"/>
              </w:rPr>
            </w:pPr>
          </w:p>
        </w:tc>
        <w:tc>
          <w:tcPr>
            <w:tcW w:w="10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67,022</w:t>
            </w:r>
          </w:p>
        </w:tc>
        <w:tc>
          <w:tcPr>
            <w:tcW w:w="400" w:type="dxa"/>
            <w:vAlign w:val="bottom"/>
          </w:tcPr>
          <w:p>
            <w:pPr>
              <w:spacing w:after="0"/>
              <w:rPr>
                <w:sz w:val="24"/>
                <w:szCs w:val="24"/>
                <w:color w:val="auto"/>
              </w:rPr>
            </w:pP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46,579</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17,066</w:t>
            </w:r>
          </w:p>
        </w:tc>
      </w:tr>
      <w:tr>
        <w:trPr>
          <w:trHeight w:val="196"/>
        </w:trPr>
        <w:tc>
          <w:tcPr>
            <w:tcW w:w="4960" w:type="dxa"/>
            <w:vAlign w:val="bottom"/>
          </w:tcPr>
          <w:p>
            <w:pPr>
              <w:spacing w:after="0"/>
              <w:rPr>
                <w:sz w:val="17"/>
                <w:szCs w:val="17"/>
                <w:color w:val="auto"/>
              </w:rPr>
            </w:pPr>
          </w:p>
        </w:tc>
        <w:tc>
          <w:tcPr>
            <w:tcW w:w="2280" w:type="dxa"/>
            <w:vAlign w:val="bottom"/>
            <w:gridSpan w:val="2"/>
          </w:tcPr>
          <w:p>
            <w:pPr>
              <w:jc w:val="right"/>
              <w:ind w:right="51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w w:val="97"/>
              </w:rPr>
              <w:t>----------</w:t>
            </w:r>
          </w:p>
        </w:tc>
        <w:tc>
          <w:tcPr>
            <w:tcW w:w="158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960" w:type="dxa"/>
            <w:vAlign w:val="bottom"/>
          </w:tcPr>
          <w:p>
            <w:pPr>
              <w:ind w:left="920"/>
              <w:spacing w:after="0"/>
              <w:rPr>
                <w:sz w:val="20"/>
                <w:szCs w:val="20"/>
                <w:color w:val="auto"/>
              </w:rPr>
            </w:pPr>
            <w:r>
              <w:rPr>
                <w:rFonts w:ascii="Courier New" w:cs="Courier New" w:eastAsia="Courier New" w:hAnsi="Courier New"/>
                <w:sz w:val="17"/>
                <w:szCs w:val="17"/>
                <w:color w:val="auto"/>
              </w:rPr>
              <w:t>GROSS LOSS</w:t>
            </w:r>
          </w:p>
        </w:tc>
        <w:tc>
          <w:tcPr>
            <w:tcW w:w="860" w:type="dxa"/>
            <w:vAlign w:val="bottom"/>
          </w:tcPr>
          <w:p>
            <w:pPr>
              <w:spacing w:after="0"/>
              <w:rPr>
                <w:sz w:val="24"/>
                <w:szCs w:val="24"/>
                <w:color w:val="auto"/>
              </w:rPr>
            </w:pPr>
          </w:p>
        </w:tc>
        <w:tc>
          <w:tcPr>
            <w:tcW w:w="14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(61,027)</w:t>
            </w:r>
          </w:p>
        </w:tc>
        <w:tc>
          <w:tcPr>
            <w:tcW w:w="260" w:type="dxa"/>
            <w:vAlign w:val="bottom"/>
          </w:tcPr>
          <w:p>
            <w:pPr>
              <w:spacing w:after="0"/>
              <w:rPr>
                <w:sz w:val="24"/>
                <w:szCs w:val="24"/>
                <w:color w:val="auto"/>
              </w:rPr>
            </w:pP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(15,221)</w:t>
            </w:r>
          </w:p>
        </w:tc>
        <w:tc>
          <w:tcPr>
            <w:tcW w:w="400" w:type="dxa"/>
            <w:vAlign w:val="bottom"/>
          </w:tcPr>
          <w:p>
            <w:pPr>
              <w:spacing w:after="0"/>
              <w:rPr>
                <w:sz w:val="24"/>
                <w:szCs w:val="24"/>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(26,756)</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(1,494)</w:t>
            </w:r>
          </w:p>
        </w:tc>
      </w:tr>
      <w:tr>
        <w:trPr>
          <w:trHeight w:val="392"/>
        </w:trPr>
        <w:tc>
          <w:tcPr>
            <w:tcW w:w="4960" w:type="dxa"/>
            <w:vAlign w:val="bottom"/>
          </w:tcPr>
          <w:p>
            <w:pPr>
              <w:spacing w:after="0"/>
              <w:rPr>
                <w:sz w:val="20"/>
                <w:szCs w:val="20"/>
                <w:color w:val="auto"/>
              </w:rPr>
            </w:pPr>
            <w:r>
              <w:rPr>
                <w:rFonts w:ascii="Courier New" w:cs="Courier New" w:eastAsia="Courier New" w:hAnsi="Courier New"/>
                <w:sz w:val="17"/>
                <w:szCs w:val="17"/>
                <w:color w:val="auto"/>
              </w:rPr>
              <w:t>OPERATING COSTS AND EXPENSES</w:t>
            </w: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92"/>
        </w:trPr>
        <w:tc>
          <w:tcPr>
            <w:tcW w:w="4960" w:type="dxa"/>
            <w:vAlign w:val="bottom"/>
          </w:tcPr>
          <w:p>
            <w:pPr>
              <w:ind w:left="620"/>
              <w:spacing w:after="0"/>
              <w:rPr>
                <w:sz w:val="20"/>
                <w:szCs w:val="20"/>
                <w:color w:val="auto"/>
              </w:rPr>
            </w:pPr>
            <w:r>
              <w:rPr>
                <w:rFonts w:ascii="Courier New" w:cs="Courier New" w:eastAsia="Courier New" w:hAnsi="Courier New"/>
                <w:sz w:val="17"/>
                <w:szCs w:val="17"/>
                <w:color w:val="auto"/>
              </w:rPr>
              <w:t>RESEARCH AND DEVELOPMENT</w:t>
            </w:r>
          </w:p>
        </w:tc>
        <w:tc>
          <w:tcPr>
            <w:tcW w:w="860" w:type="dxa"/>
            <w:vAlign w:val="bottom"/>
          </w:tcPr>
          <w:p>
            <w:pPr>
              <w:spacing w:after="0"/>
              <w:rPr>
                <w:sz w:val="24"/>
                <w:szCs w:val="24"/>
                <w:color w:val="auto"/>
              </w:rPr>
            </w:pPr>
          </w:p>
        </w:tc>
        <w:tc>
          <w:tcPr>
            <w:tcW w:w="14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20,709</w:t>
            </w:r>
          </w:p>
        </w:tc>
        <w:tc>
          <w:tcPr>
            <w:tcW w:w="260" w:type="dxa"/>
            <w:vAlign w:val="bottom"/>
          </w:tcPr>
          <w:p>
            <w:pPr>
              <w:spacing w:after="0"/>
              <w:rPr>
                <w:sz w:val="24"/>
                <w:szCs w:val="24"/>
                <w:color w:val="auto"/>
              </w:rPr>
            </w:pPr>
          </w:p>
        </w:tc>
        <w:tc>
          <w:tcPr>
            <w:tcW w:w="10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17,031</w:t>
            </w:r>
          </w:p>
        </w:tc>
        <w:tc>
          <w:tcPr>
            <w:tcW w:w="400" w:type="dxa"/>
            <w:vAlign w:val="bottom"/>
          </w:tcPr>
          <w:p>
            <w:pPr>
              <w:spacing w:after="0"/>
              <w:rPr>
                <w:sz w:val="24"/>
                <w:szCs w:val="24"/>
                <w:color w:val="auto"/>
              </w:rPr>
            </w:pP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8,158</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6,847</w:t>
            </w:r>
          </w:p>
        </w:tc>
      </w:tr>
      <w:tr>
        <w:trPr>
          <w:trHeight w:val="196"/>
        </w:trPr>
        <w:tc>
          <w:tcPr>
            <w:tcW w:w="4960" w:type="dxa"/>
            <w:vAlign w:val="bottom"/>
          </w:tcPr>
          <w:p>
            <w:pPr>
              <w:ind w:left="620"/>
              <w:spacing w:after="0"/>
              <w:rPr>
                <w:sz w:val="20"/>
                <w:szCs w:val="20"/>
                <w:color w:val="auto"/>
              </w:rPr>
            </w:pPr>
            <w:r>
              <w:rPr>
                <w:rFonts w:ascii="Courier New" w:cs="Courier New" w:eastAsia="Courier New" w:hAnsi="Courier New"/>
                <w:sz w:val="17"/>
                <w:szCs w:val="17"/>
                <w:color w:val="auto"/>
              </w:rPr>
              <w:t>MARKETING, GENERAL AND ADMINISTRATIVE</w:t>
            </w:r>
          </w:p>
        </w:tc>
        <w:tc>
          <w:tcPr>
            <w:tcW w:w="860" w:type="dxa"/>
            <w:vAlign w:val="bottom"/>
          </w:tcPr>
          <w:p>
            <w:pPr>
              <w:spacing w:after="0"/>
              <w:rPr>
                <w:sz w:val="17"/>
                <w:szCs w:val="17"/>
                <w:color w:val="auto"/>
              </w:rPr>
            </w:pPr>
          </w:p>
        </w:tc>
        <w:tc>
          <w:tcPr>
            <w:tcW w:w="14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22,615</w:t>
            </w:r>
          </w:p>
        </w:tc>
        <w:tc>
          <w:tcPr>
            <w:tcW w:w="260" w:type="dxa"/>
            <w:vAlign w:val="bottom"/>
          </w:tcPr>
          <w:p>
            <w:pPr>
              <w:spacing w:after="0"/>
              <w:rPr>
                <w:sz w:val="17"/>
                <w:szCs w:val="17"/>
                <w:color w:val="auto"/>
              </w:rPr>
            </w:pPr>
          </w:p>
        </w:tc>
        <w:tc>
          <w:tcPr>
            <w:tcW w:w="10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17,091</w:t>
            </w:r>
          </w:p>
        </w:tc>
        <w:tc>
          <w:tcPr>
            <w:tcW w:w="400" w:type="dxa"/>
            <w:vAlign w:val="bottom"/>
          </w:tcPr>
          <w:p>
            <w:pPr>
              <w:spacing w:after="0"/>
              <w:rPr>
                <w:sz w:val="17"/>
                <w:szCs w:val="17"/>
                <w:color w:val="auto"/>
              </w:rPr>
            </w:pP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5,551</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5,284</w:t>
            </w:r>
          </w:p>
        </w:tc>
      </w:tr>
      <w:tr>
        <w:trPr>
          <w:trHeight w:val="196"/>
        </w:trPr>
        <w:tc>
          <w:tcPr>
            <w:tcW w:w="4960" w:type="dxa"/>
            <w:vAlign w:val="bottom"/>
          </w:tcPr>
          <w:p>
            <w:pPr>
              <w:spacing w:after="0"/>
              <w:rPr>
                <w:sz w:val="17"/>
                <w:szCs w:val="17"/>
                <w:color w:val="auto"/>
              </w:rPr>
            </w:pPr>
          </w:p>
        </w:tc>
        <w:tc>
          <w:tcPr>
            <w:tcW w:w="2280" w:type="dxa"/>
            <w:vAlign w:val="bottom"/>
            <w:gridSpan w:val="2"/>
          </w:tcPr>
          <w:p>
            <w:pPr>
              <w:jc w:val="right"/>
              <w:ind w:right="51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w w:val="97"/>
              </w:rPr>
              <w:t>----------</w:t>
            </w:r>
          </w:p>
        </w:tc>
        <w:tc>
          <w:tcPr>
            <w:tcW w:w="158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960" w:type="dxa"/>
            <w:vAlign w:val="bottom"/>
          </w:tcPr>
          <w:p>
            <w:pPr>
              <w:ind w:left="920"/>
              <w:spacing w:after="0"/>
              <w:rPr>
                <w:sz w:val="20"/>
                <w:szCs w:val="20"/>
                <w:color w:val="auto"/>
              </w:rPr>
            </w:pPr>
            <w:r>
              <w:rPr>
                <w:rFonts w:ascii="Courier New" w:cs="Courier New" w:eastAsia="Courier New" w:hAnsi="Courier New"/>
                <w:sz w:val="17"/>
                <w:szCs w:val="17"/>
                <w:color w:val="auto"/>
              </w:rPr>
              <w:t>OPERATING LOSS</w:t>
            </w:r>
          </w:p>
        </w:tc>
        <w:tc>
          <w:tcPr>
            <w:tcW w:w="860" w:type="dxa"/>
            <w:vAlign w:val="bottom"/>
          </w:tcPr>
          <w:p>
            <w:pPr>
              <w:spacing w:after="0"/>
              <w:rPr>
                <w:sz w:val="17"/>
                <w:szCs w:val="17"/>
                <w:color w:val="auto"/>
              </w:rPr>
            </w:pPr>
          </w:p>
        </w:tc>
        <w:tc>
          <w:tcPr>
            <w:tcW w:w="1420" w:type="dxa"/>
            <w:vAlign w:val="bottom"/>
          </w:tcPr>
          <w:p>
            <w:pPr>
              <w:jc w:val="right"/>
              <w:ind w:right="415"/>
              <w:spacing w:after="0"/>
              <w:rPr>
                <w:sz w:val="20"/>
                <w:szCs w:val="20"/>
                <w:color w:val="auto"/>
              </w:rPr>
            </w:pPr>
            <w:r>
              <w:rPr>
                <w:rFonts w:ascii="Courier New" w:cs="Courier New" w:eastAsia="Courier New" w:hAnsi="Courier New"/>
                <w:sz w:val="17"/>
                <w:szCs w:val="17"/>
                <w:color w:val="auto"/>
                <w:w w:val="97"/>
              </w:rPr>
              <w:t>(104,351)</w:t>
            </w:r>
          </w:p>
        </w:tc>
        <w:tc>
          <w:tcPr>
            <w:tcW w:w="260" w:type="dxa"/>
            <w:vAlign w:val="bottom"/>
          </w:tcPr>
          <w:p>
            <w:pPr>
              <w:spacing w:after="0"/>
              <w:rPr>
                <w:sz w:val="17"/>
                <w:szCs w:val="17"/>
                <w:color w:val="auto"/>
              </w:rPr>
            </w:pP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(49,343)</w:t>
            </w:r>
          </w:p>
        </w:tc>
        <w:tc>
          <w:tcPr>
            <w:tcW w:w="40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(40,465)</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(13,625)</w:t>
            </w:r>
          </w:p>
        </w:tc>
      </w:tr>
      <w:tr>
        <w:trPr>
          <w:trHeight w:val="392"/>
        </w:trPr>
        <w:tc>
          <w:tcPr>
            <w:tcW w:w="4960" w:type="dxa"/>
            <w:vAlign w:val="bottom"/>
          </w:tcPr>
          <w:p>
            <w:pPr>
              <w:spacing w:after="0"/>
              <w:rPr>
                <w:sz w:val="20"/>
                <w:szCs w:val="20"/>
                <w:color w:val="auto"/>
              </w:rPr>
            </w:pPr>
            <w:r>
              <w:rPr>
                <w:rFonts w:ascii="Courier New" w:cs="Courier New" w:eastAsia="Courier New" w:hAnsi="Courier New"/>
                <w:sz w:val="17"/>
                <w:szCs w:val="17"/>
                <w:color w:val="auto"/>
              </w:rPr>
              <w:t>FINANCING EXPENSE, NET</w:t>
            </w:r>
          </w:p>
        </w:tc>
        <w:tc>
          <w:tcPr>
            <w:tcW w:w="860" w:type="dxa"/>
            <w:vAlign w:val="bottom"/>
          </w:tcPr>
          <w:p>
            <w:pPr>
              <w:spacing w:after="0"/>
              <w:rPr>
                <w:sz w:val="24"/>
                <w:szCs w:val="24"/>
                <w:color w:val="auto"/>
              </w:rPr>
            </w:pPr>
          </w:p>
        </w:tc>
        <w:tc>
          <w:tcPr>
            <w:tcW w:w="14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(9,826)</w:t>
            </w:r>
          </w:p>
        </w:tc>
        <w:tc>
          <w:tcPr>
            <w:tcW w:w="260" w:type="dxa"/>
            <w:vAlign w:val="bottom"/>
          </w:tcPr>
          <w:p>
            <w:pPr>
              <w:spacing w:after="0"/>
              <w:rPr>
                <w:sz w:val="24"/>
                <w:szCs w:val="24"/>
                <w:color w:val="auto"/>
              </w:rPr>
            </w:pP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(2,104)</w:t>
            </w:r>
          </w:p>
        </w:tc>
        <w:tc>
          <w:tcPr>
            <w:tcW w:w="400" w:type="dxa"/>
            <w:vAlign w:val="bottom"/>
          </w:tcPr>
          <w:p>
            <w:pPr>
              <w:spacing w:after="0"/>
              <w:rPr>
                <w:sz w:val="24"/>
                <w:szCs w:val="24"/>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(5,533)</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392"/>
        </w:trPr>
        <w:tc>
          <w:tcPr>
            <w:tcW w:w="4960" w:type="dxa"/>
            <w:vAlign w:val="bottom"/>
          </w:tcPr>
          <w:p>
            <w:pPr>
              <w:spacing w:after="0"/>
              <w:rPr>
                <w:sz w:val="20"/>
                <w:szCs w:val="20"/>
                <w:color w:val="auto"/>
              </w:rPr>
            </w:pPr>
            <w:r>
              <w:rPr>
                <w:rFonts w:ascii="Courier New" w:cs="Courier New" w:eastAsia="Courier New" w:hAnsi="Courier New"/>
                <w:sz w:val="17"/>
                <w:szCs w:val="17"/>
                <w:color w:val="auto"/>
              </w:rPr>
              <w:t>OTHER INCOME (EXPENSE), NET</w:t>
            </w:r>
          </w:p>
        </w:tc>
        <w:tc>
          <w:tcPr>
            <w:tcW w:w="860" w:type="dxa"/>
            <w:vAlign w:val="bottom"/>
          </w:tcPr>
          <w:p>
            <w:pPr>
              <w:spacing w:after="0"/>
              <w:rPr>
                <w:sz w:val="24"/>
                <w:szCs w:val="24"/>
                <w:color w:val="auto"/>
              </w:rPr>
            </w:pPr>
          </w:p>
        </w:tc>
        <w:tc>
          <w:tcPr>
            <w:tcW w:w="14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(84)</w:t>
            </w:r>
          </w:p>
        </w:tc>
        <w:tc>
          <w:tcPr>
            <w:tcW w:w="260" w:type="dxa"/>
            <w:vAlign w:val="bottom"/>
          </w:tcPr>
          <w:p>
            <w:pPr>
              <w:spacing w:after="0"/>
              <w:rPr>
                <w:sz w:val="24"/>
                <w:szCs w:val="24"/>
                <w:color w:val="auto"/>
              </w:rPr>
            </w:pPr>
          </w:p>
        </w:tc>
        <w:tc>
          <w:tcPr>
            <w:tcW w:w="10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45</w:t>
            </w:r>
          </w:p>
        </w:tc>
        <w:tc>
          <w:tcPr>
            <w:tcW w:w="400" w:type="dxa"/>
            <w:vAlign w:val="bottom"/>
          </w:tcPr>
          <w:p>
            <w:pPr>
              <w:spacing w:after="0"/>
              <w:rPr>
                <w:sz w:val="24"/>
                <w:szCs w:val="24"/>
                <w:color w:val="auto"/>
              </w:rPr>
            </w:pPr>
          </w:p>
        </w:tc>
        <w:tc>
          <w:tcPr>
            <w:tcW w:w="11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45</w:t>
            </w:r>
          </w:p>
        </w:tc>
      </w:tr>
      <w:tr>
        <w:trPr>
          <w:trHeight w:val="196"/>
        </w:trPr>
        <w:tc>
          <w:tcPr>
            <w:tcW w:w="4960" w:type="dxa"/>
            <w:vAlign w:val="bottom"/>
          </w:tcPr>
          <w:p>
            <w:pPr>
              <w:spacing w:after="0"/>
              <w:rPr>
                <w:sz w:val="17"/>
                <w:szCs w:val="17"/>
                <w:color w:val="auto"/>
              </w:rPr>
            </w:pPr>
          </w:p>
        </w:tc>
        <w:tc>
          <w:tcPr>
            <w:tcW w:w="2280" w:type="dxa"/>
            <w:vAlign w:val="bottom"/>
            <w:gridSpan w:val="2"/>
          </w:tcPr>
          <w:p>
            <w:pPr>
              <w:jc w:val="right"/>
              <w:ind w:right="51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w w:val="97"/>
              </w:rPr>
              <w:t>----------</w:t>
            </w:r>
          </w:p>
        </w:tc>
        <w:tc>
          <w:tcPr>
            <w:tcW w:w="158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960" w:type="dxa"/>
            <w:vAlign w:val="bottom"/>
          </w:tcPr>
          <w:p>
            <w:pPr>
              <w:ind w:left="2040"/>
              <w:spacing w:after="0"/>
              <w:rPr>
                <w:sz w:val="20"/>
                <w:szCs w:val="20"/>
                <w:color w:val="auto"/>
              </w:rPr>
            </w:pPr>
            <w:r>
              <w:rPr>
                <w:rFonts w:ascii="Courier New" w:cs="Courier New" w:eastAsia="Courier New" w:hAnsi="Courier New"/>
                <w:sz w:val="17"/>
                <w:szCs w:val="17"/>
                <w:color w:val="auto"/>
              </w:rPr>
              <w:t>LOSS FOR THE YEAR</w:t>
            </w:r>
          </w:p>
        </w:tc>
        <w:tc>
          <w:tcPr>
            <w:tcW w:w="860" w:type="dxa"/>
            <w:vAlign w:val="bottom"/>
          </w:tcPr>
          <w:p>
            <w:pPr>
              <w:ind w:left="56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415"/>
              <w:spacing w:after="0"/>
              <w:rPr>
                <w:sz w:val="20"/>
                <w:szCs w:val="20"/>
                <w:color w:val="auto"/>
              </w:rPr>
            </w:pPr>
            <w:r>
              <w:rPr>
                <w:rFonts w:ascii="Courier New" w:cs="Courier New" w:eastAsia="Courier New" w:hAnsi="Courier New"/>
                <w:sz w:val="17"/>
                <w:szCs w:val="17"/>
                <w:color w:val="auto"/>
                <w:w w:val="97"/>
              </w:rPr>
              <w:t>(114,261)</w:t>
            </w:r>
          </w:p>
        </w:tc>
        <w:tc>
          <w:tcPr>
            <w:tcW w:w="2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(51,402)</w:t>
            </w:r>
          </w:p>
        </w:tc>
        <w:tc>
          <w:tcPr>
            <w:tcW w:w="4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(45,995)</w:t>
            </w:r>
          </w:p>
        </w:tc>
        <w:tc>
          <w:tcPr>
            <w:tcW w:w="4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(13,584)</w:t>
            </w:r>
          </w:p>
        </w:tc>
      </w:tr>
      <w:tr>
        <w:trPr>
          <w:trHeight w:val="196"/>
        </w:trPr>
        <w:tc>
          <w:tcPr>
            <w:tcW w:w="4960" w:type="dxa"/>
            <w:vAlign w:val="bottom"/>
          </w:tcPr>
          <w:p>
            <w:pPr>
              <w:spacing w:after="0"/>
              <w:rPr>
                <w:sz w:val="17"/>
                <w:szCs w:val="17"/>
                <w:color w:val="auto"/>
              </w:rPr>
            </w:pPr>
          </w:p>
        </w:tc>
        <w:tc>
          <w:tcPr>
            <w:tcW w:w="2280" w:type="dxa"/>
            <w:vAlign w:val="bottom"/>
            <w:gridSpan w:val="2"/>
          </w:tcPr>
          <w:p>
            <w:pPr>
              <w:jc w:val="right"/>
              <w:ind w:right="51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w w:val="97"/>
              </w:rPr>
              <w:t>==========</w:t>
            </w:r>
          </w:p>
        </w:tc>
        <w:tc>
          <w:tcPr>
            <w:tcW w:w="158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960" w:type="dxa"/>
            <w:vAlign w:val="bottom"/>
          </w:tcPr>
          <w:p>
            <w:pPr>
              <w:spacing w:after="0"/>
              <w:rPr>
                <w:sz w:val="20"/>
                <w:szCs w:val="20"/>
                <w:color w:val="auto"/>
              </w:rPr>
            </w:pPr>
            <w:r>
              <w:rPr>
                <w:rFonts w:ascii="Courier New" w:cs="Courier New" w:eastAsia="Courier New" w:hAnsi="Courier New"/>
                <w:sz w:val="17"/>
                <w:szCs w:val="17"/>
                <w:color w:val="auto"/>
              </w:rPr>
              <w:t>BASIC LOSS PER ORDINARY SHARE</w:t>
            </w: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92"/>
        </w:trPr>
        <w:tc>
          <w:tcPr>
            <w:tcW w:w="4960" w:type="dxa"/>
            <w:vAlign w:val="bottom"/>
          </w:tcPr>
          <w:p>
            <w:pPr>
              <w:ind w:left="620"/>
              <w:spacing w:after="0"/>
              <w:rPr>
                <w:sz w:val="20"/>
                <w:szCs w:val="20"/>
                <w:color w:val="auto"/>
              </w:rPr>
            </w:pPr>
            <w:r>
              <w:rPr>
                <w:rFonts w:ascii="Courier New" w:cs="Courier New" w:eastAsia="Courier New" w:hAnsi="Courier New"/>
                <w:sz w:val="17"/>
                <w:szCs w:val="17"/>
                <w:color w:val="auto"/>
              </w:rPr>
              <w:t>LOSS PER SHARE</w:t>
            </w:r>
          </w:p>
        </w:tc>
        <w:tc>
          <w:tcPr>
            <w:tcW w:w="860" w:type="dxa"/>
            <w:vAlign w:val="bottom"/>
          </w:tcPr>
          <w:p>
            <w:pPr>
              <w:ind w:left="560"/>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(2.40)</w:t>
            </w:r>
          </w:p>
        </w:tc>
        <w:tc>
          <w:tcPr>
            <w:tcW w:w="2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(1.63)</w:t>
            </w:r>
          </w:p>
        </w:tc>
        <w:tc>
          <w:tcPr>
            <w:tcW w:w="4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(0.91)</w:t>
            </w:r>
          </w:p>
        </w:tc>
        <w:tc>
          <w:tcPr>
            <w:tcW w:w="4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(0.33)</w:t>
            </w:r>
          </w:p>
        </w:tc>
      </w:tr>
      <w:tr>
        <w:trPr>
          <w:trHeight w:val="196"/>
        </w:trPr>
        <w:tc>
          <w:tcPr>
            <w:tcW w:w="4960" w:type="dxa"/>
            <w:vAlign w:val="bottom"/>
          </w:tcPr>
          <w:p>
            <w:pPr>
              <w:spacing w:after="0"/>
              <w:rPr>
                <w:sz w:val="17"/>
                <w:szCs w:val="17"/>
                <w:color w:val="auto"/>
              </w:rPr>
            </w:pPr>
          </w:p>
        </w:tc>
        <w:tc>
          <w:tcPr>
            <w:tcW w:w="2280" w:type="dxa"/>
            <w:vAlign w:val="bottom"/>
            <w:gridSpan w:val="2"/>
          </w:tcPr>
          <w:p>
            <w:pPr>
              <w:jc w:val="right"/>
              <w:ind w:right="515"/>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w w:val="97"/>
              </w:rPr>
              <w:t>==========</w:t>
            </w:r>
          </w:p>
        </w:tc>
        <w:tc>
          <w:tcPr>
            <w:tcW w:w="158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2" w:lineRule="exact"/>
        <w:rPr>
          <w:sz w:val="20"/>
          <w:szCs w:val="20"/>
          <w:color w:val="auto"/>
        </w:rPr>
      </w:pPr>
    </w:p>
    <w:p>
      <w:pPr>
        <w:ind w:left="520" w:hanging="515"/>
        <w:spacing w:after="0"/>
        <w:tabs>
          <w:tab w:leader="none" w:pos="5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BASIC AND DILUTED LOSS PER SHARE IN ACCORDANCE WITH U.S. GAAP WOULD BE</w:t>
      </w:r>
    </w:p>
    <w:p>
      <w:pPr>
        <w:spacing w:after="0" w:line="4" w:lineRule="exact"/>
        <w:rPr>
          <w:rFonts w:ascii="Courier New" w:cs="Courier New" w:eastAsia="Courier New" w:hAnsi="Courier New"/>
          <w:sz w:val="17"/>
          <w:szCs w:val="17"/>
          <w:color w:val="auto"/>
        </w:rPr>
      </w:pPr>
    </w:p>
    <w:p>
      <w:pPr>
        <w:ind w:left="520" w:right="3460"/>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$(2.45) AND $(0.93) FOR THE YEAR AND THREE MONTHS ENDED DECEMBER 31, 2003 [$(1.63) AND $(0.33) IN THE YEAR AND THREE MONTHS ENDED DECEMBER 31, 2002, RESPECTIVELY].</w:t>
      </w:r>
    </w:p>
    <w:sectPr>
      <w:pgSz w:w="11900" w:h="16838" w:orient="portrait"/>
      <w:cols w:equalWidth="0" w:num="1">
        <w:col w:w="11520"/>
      </w:cols>
      <w:pgMar w:left="240" w:top="703"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6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2019-12-14T04:07:25Z</dcterms:created>
  <dcterms:modified xsi:type="dcterms:W3CDTF">2019-12-14T04:07:25Z</dcterms:modified>
</cp:coreProperties>
</file>